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5597" w14:textId="77777777" w:rsidR="006E497B" w:rsidRPr="006E497B" w:rsidRDefault="006E497B" w:rsidP="006E497B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6E49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14:paraId="354454A7" w14:textId="77777777" w:rsidR="006E497B" w:rsidRPr="00BA093A" w:rsidRDefault="006E497B" w:rsidP="006E497B">
      <w:pPr>
        <w:rPr>
          <w:sz w:val="21"/>
          <w:szCs w:val="21"/>
        </w:rPr>
      </w:pPr>
      <w:r w:rsidRPr="00BA093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Městská část Praha-Troja</w:t>
      </w:r>
    </w:p>
    <w:p w14:paraId="1970597F" w14:textId="77777777" w:rsidR="006E497B" w:rsidRPr="00BA093A" w:rsidRDefault="006E497B" w:rsidP="006E497B">
      <w:pPr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 xml:space="preserve">IČO: </w:t>
      </w:r>
      <w:r w:rsidRPr="00BA09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45246858</w:t>
      </w:r>
    </w:p>
    <w:p w14:paraId="062613EA" w14:textId="77777777" w:rsidR="006E497B" w:rsidRPr="00BA093A" w:rsidRDefault="006E497B" w:rsidP="006E497B">
      <w:pPr>
        <w:rPr>
          <w:sz w:val="21"/>
          <w:szCs w:val="21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 xml:space="preserve">Sídlo: </w:t>
      </w:r>
      <w:r w:rsidRPr="00BA093A">
        <w:rPr>
          <w:rFonts w:ascii="Arial" w:hAnsi="Arial" w:cs="Arial"/>
          <w:color w:val="000000"/>
          <w:sz w:val="21"/>
          <w:szCs w:val="21"/>
          <w:shd w:val="clear" w:color="auto" w:fill="FFFFFF"/>
        </w:rPr>
        <w:t>Trojská 230/96, Praha 17100, Česká republika</w:t>
      </w:r>
    </w:p>
    <w:p w14:paraId="7DD6A303" w14:textId="77777777" w:rsidR="006E497B" w:rsidRPr="00BA093A" w:rsidRDefault="006E497B" w:rsidP="006E497B">
      <w:pPr>
        <w:rPr>
          <w:rFonts w:ascii="Arial" w:eastAsia="Times New Roman" w:hAnsi="Arial" w:cs="Arial"/>
          <w:sz w:val="21"/>
          <w:szCs w:val="21"/>
          <w:lang w:eastAsia="cs-CZ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 xml:space="preserve">Za kterou jedná: </w:t>
      </w:r>
      <w:r w:rsidRPr="00BA093A">
        <w:rPr>
          <w:rFonts w:ascii="Arial" w:hAnsi="Arial" w:cs="Arial"/>
          <w:color w:val="000000"/>
          <w:sz w:val="21"/>
          <w:szCs w:val="21"/>
          <w:shd w:val="clear" w:color="auto" w:fill="FFFFFF"/>
        </w:rPr>
        <w:t>Ing. Tomáš Bryknar</w:t>
      </w:r>
      <w:r w:rsidRPr="00BA093A">
        <w:rPr>
          <w:sz w:val="21"/>
          <w:szCs w:val="21"/>
        </w:rPr>
        <w:t xml:space="preserve"> </w:t>
      </w:r>
      <w:r w:rsidRPr="00BA093A">
        <w:rPr>
          <w:rFonts w:ascii="Arial" w:eastAsia="Times New Roman" w:hAnsi="Arial" w:cs="Arial"/>
          <w:sz w:val="21"/>
          <w:szCs w:val="21"/>
          <w:lang w:eastAsia="cs-CZ"/>
        </w:rPr>
        <w:t>– starosta městské části</w:t>
      </w:r>
    </w:p>
    <w:p w14:paraId="2E38B455" w14:textId="77777777" w:rsidR="006E497B" w:rsidRPr="00BA093A" w:rsidRDefault="006E497B" w:rsidP="006E497B">
      <w:pPr>
        <w:rPr>
          <w:sz w:val="21"/>
          <w:szCs w:val="21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 xml:space="preserve">E-mail: </w:t>
      </w:r>
      <w:r w:rsidRPr="00BA093A">
        <w:rPr>
          <w:rFonts w:ascii="Arial" w:hAnsi="Arial" w:cs="Arial"/>
          <w:color w:val="000000"/>
          <w:sz w:val="21"/>
          <w:szCs w:val="21"/>
          <w:shd w:val="clear" w:color="auto" w:fill="FFFFFF"/>
        </w:rPr>
        <w:t>info@mctroja.cz</w:t>
      </w:r>
    </w:p>
    <w:p w14:paraId="506AFFAA" w14:textId="77777777" w:rsidR="006E497B" w:rsidRPr="00BA093A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(dále jen jako „</w:t>
      </w:r>
      <w:r w:rsidR="008766AD" w:rsidRPr="00BA093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</w:p>
    <w:p w14:paraId="33DEEDFB" w14:textId="77777777" w:rsidR="006E497B" w:rsidRPr="00BA093A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0A5C8C21" w14:textId="77777777" w:rsidR="006E497B" w:rsidRPr="00BA093A" w:rsidRDefault="006E497B" w:rsidP="006E497B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cs-CZ"/>
        </w:rPr>
      </w:pPr>
      <w:r w:rsidRPr="00BA093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cs-CZ"/>
        </w:rPr>
        <w:t>PleinAir s.r.o.</w:t>
      </w:r>
    </w:p>
    <w:p w14:paraId="1B788E94" w14:textId="77777777" w:rsidR="006E497B" w:rsidRPr="00BA093A" w:rsidRDefault="006E497B" w:rsidP="006E497B">
      <w:pPr>
        <w:rPr>
          <w:rFonts w:ascii="Arial" w:eastAsia="Times New Roman" w:hAnsi="Arial" w:cs="Arial"/>
          <w:sz w:val="21"/>
          <w:szCs w:val="21"/>
          <w:lang w:eastAsia="cs-CZ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 xml:space="preserve">IČO: </w:t>
      </w:r>
      <w:r w:rsidRPr="00BA09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14016745</w:t>
      </w:r>
    </w:p>
    <w:p w14:paraId="7B028D44" w14:textId="77777777" w:rsidR="006E497B" w:rsidRPr="00BA093A" w:rsidRDefault="006E497B" w:rsidP="006E497B">
      <w:pPr>
        <w:rPr>
          <w:rFonts w:ascii="Arial" w:eastAsia="Times New Roman" w:hAnsi="Arial" w:cs="Arial"/>
          <w:sz w:val="21"/>
          <w:szCs w:val="21"/>
          <w:lang w:eastAsia="cs-CZ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 xml:space="preserve">Sídlo: </w:t>
      </w:r>
      <w:r w:rsidRPr="00BA093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Na Poštolce 321, Vyžlovka 28163, Česká republika</w:t>
      </w:r>
    </w:p>
    <w:p w14:paraId="2BF2712D" w14:textId="77777777" w:rsidR="006E497B" w:rsidRPr="00BA093A" w:rsidRDefault="006E497B" w:rsidP="006E497B">
      <w:pPr>
        <w:rPr>
          <w:rFonts w:ascii="Arial" w:eastAsia="Times New Roman" w:hAnsi="Arial" w:cs="Arial"/>
          <w:sz w:val="21"/>
          <w:szCs w:val="21"/>
          <w:lang w:eastAsia="cs-CZ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>Za kterou jedná: MgA. Milan Začal – jednatel</w:t>
      </w:r>
    </w:p>
    <w:p w14:paraId="09FE4D91" w14:textId="1D60955C" w:rsidR="006D2888" w:rsidRDefault="006E497B" w:rsidP="006E497B">
      <w:pPr>
        <w:rPr>
          <w:rFonts w:ascii="Arial" w:eastAsia="Times New Roman" w:hAnsi="Arial" w:cs="Arial"/>
          <w:sz w:val="21"/>
          <w:szCs w:val="21"/>
          <w:lang w:eastAsia="cs-CZ"/>
        </w:rPr>
      </w:pPr>
      <w:r w:rsidRPr="00BA093A">
        <w:rPr>
          <w:rFonts w:ascii="Arial" w:eastAsia="Times New Roman" w:hAnsi="Arial" w:cs="Arial"/>
          <w:sz w:val="21"/>
          <w:szCs w:val="21"/>
          <w:lang w:eastAsia="cs-CZ"/>
        </w:rPr>
        <w:t xml:space="preserve">E-mail: </w:t>
      </w:r>
      <w:r w:rsidR="006D2888">
        <w:rPr>
          <w:rFonts w:ascii="Arial" w:eastAsia="Times New Roman" w:hAnsi="Arial" w:cs="Arial"/>
          <w:sz w:val="21"/>
          <w:szCs w:val="21"/>
          <w:lang w:eastAsia="cs-CZ"/>
        </w:rPr>
        <w:t>…….</w:t>
      </w:r>
    </w:p>
    <w:p w14:paraId="0EEC8E69" w14:textId="7BF266D9" w:rsidR="008766AD" w:rsidRDefault="006D2888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(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dále jen jako „</w:t>
      </w:r>
      <w:r w:rsidR="008766AD" w:rsidRPr="00BA093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="006E497B"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="006E497B"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4201B6D" w14:textId="77777777" w:rsidR="008766AD" w:rsidRPr="006E497B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7EC8F0CC" w14:textId="77777777" w:rsidR="006E497B" w:rsidRPr="006E497B" w:rsidRDefault="006E497B" w:rsidP="006E497B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DCAB7E5" w14:textId="47172919" w:rsidR="008766AD" w:rsidRPr="00E86785" w:rsidRDefault="006E497B" w:rsidP="00E86785">
      <w:pPr>
        <w:pStyle w:val="Default"/>
      </w:pPr>
      <w:r w:rsidRPr="008D7C9C">
        <w:rPr>
          <w:rFonts w:ascii="Arial" w:eastAsia="Times New Roman" w:hAnsi="Arial" w:cs="Arial"/>
          <w:sz w:val="21"/>
          <w:szCs w:val="21"/>
          <w:lang w:eastAsia="cs-CZ"/>
        </w:rPr>
        <w:t xml:space="preserve">Zhotovitel se touto smlouvou zavazuje provést na svůj náklad a nebezpečí pro objednatele za podmínek níže uvedených dílo: </w:t>
      </w:r>
      <w:r w:rsidR="00E86785" w:rsidRPr="008D7C9C">
        <w:rPr>
          <w:b/>
          <w:bCs/>
          <w:i/>
          <w:iCs/>
          <w:sz w:val="23"/>
          <w:szCs w:val="23"/>
        </w:rPr>
        <w:t>„Obnova nábytku v místnosti č. 111 Úřadu městské části Praha-Troja“</w:t>
      </w:r>
      <w:r w:rsidR="00E86785" w:rsidRPr="008D7C9C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8D7C9C">
        <w:rPr>
          <w:rFonts w:ascii="Arial" w:eastAsia="Times New Roman" w:hAnsi="Arial" w:cs="Arial"/>
          <w:sz w:val="21"/>
          <w:szCs w:val="21"/>
          <w:lang w:eastAsia="cs-CZ"/>
        </w:rPr>
        <w:t>(Detailní specifikace Díla je uvedena v příloze č. 1 této Smlouvy) a objednatel se zavazuje Dílo převzít a zaplatit za něj Zhotoviteli cenu, která je sjednána v čl. II této Smlouvy.</w:t>
      </w:r>
      <w:r w:rsidRPr="006E497B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64FDBAB5" w14:textId="77777777" w:rsidR="006E497B" w:rsidRPr="006E497B" w:rsidRDefault="006E497B" w:rsidP="006E497B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74F0AEF5" w14:textId="11D26262" w:rsidR="008766AD" w:rsidRPr="008F3C0F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</w:t>
      </w:r>
      <w:r w:rsidR="0066108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bez DPH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66108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bude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ve výši </w:t>
      </w:r>
      <w:r w:rsidR="00CA0E14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309</w:t>
      </w:r>
      <w:r w:rsidR="001D5167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CA0E14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648,00</w:t>
      </w:r>
      <w:r w:rsidR="00E917EA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Kč</w:t>
      </w:r>
      <w:r w:rsidR="0066108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celková výše 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DPH </w:t>
      </w:r>
      <w:r w:rsidR="0066108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21 %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66108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bude 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ve výši </w:t>
      </w:r>
      <w:r w:rsidR="001D5167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65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4D7166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026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r w:rsidR="004D7166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08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tj. </w:t>
      </w:r>
      <w:r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celková cena </w:t>
      </w:r>
      <w:r w:rsidR="00305EAF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díla </w:t>
      </w:r>
      <w:r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s DPH </w:t>
      </w:r>
      <w:r w:rsidR="00305EAF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bude činit částku </w:t>
      </w:r>
      <w:r w:rsidR="004D7166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374</w:t>
      </w:r>
      <w:r w:rsidR="00305EAF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.</w:t>
      </w:r>
      <w:r w:rsidR="004D7166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674</w:t>
      </w:r>
      <w:r w:rsidR="00305EAF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,</w:t>
      </w:r>
      <w:r w:rsidR="00AB1558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0</w:t>
      </w:r>
      <w:r w:rsidR="00305EAF"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8 </w:t>
      </w:r>
      <w:r w:rsidRPr="008F3C0F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Kč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bude uhrazena na účet Zhotovitele </w:t>
      </w:r>
      <w:proofErr w:type="spellStart"/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č.ú</w:t>
      </w:r>
      <w:proofErr w:type="spellEnd"/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r w:rsidR="00305EAF" w:rsidRPr="008F3C0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2602079747/2010</w:t>
      </w:r>
      <w:r w:rsidR="00305EAF" w:rsidRPr="008F3C0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vedený u </w:t>
      </w:r>
      <w:r w:rsidR="00305EAF" w:rsidRPr="008F3C0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Fio banka, a.s.</w:t>
      </w:r>
      <w:r w:rsidR="00305EAF" w:rsidRPr="008F3C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305EAF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po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předání a převzetí Díla</w:t>
      </w:r>
      <w:r w:rsidR="00305EAF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a vystavení faktury. Splatnost faktury bude 14dní od jejího doručení objednavateli emailem nebo v tištěné podobě.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5074DAD9" w14:textId="77777777" w:rsidR="006E497B" w:rsidRPr="008F3C0F" w:rsidRDefault="006E497B" w:rsidP="006E497B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F3C0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8F3C0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2DFC9B9D" w14:textId="1F92275B" w:rsidR="00305EAF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305EAF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66108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</w:t>
      </w:r>
      <w:r w:rsidR="00305EAF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.10.202</w:t>
      </w:r>
      <w:r w:rsidR="006032C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</w:t>
      </w:r>
      <w:r w:rsidR="0066108D" w:rsidRPr="008F3C0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4EEA9546" w14:textId="77777777" w:rsidR="00305EAF" w:rsidRDefault="00305EAF" w:rsidP="00305EAF">
      <w:pPr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05EA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Místo plnění</w:t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Díla</w:t>
      </w:r>
    </w:p>
    <w:p w14:paraId="186D83F6" w14:textId="77777777" w:rsidR="00305EAF" w:rsidRPr="00305EAF" w:rsidRDefault="00305EAF" w:rsidP="00305EAF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05EA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Místem plnění je Úřad městské části Praha-Troja, Trojská</w:t>
      </w:r>
      <w:r w:rsidR="0066108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, </w:t>
      </w:r>
      <w:r w:rsidRPr="00305EA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230/96, Praha 7</w:t>
      </w:r>
      <w:r w:rsidR="0066108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14:paraId="3C6C2C90" w14:textId="77777777" w:rsidR="006E497B" w:rsidRPr="006E497B" w:rsidRDefault="006E497B" w:rsidP="00305EAF">
      <w:pPr>
        <w:jc w:val="center"/>
        <w:rPr>
          <w:rFonts w:ascii="Times New Roman" w:eastAsia="Times New Roman" w:hAnsi="Times New Roman" w:cs="Times New Roman"/>
          <w:lang w:eastAsia="cs-CZ"/>
        </w:rPr>
      </w:pPr>
    </w:p>
    <w:p w14:paraId="1CF672FF" w14:textId="77777777" w:rsidR="006E497B" w:rsidRPr="006E497B" w:rsidRDefault="006E497B" w:rsidP="006E497B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lastRenderedPageBreak/>
        <w:t>V.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5A65C95" w14:textId="0EB5ABE5" w:rsidR="008766AD" w:rsidRPr="008766AD" w:rsidRDefault="006E497B" w:rsidP="008766AD">
      <w:pPr>
        <w:rPr>
          <w:rFonts w:ascii="Times New Roman" w:eastAsia="Times New Roman" w:hAnsi="Times New Roman" w:cs="Times New Roman"/>
          <w:lang w:eastAsia="cs-CZ"/>
        </w:rPr>
      </w:pP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O předání a převzetí Díla bude </w:t>
      </w:r>
      <w:r w:rsidR="008766A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Zhotovitelem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vyhotoven předávací protokol.</w:t>
      </w:r>
      <w:r w:rsidR="006E7363" w:rsidRPr="006E73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Dílo se považuje za řádně předané a převzaté okamžikem podpisu předávacího protokolu oběma smluvními stranami.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Smluvní strany se pro případ prodlení objednatele se zaplacením ceny Díla dohodly na smluvní pokutě ve výši </w:t>
      </w:r>
      <w:proofErr w:type="gramStart"/>
      <w:r w:rsidR="00305EA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0,1</w:t>
      </w:r>
      <w:r w:rsidR="006E73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%</w:t>
      </w:r>
      <w:proofErr w:type="gramEnd"/>
      <w:r w:rsidR="006E736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6E7363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každý den prodlení</w:t>
      </w:r>
      <w:r w:rsidR="00305EA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8766A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 nezaplacené</w:t>
      </w:r>
      <w:r w:rsidR="00305EA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částky.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Pro případ prodlení se zhotovením Díla na straně zhotovitele má objednatel právo namísto smluvní pokuty na slevu z ceny Díla ve </w:t>
      </w:r>
      <w:r w:rsidR="00305EAF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výši </w:t>
      </w:r>
      <w:proofErr w:type="gramStart"/>
      <w:r w:rsidR="00305EA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0,1%</w:t>
      </w:r>
      <w:proofErr w:type="gramEnd"/>
      <w:r w:rsidR="00305EAF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za každý den prodlení</w:t>
      </w:r>
      <w:r w:rsidR="00305EA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 nedodané části díla.</w:t>
      </w:r>
    </w:p>
    <w:p w14:paraId="4A3A7F98" w14:textId="77777777" w:rsidR="006E497B" w:rsidRPr="006E497B" w:rsidRDefault="006E497B" w:rsidP="008766A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</w:t>
      </w:r>
      <w:r w:rsidR="00305EA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</w:t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14:paraId="413DBE4A" w14:textId="77777777" w:rsidR="006E497B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8766A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 měsíců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předal zhotoviteli podle čl. III této Smlouvy objednatel.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8B9EF13" w14:textId="77777777" w:rsidR="008766AD" w:rsidRPr="006E497B" w:rsidRDefault="008766AD" w:rsidP="006E497B">
      <w:pPr>
        <w:rPr>
          <w:rFonts w:ascii="Times New Roman" w:eastAsia="Times New Roman" w:hAnsi="Times New Roman" w:cs="Times New Roman"/>
          <w:lang w:eastAsia="cs-CZ"/>
        </w:rPr>
      </w:pPr>
    </w:p>
    <w:p w14:paraId="1015B613" w14:textId="77777777" w:rsidR="006E497B" w:rsidRPr="006E497B" w:rsidRDefault="006E497B" w:rsidP="006E497B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</w:t>
      </w:r>
      <w:r w:rsidR="00305EAF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</w:t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407573CB" w14:textId="77777777" w:rsidR="00704539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14:paraId="0565A619" w14:textId="77777777" w:rsidR="00704539" w:rsidRDefault="00704539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27A1CB0D" w14:textId="77777777" w:rsidR="00704539" w:rsidRDefault="00704539" w:rsidP="00704539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color w:val="auto"/>
          <w:sz w:val="21"/>
          <w:szCs w:val="21"/>
        </w:rPr>
      </w:pPr>
      <w:r w:rsidRPr="002E155A">
        <w:rPr>
          <w:rFonts w:ascii="Arial" w:hAnsi="Arial" w:cs="Arial"/>
          <w:color w:val="auto"/>
          <w:sz w:val="21"/>
          <w:szCs w:val="21"/>
        </w:rPr>
        <w:t xml:space="preserve">V souladu s §43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 na základě řádně vyhodnocené veřejné soutěže pro veřejnou zakázku malého rozsahu podle zákona o zadávání veřejných zakázek a Směrnice MČ Praha-Troja k zajištění postupu při přípravě a zadávání veřejných zakázek malého rozsahu. </w:t>
      </w:r>
    </w:p>
    <w:p w14:paraId="31A6B520" w14:textId="637F4B57" w:rsidR="002E155A" w:rsidRPr="002E155A" w:rsidRDefault="002E155A" w:rsidP="00704539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3</w:t>
      </w:r>
    </w:p>
    <w:p w14:paraId="04F76D85" w14:textId="77777777" w:rsidR="00704539" w:rsidRPr="002E155A" w:rsidRDefault="00704539" w:rsidP="00704539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color w:val="auto"/>
          <w:sz w:val="21"/>
          <w:szCs w:val="21"/>
        </w:rPr>
      </w:pPr>
    </w:p>
    <w:p w14:paraId="233138D9" w14:textId="77777777" w:rsidR="00704539" w:rsidRPr="002E155A" w:rsidRDefault="00704539" w:rsidP="00704539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color w:val="auto"/>
          <w:sz w:val="21"/>
          <w:szCs w:val="21"/>
        </w:rPr>
      </w:pPr>
      <w:r w:rsidRPr="002E155A">
        <w:rPr>
          <w:rFonts w:ascii="Arial" w:hAnsi="Arial" w:cs="Arial"/>
          <w:color w:val="auto"/>
          <w:sz w:val="21"/>
          <w:szCs w:val="21"/>
        </w:rPr>
        <w:t>S odkazem na zákon č. 340/2015 Sb., o zvláštních podmínkách účinnosti některých smluv, uveřejňování těchto smluv a o registru smluv (zákon o registru smluv), v platném znění, se smluvní strany dohodly, že tuto smlouvu uveřejní v registru smluv za podmínek stanovených uvedeným zákonem objednatel.</w:t>
      </w:r>
    </w:p>
    <w:p w14:paraId="2BF6A848" w14:textId="3FB96B1D" w:rsidR="008766AD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14:paraId="30A2A088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69F55B18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04B491D2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1E4AE08F" w14:textId="77777777" w:rsidR="008766AD" w:rsidRDefault="006E497B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V................   dne......................                           </w:t>
      </w:r>
      <w:r w:rsidR="008766A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       </w:t>
      </w:r>
      <w:r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 V................   dne......................</w:t>
      </w:r>
    </w:p>
    <w:p w14:paraId="39959B6D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3B787765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17892C85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047DA118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14:paraId="6299C0BA" w14:textId="77777777" w:rsidR="008766AD" w:rsidRDefault="008766AD" w:rsidP="006E497B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         ________________________</w:t>
      </w:r>
    </w:p>
    <w:p w14:paraId="3356B17D" w14:textId="5802BA57" w:rsidR="006E497B" w:rsidRPr="00604490" w:rsidRDefault="008766AD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MgA. Milan Začal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                  Ing. Tomáš Bryknar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6E497B" w:rsidRPr="006E497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sectPr w:rsidR="006E497B" w:rsidRPr="00604490" w:rsidSect="002323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7B"/>
    <w:rsid w:val="001A470C"/>
    <w:rsid w:val="001D5167"/>
    <w:rsid w:val="0023231E"/>
    <w:rsid w:val="002E155A"/>
    <w:rsid w:val="00305EAF"/>
    <w:rsid w:val="00342B65"/>
    <w:rsid w:val="00395137"/>
    <w:rsid w:val="004D7166"/>
    <w:rsid w:val="006032CD"/>
    <w:rsid w:val="00604490"/>
    <w:rsid w:val="0066108D"/>
    <w:rsid w:val="006B30D2"/>
    <w:rsid w:val="006D2888"/>
    <w:rsid w:val="006E497B"/>
    <w:rsid w:val="006E7363"/>
    <w:rsid w:val="00704539"/>
    <w:rsid w:val="00757894"/>
    <w:rsid w:val="0085668A"/>
    <w:rsid w:val="008766AD"/>
    <w:rsid w:val="008D7C9C"/>
    <w:rsid w:val="008F3C0F"/>
    <w:rsid w:val="00A37C10"/>
    <w:rsid w:val="00AB1558"/>
    <w:rsid w:val="00B15310"/>
    <w:rsid w:val="00B812A8"/>
    <w:rsid w:val="00BA093A"/>
    <w:rsid w:val="00C11707"/>
    <w:rsid w:val="00CA0E14"/>
    <w:rsid w:val="00DC53DC"/>
    <w:rsid w:val="00E86785"/>
    <w:rsid w:val="00E876F9"/>
    <w:rsid w:val="00E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80CF"/>
  <w15:chartTrackingRefBased/>
  <w15:docId w15:val="{2773CFCD-AA9B-534E-A17C-9858F4B2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E49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6E497B"/>
    <w:rPr>
      <w:b/>
      <w:bCs/>
    </w:rPr>
  </w:style>
  <w:style w:type="character" w:customStyle="1" w:styleId="apple-converted-space">
    <w:name w:val="apple-converted-space"/>
    <w:basedOn w:val="Standardnpsmoodstavce"/>
    <w:rsid w:val="006E497B"/>
  </w:style>
  <w:style w:type="paragraph" w:customStyle="1" w:styleId="Default">
    <w:name w:val="Default"/>
    <w:rsid w:val="00E8678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704539"/>
    <w:pPr>
      <w:spacing w:after="200" w:line="276" w:lineRule="auto"/>
      <w:ind w:left="720"/>
      <w:contextualSpacing/>
    </w:pPr>
    <w:rPr>
      <w:rFonts w:eastAsiaTheme="minorEastAsia"/>
      <w:color w:val="00000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9f430-4125-4bc2-b7ff-eb3ebfc17d38">
      <Terms xmlns="http://schemas.microsoft.com/office/infopath/2007/PartnerControls"/>
    </lcf76f155ced4ddcb4097134ff3c332f>
    <TaxCatchAll xmlns="6b6222aa-85a5-402a-80c2-e8c675c06446" xsi:nil="true"/>
    <datum xmlns="c9b9f430-4125-4bc2-b7ff-eb3ebfc17d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B797B26A6464E8FEE1CB4A979C560" ma:contentTypeVersion="14" ma:contentTypeDescription="Vytvoří nový dokument" ma:contentTypeScope="" ma:versionID="722794acfeed9d54e6206d6c0ac95e24">
  <xsd:schema xmlns:xsd="http://www.w3.org/2001/XMLSchema" xmlns:xs="http://www.w3.org/2001/XMLSchema" xmlns:p="http://schemas.microsoft.com/office/2006/metadata/properties" xmlns:ns2="c9b9f430-4125-4bc2-b7ff-eb3ebfc17d38" xmlns:ns3="6b6222aa-85a5-402a-80c2-e8c675c06446" targetNamespace="http://schemas.microsoft.com/office/2006/metadata/properties" ma:root="true" ma:fieldsID="42359c03f334540a4eabb80b6f4bd5c1" ns2:_="" ns3:_="">
    <xsd:import namespace="c9b9f430-4125-4bc2-b7ff-eb3ebfc17d38"/>
    <xsd:import namespace="6b6222aa-85a5-402a-80c2-e8c675c0644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9f430-4125-4bc2-b7ff-eb3ebfc17d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3bcb900d-d699-4bdc-b922-1b08ac94d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222aa-85a5-402a-80c2-e8c675c0644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36f3ec6-b64f-445e-b90d-726a8e3fd1e7}" ma:internalName="TaxCatchAll" ma:showField="CatchAllData" ma:web="6b6222aa-85a5-402a-80c2-e8c675c0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003F-8419-414D-8F57-7BDA5F28F796}">
  <ds:schemaRefs>
    <ds:schemaRef ds:uri="http://schemas.microsoft.com/office/2006/metadata/properties"/>
    <ds:schemaRef ds:uri="http://schemas.microsoft.com/office/infopath/2007/PartnerControls"/>
    <ds:schemaRef ds:uri="c9b9f430-4125-4bc2-b7ff-eb3ebfc17d38"/>
    <ds:schemaRef ds:uri="6b6222aa-85a5-402a-80c2-e8c675c06446"/>
  </ds:schemaRefs>
</ds:datastoreItem>
</file>

<file path=customXml/itemProps2.xml><?xml version="1.0" encoding="utf-8"?>
<ds:datastoreItem xmlns:ds="http://schemas.openxmlformats.org/officeDocument/2006/customXml" ds:itemID="{B8B45526-39A5-4627-9FD6-22828CE7B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82423-75E8-46D3-A822-AA2264883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9f430-4125-4bc2-b7ff-eb3ebfc17d38"/>
    <ds:schemaRef ds:uri="6b6222aa-85a5-402a-80c2-e8c675c0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Marková</dc:creator>
  <cp:keywords/>
  <dc:description/>
  <cp:lastModifiedBy>Irena Marková</cp:lastModifiedBy>
  <cp:revision>2</cp:revision>
  <cp:lastPrinted>2025-09-23T18:11:00Z</cp:lastPrinted>
  <dcterms:created xsi:type="dcterms:W3CDTF">2025-09-25T16:34:00Z</dcterms:created>
  <dcterms:modified xsi:type="dcterms:W3CDTF">2025-09-25T16:34:00Z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0x010100C52B797B26A6464E8FEE1CB4A979C560</vt:lpwstr>
  </property>
  <property fmtid="{D5CDD505-2E9C-101B-9397-08002B2CF9AE}" pid="3" name="MediaServiceImageTags">
    <vt:lpwstr/>
  </property>
</Properties>
</file>