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085" w:rsidRDefault="0003771B">
      <w:pPr>
        <w:pStyle w:val="Bodytext30"/>
        <w:spacing w:after="0"/>
        <w:ind w:left="8400"/>
        <w:rPr>
          <w:sz w:val="28"/>
          <w:szCs w:val="28"/>
        </w:rPr>
      </w:pPr>
      <w:r>
        <w:rPr>
          <w:rStyle w:val="Bodytext3"/>
          <w:rFonts w:ascii="Courier New" w:eastAsia="Courier New" w:hAnsi="Courier New" w:cs="Courier New"/>
          <w:smallCaps/>
          <w:sz w:val="19"/>
          <w:szCs w:val="19"/>
        </w:rPr>
        <w:t>č</w:t>
      </w:r>
      <w:r>
        <w:rPr>
          <w:rStyle w:val="Bodytext3"/>
        </w:rPr>
        <w:t xml:space="preserve">íslo smlouvy </w:t>
      </w:r>
      <w:r>
        <w:rPr>
          <w:rStyle w:val="Bodytext3"/>
          <w:rFonts w:ascii="Courier New" w:eastAsia="Courier New" w:hAnsi="Courier New" w:cs="Courier New"/>
          <w:sz w:val="28"/>
          <w:szCs w:val="28"/>
        </w:rPr>
        <w:t>B55491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566"/>
        <w:gridCol w:w="2957"/>
        <w:gridCol w:w="566"/>
        <w:gridCol w:w="398"/>
        <w:gridCol w:w="1704"/>
        <w:gridCol w:w="926"/>
        <w:gridCol w:w="610"/>
        <w:gridCol w:w="562"/>
        <w:gridCol w:w="749"/>
      </w:tblGrid>
      <w:tr w:rsidR="008C1085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11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085" w:rsidRDefault="0003771B">
            <w:pPr>
              <w:pStyle w:val="Other10"/>
              <w:tabs>
                <w:tab w:val="left" w:pos="2030"/>
              </w:tabs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■ Zákazník</w:t>
            </w:r>
            <w:r>
              <w:rPr>
                <w:rStyle w:val="Other1"/>
                <w:sz w:val="18"/>
                <w:szCs w:val="18"/>
              </w:rPr>
              <w:tab/>
              <w:t>|</w:t>
            </w:r>
          </w:p>
        </w:tc>
      </w:tr>
      <w:tr w:rsidR="008C108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C1085" w:rsidRDefault="0003771B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Jméno / Obchodní jméno</w:t>
            </w:r>
          </w:p>
        </w:tc>
        <w:tc>
          <w:tcPr>
            <w:tcW w:w="903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085" w:rsidRDefault="0003771B">
            <w:pPr>
              <w:pStyle w:val="Other1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Krajská nemocnice T. Bati, a. s.</w:t>
            </w:r>
          </w:p>
        </w:tc>
      </w:tr>
      <w:tr w:rsidR="008C10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C1085" w:rsidRDefault="0003771B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Jméno zástupce</w:t>
            </w:r>
          </w:p>
        </w:tc>
        <w:tc>
          <w:tcPr>
            <w:tcW w:w="903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085" w:rsidRDefault="0003771B">
            <w:pPr>
              <w:pStyle w:val="Other1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Ing. Jan Hrdý Ing. Martin Déva</w:t>
            </w:r>
          </w:p>
        </w:tc>
      </w:tr>
      <w:tr w:rsidR="008C10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1085" w:rsidRDefault="0003771B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Adresa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1085" w:rsidRDefault="0003771B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Ulice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1085" w:rsidRDefault="0003771B">
            <w:pPr>
              <w:pStyle w:val="Other1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Havlíčkovo nábřeží 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1085" w:rsidRDefault="0003771B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Město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1085" w:rsidRDefault="0003771B">
            <w:pPr>
              <w:pStyle w:val="Other1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Zlín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1085" w:rsidRDefault="0003771B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PSČ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85" w:rsidRDefault="0003771B">
            <w:pPr>
              <w:pStyle w:val="Other1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762 75</w:t>
            </w:r>
          </w:p>
        </w:tc>
      </w:tr>
      <w:tr w:rsidR="008C10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085" w:rsidRDefault="0003771B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20"/>
                <w:szCs w:val="20"/>
              </w:rPr>
              <w:t xml:space="preserve">■ Bydliště / </w:t>
            </w:r>
            <w:r>
              <w:rPr>
                <w:rStyle w:val="Other1"/>
                <w:sz w:val="18"/>
                <w:szCs w:val="18"/>
              </w:rPr>
              <w:t xml:space="preserve">Sídlo </w:t>
            </w:r>
            <w:r>
              <w:rPr>
                <w:rStyle w:val="Other1"/>
                <w:sz w:val="14"/>
                <w:szCs w:val="14"/>
              </w:rPr>
              <w:t xml:space="preserve">(vyplnit pouze, je-li odlišné od </w:t>
            </w:r>
            <w:r>
              <w:rPr>
                <w:rStyle w:val="Other1"/>
                <w:sz w:val="14"/>
                <w:szCs w:val="14"/>
              </w:rPr>
              <w:t>zasílací adresy)</w:t>
            </w:r>
          </w:p>
        </w:tc>
      </w:tr>
      <w:tr w:rsidR="008C10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1085" w:rsidRDefault="0003771B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Adresa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1085" w:rsidRDefault="0003771B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Ulice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1085" w:rsidRDefault="008C1085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1085" w:rsidRDefault="0003771B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Město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1085" w:rsidRDefault="008C108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1085" w:rsidRDefault="0003771B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PSČ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085" w:rsidRDefault="008C1085">
            <w:pPr>
              <w:rPr>
                <w:sz w:val="10"/>
                <w:szCs w:val="10"/>
              </w:rPr>
            </w:pPr>
          </w:p>
        </w:tc>
      </w:tr>
      <w:tr w:rsidR="008C10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085" w:rsidRDefault="0003771B">
            <w:pPr>
              <w:pStyle w:val="Other1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■ Ostatní údaje</w:t>
            </w:r>
          </w:p>
        </w:tc>
      </w:tr>
      <w:tr w:rsidR="008C108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1085" w:rsidRDefault="0003771B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Mobil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1085" w:rsidRDefault="008C1085">
            <w:pPr>
              <w:rPr>
                <w:sz w:val="10"/>
                <w:szCs w:val="1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1085" w:rsidRDefault="0003771B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Rodné číslo</w:t>
            </w: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085" w:rsidRDefault="008C1085">
            <w:pPr>
              <w:rPr>
                <w:sz w:val="10"/>
                <w:szCs w:val="10"/>
              </w:rPr>
            </w:pPr>
          </w:p>
        </w:tc>
      </w:tr>
      <w:tr w:rsidR="008C10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1085" w:rsidRDefault="0003771B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Telefon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1085" w:rsidRDefault="0003771B">
            <w:pPr>
              <w:pStyle w:val="Other1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577 551 111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1085" w:rsidRDefault="0003771B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E-mail</w:t>
            </w: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85" w:rsidRDefault="00B07F9C">
            <w:pPr>
              <w:pStyle w:val="Other1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xxxxxxxxxxxxxxxxx</w:t>
            </w:r>
            <w:proofErr w:type="spellEnd"/>
          </w:p>
        </w:tc>
      </w:tr>
      <w:tr w:rsidR="008C10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1085" w:rsidRDefault="0003771B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Způsob oprávnění zástupce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1085" w:rsidRDefault="0003771B">
            <w:pPr>
              <w:pStyle w:val="Other1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předseda a člen představenstva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1085" w:rsidRDefault="0003771B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IČO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1085" w:rsidRDefault="0003771B">
            <w:pPr>
              <w:pStyle w:val="Other1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27661989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1085" w:rsidRDefault="0003771B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DIČ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85" w:rsidRDefault="0003771B">
            <w:pPr>
              <w:pStyle w:val="Other1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CZ27661989</w:t>
            </w:r>
          </w:p>
        </w:tc>
      </w:tr>
      <w:tr w:rsidR="008C1085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1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085" w:rsidRDefault="0003771B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 xml:space="preserve">uzavírá dnešního dne tuto Smlouvu o poskytování služeb elektronických komunikací </w:t>
            </w:r>
            <w:proofErr w:type="gramStart"/>
            <w:r>
              <w:rPr>
                <w:rStyle w:val="Other1"/>
                <w:sz w:val="14"/>
                <w:szCs w:val="14"/>
              </w:rPr>
              <w:t>( dále</w:t>
            </w:r>
            <w:proofErr w:type="gramEnd"/>
            <w:r>
              <w:rPr>
                <w:rStyle w:val="Other1"/>
                <w:sz w:val="14"/>
                <w:szCs w:val="14"/>
              </w:rPr>
              <w:t xml:space="preserve"> jen "Smlouva") se společností INTERNEXT 2000 s.r.o., Palackého 166, 755 01 Vsetín, IČO: 25352288, DIČ: CZ25352288, telefon: 576 510 000, e-mail: </w:t>
            </w:r>
            <w:hyperlink r:id="rId7" w:history="1">
              <w:r>
                <w:rPr>
                  <w:rStyle w:val="Other1"/>
                  <w:sz w:val="14"/>
                  <w:szCs w:val="14"/>
                </w:rPr>
                <w:t>info@internext.cz</w:t>
              </w:r>
            </w:hyperlink>
            <w:r>
              <w:rPr>
                <w:rStyle w:val="Other1"/>
                <w:sz w:val="14"/>
                <w:szCs w:val="14"/>
              </w:rPr>
              <w:t xml:space="preserve">, zapsané u KS Ostrava, </w:t>
            </w:r>
            <w:proofErr w:type="spellStart"/>
            <w:r>
              <w:rPr>
                <w:rStyle w:val="Other1"/>
                <w:sz w:val="14"/>
                <w:szCs w:val="14"/>
              </w:rPr>
              <w:t>sp.zn</w:t>
            </w:r>
            <w:proofErr w:type="spellEnd"/>
            <w:r>
              <w:rPr>
                <w:rStyle w:val="Other1"/>
                <w:sz w:val="14"/>
                <w:szCs w:val="14"/>
              </w:rPr>
              <w:t>. C9579 (dále jen "Poskytovatel") za následujících podmínek:</w:t>
            </w:r>
          </w:p>
        </w:tc>
      </w:tr>
      <w:tr w:rsidR="008C1085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9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085" w:rsidRDefault="0003771B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8"/>
                <w:szCs w:val="18"/>
              </w:rPr>
              <w:t xml:space="preserve">■ Specifikace </w:t>
            </w:r>
            <w:proofErr w:type="gramStart"/>
            <w:r>
              <w:rPr>
                <w:rStyle w:val="Other1"/>
                <w:sz w:val="18"/>
                <w:szCs w:val="18"/>
              </w:rPr>
              <w:t>služeb - předmět</w:t>
            </w:r>
            <w:proofErr w:type="gramEnd"/>
            <w:r>
              <w:rPr>
                <w:rStyle w:val="Other1"/>
                <w:sz w:val="18"/>
                <w:szCs w:val="18"/>
              </w:rPr>
              <w:t xml:space="preserve"> Smlouvy </w:t>
            </w:r>
            <w:r>
              <w:rPr>
                <w:rStyle w:val="Other1"/>
                <w:sz w:val="14"/>
                <w:szCs w:val="14"/>
              </w:rPr>
              <w:t>(ceny jsou uvedeny bez DPH, ve výši 21%, která bude připočtena ve vyúčtování)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1085" w:rsidRDefault="008C108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1085" w:rsidRDefault="008C1085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85" w:rsidRDefault="0003771B">
            <w:pPr>
              <w:pStyle w:val="Other10"/>
              <w:ind w:right="140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1</w:t>
            </w:r>
          </w:p>
        </w:tc>
      </w:tr>
    </w:tbl>
    <w:p w:rsidR="008C1085" w:rsidRDefault="008C1085">
      <w:pPr>
        <w:spacing w:after="179" w:line="1" w:lineRule="exact"/>
      </w:pPr>
    </w:p>
    <w:p w:rsidR="008C1085" w:rsidRDefault="0003771B">
      <w:pPr>
        <w:pStyle w:val="Bodytext30"/>
        <w:spacing w:after="460"/>
        <w:ind w:left="222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275590</wp:posOffset>
                </wp:positionH>
                <wp:positionV relativeFrom="paragraph">
                  <wp:posOffset>12700</wp:posOffset>
                </wp:positionV>
                <wp:extent cx="1441450" cy="15557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1085" w:rsidRDefault="0003771B">
                            <w:pPr>
                              <w:pStyle w:val="Bodytext30"/>
                              <w:spacing w:after="0"/>
                              <w:ind w:left="0"/>
                            </w:pPr>
                            <w:r>
                              <w:rPr>
                                <w:rStyle w:val="Bodytext3"/>
                              </w:rPr>
                              <w:t xml:space="preserve">Měsíční paušál za </w:t>
                            </w:r>
                            <w:proofErr w:type="gramStart"/>
                            <w:r>
                              <w:rPr>
                                <w:rStyle w:val="Bodytext3"/>
                              </w:rPr>
                              <w:t>Internet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1.7pt;margin-top:1pt;width:113.5pt;height:12.2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" filled="f" stroked="f">
                <v:textbox inset="0,0,0,0">
                  <w:txbxContent>
                    <w:p w:rsidR="008C1085" w:rsidRDefault="0003771B">
                      <w:pPr>
                        <w:pStyle w:val="Bodytext30"/>
                        <w:spacing w:after="0"/>
                        <w:ind w:left="0"/>
                      </w:pPr>
                      <w:r>
                        <w:rPr>
                          <w:rStyle w:val="Bodytext3"/>
                        </w:rPr>
                        <w:t xml:space="preserve">Měsíční paušál za </w:t>
                      </w:r>
                      <w:proofErr w:type="gramStart"/>
                      <w:r>
                        <w:rPr>
                          <w:rStyle w:val="Bodytext3"/>
                        </w:rPr>
                        <w:t>Internet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3"/>
          <w:sz w:val="16"/>
          <w:szCs w:val="16"/>
        </w:rPr>
        <w:t xml:space="preserve">Cena </w:t>
      </w:r>
      <w:r>
        <w:rPr>
          <w:rStyle w:val="Bodytext3"/>
        </w:rPr>
        <w:t xml:space="preserve">2 900,00 Kč (3 509 </w:t>
      </w:r>
      <w:r>
        <w:rPr>
          <w:rStyle w:val="Bodytext3"/>
          <w:sz w:val="14"/>
          <w:szCs w:val="14"/>
        </w:rPr>
        <w:t>Kč s DPH</w:t>
      </w:r>
      <w:r>
        <w:rPr>
          <w:rStyle w:val="Bodytext3"/>
        </w:rPr>
        <w:t xml:space="preserve">) </w:t>
      </w:r>
      <w:r>
        <w:rPr>
          <w:rStyle w:val="Bodytext3"/>
          <w:sz w:val="16"/>
          <w:szCs w:val="16"/>
        </w:rPr>
        <w:t xml:space="preserve">Rychlost </w:t>
      </w:r>
      <w:r>
        <w:rPr>
          <w:rStyle w:val="Bodytext3"/>
        </w:rPr>
        <w:t xml:space="preserve">500/500 </w:t>
      </w:r>
      <w:proofErr w:type="spellStart"/>
      <w:r>
        <w:rPr>
          <w:rStyle w:val="Bodytext3"/>
          <w:sz w:val="16"/>
          <w:szCs w:val="16"/>
        </w:rPr>
        <w:t>Mb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9"/>
        <w:gridCol w:w="9442"/>
      </w:tblGrid>
      <w:tr w:rsidR="008C1085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1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085" w:rsidRDefault="0003771B">
            <w:pPr>
              <w:pStyle w:val="Other10"/>
              <w:tabs>
                <w:tab w:val="left" w:pos="2981"/>
                <w:tab w:val="left" w:pos="5352"/>
                <w:tab w:val="left" w:pos="6912"/>
                <w:tab w:val="left" w:pos="9413"/>
                <w:tab w:val="left" w:pos="10315"/>
              </w:tabs>
            </w:pPr>
            <w:r>
              <w:rPr>
                <w:rStyle w:val="Other1"/>
                <w:sz w:val="18"/>
                <w:szCs w:val="18"/>
              </w:rPr>
              <w:t>■ Doba trvání smlouvy</w:t>
            </w:r>
            <w:r>
              <w:rPr>
                <w:rStyle w:val="Other1"/>
                <w:sz w:val="18"/>
                <w:szCs w:val="18"/>
              </w:rPr>
              <w:tab/>
            </w:r>
            <w:r>
              <w:rPr>
                <w:rStyle w:val="Other1"/>
              </w:rPr>
              <w:t>• na dobu neurčitou</w:t>
            </w:r>
            <w:r>
              <w:rPr>
                <w:rStyle w:val="Other1"/>
              </w:rPr>
              <w:tab/>
              <w:t>na dobu 1 roku</w:t>
            </w:r>
            <w:r>
              <w:rPr>
                <w:rStyle w:val="Other1"/>
              </w:rPr>
              <w:tab/>
            </w:r>
            <w:r w:rsidRPr="00B07F9C">
              <w:rPr>
                <w:rStyle w:val="Other1"/>
                <w:highlight w:val="lightGray"/>
              </w:rPr>
              <w:t>1 X na dobu 2 let</w:t>
            </w:r>
            <w:r>
              <w:rPr>
                <w:rStyle w:val="Other1"/>
              </w:rPr>
              <w:tab/>
              <w:t>jiná:</w:t>
            </w:r>
            <w:r>
              <w:rPr>
                <w:rStyle w:val="Other1"/>
              </w:rPr>
              <w:tab/>
              <w:t>měsíců</w:t>
            </w:r>
          </w:p>
        </w:tc>
      </w:tr>
      <w:tr w:rsidR="008C10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C1085" w:rsidRDefault="0003771B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Nabývá účinnosti dne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085" w:rsidRDefault="0003771B">
            <w:pPr>
              <w:pStyle w:val="Other10"/>
              <w:ind w:left="304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pokud zde není uvedeno, nabývá účinnosti dnem podpisu</w:t>
            </w:r>
          </w:p>
        </w:tc>
      </w:tr>
      <w:tr w:rsidR="008C1085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1085" w:rsidRDefault="0003771B">
            <w:pPr>
              <w:pStyle w:val="Other10"/>
              <w:spacing w:before="10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 xml:space="preserve">Další </w:t>
            </w:r>
            <w:r>
              <w:rPr>
                <w:rStyle w:val="Other1"/>
                <w:sz w:val="14"/>
                <w:szCs w:val="14"/>
              </w:rPr>
              <w:t>ujednání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085" w:rsidRDefault="0003771B">
            <w:pPr>
              <w:pStyle w:val="Other1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 xml:space="preserve">Zařízení zůstává v majetku společnosti </w:t>
            </w:r>
            <w:proofErr w:type="spellStart"/>
            <w:r>
              <w:rPr>
                <w:rStyle w:val="Other1"/>
                <w:sz w:val="18"/>
                <w:szCs w:val="18"/>
              </w:rPr>
              <w:t>Internext</w:t>
            </w:r>
            <w:proofErr w:type="spellEnd"/>
            <w:r>
              <w:rPr>
                <w:rStyle w:val="Other1"/>
                <w:sz w:val="18"/>
                <w:szCs w:val="18"/>
              </w:rPr>
              <w:t xml:space="preserve"> 2000.</w:t>
            </w:r>
          </w:p>
        </w:tc>
      </w:tr>
      <w:tr w:rsidR="008C108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C1085" w:rsidRDefault="0003771B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Poznámky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085" w:rsidRDefault="0003771B">
            <w:pPr>
              <w:pStyle w:val="Other1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 xml:space="preserve">Místo připojení: Broučkova 406, 76001 </w:t>
            </w:r>
            <w:proofErr w:type="gramStart"/>
            <w:r>
              <w:rPr>
                <w:rStyle w:val="Other1"/>
                <w:sz w:val="18"/>
                <w:szCs w:val="18"/>
              </w:rPr>
              <w:t>Zlín - Příluky</w:t>
            </w:r>
            <w:proofErr w:type="gramEnd"/>
          </w:p>
        </w:tc>
      </w:tr>
      <w:tr w:rsidR="008C1085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1085" w:rsidRDefault="0003771B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Kód zákazníka</w:t>
            </w: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85" w:rsidRDefault="0003771B">
            <w:pPr>
              <w:pStyle w:val="Other10"/>
              <w:tabs>
                <w:tab w:val="left" w:pos="1392"/>
                <w:tab w:val="left" w:pos="2266"/>
                <w:tab w:val="left" w:pos="3528"/>
                <w:tab w:val="left" w:pos="7426"/>
              </w:tabs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108721</w:t>
            </w:r>
            <w:r>
              <w:rPr>
                <w:rStyle w:val="Other1"/>
                <w:sz w:val="18"/>
                <w:szCs w:val="18"/>
              </w:rPr>
              <w:tab/>
            </w:r>
            <w:r>
              <w:rPr>
                <w:rStyle w:val="Other1"/>
                <w:sz w:val="14"/>
                <w:szCs w:val="14"/>
              </w:rPr>
              <w:t>Heslo</w:t>
            </w:r>
            <w:r>
              <w:rPr>
                <w:rStyle w:val="Other1"/>
                <w:sz w:val="14"/>
                <w:szCs w:val="14"/>
              </w:rPr>
              <w:tab/>
            </w:r>
            <w:r>
              <w:rPr>
                <w:rStyle w:val="Other1"/>
                <w:sz w:val="18"/>
                <w:szCs w:val="18"/>
              </w:rPr>
              <w:t>668723</w:t>
            </w:r>
            <w:r>
              <w:rPr>
                <w:rStyle w:val="Other1"/>
                <w:sz w:val="18"/>
                <w:szCs w:val="18"/>
              </w:rPr>
              <w:tab/>
            </w:r>
            <w:r>
              <w:rPr>
                <w:rStyle w:val="Other1"/>
                <w:sz w:val="14"/>
                <w:szCs w:val="14"/>
              </w:rPr>
              <w:t xml:space="preserve">Ověřovací kód OKU </w:t>
            </w:r>
            <w:r>
              <w:rPr>
                <w:rStyle w:val="Other1"/>
                <w:sz w:val="18"/>
                <w:szCs w:val="18"/>
              </w:rPr>
              <w:t>INB55491353000131134</w:t>
            </w:r>
            <w:r>
              <w:rPr>
                <w:rStyle w:val="Other1"/>
                <w:sz w:val="18"/>
                <w:szCs w:val="18"/>
              </w:rPr>
              <w:tab/>
            </w:r>
            <w:r>
              <w:rPr>
                <w:rStyle w:val="Other1"/>
                <w:sz w:val="14"/>
                <w:szCs w:val="14"/>
              </w:rPr>
              <w:t xml:space="preserve">Kód prodejce </w:t>
            </w:r>
            <w:r>
              <w:rPr>
                <w:rStyle w:val="Other1"/>
                <w:sz w:val="18"/>
                <w:szCs w:val="18"/>
              </w:rPr>
              <w:t>SL1</w:t>
            </w:r>
          </w:p>
        </w:tc>
      </w:tr>
      <w:tr w:rsidR="008C1085">
        <w:tblPrEx>
          <w:tblCellMar>
            <w:top w:w="0" w:type="dxa"/>
            <w:bottom w:w="0" w:type="dxa"/>
          </w:tblCellMar>
        </w:tblPrEx>
        <w:trPr>
          <w:trHeight w:hRule="exact" w:val="1877"/>
          <w:jc w:val="center"/>
        </w:trPr>
        <w:tc>
          <w:tcPr>
            <w:tcW w:w="1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85" w:rsidRDefault="0003771B">
            <w:pPr>
              <w:pStyle w:val="Other10"/>
            </w:pPr>
            <w:r>
              <w:rPr>
                <w:rStyle w:val="Other1"/>
              </w:rPr>
              <w:t xml:space="preserve">Bližší specifikaci tarifu/služby </w:t>
            </w:r>
            <w:r>
              <w:rPr>
                <w:rStyle w:val="Other1"/>
              </w:rPr>
              <w:t>obsahuje dokument Předsmluvní informace a Ceník připojení k síti internet Poskytovatele.</w:t>
            </w:r>
          </w:p>
          <w:p w:rsidR="008C1085" w:rsidRDefault="0003771B">
            <w:pPr>
              <w:pStyle w:val="Other10"/>
              <w:spacing w:after="360"/>
            </w:pPr>
            <w:r>
              <w:rPr>
                <w:rStyle w:val="Other1"/>
              </w:rPr>
              <w:t>Zákazník souhlasí, že po skončení této Smlouvy pronajaté nebo zapůjčené zařízení (</w:t>
            </w:r>
            <w:proofErr w:type="spellStart"/>
            <w:r>
              <w:rPr>
                <w:rStyle w:val="Other1"/>
              </w:rPr>
              <w:t>radiomodem</w:t>
            </w:r>
            <w:proofErr w:type="spellEnd"/>
            <w:r>
              <w:rPr>
                <w:rStyle w:val="Other1"/>
              </w:rPr>
              <w:t xml:space="preserve"> s napájením a anténou, set-top-box, </w:t>
            </w:r>
            <w:proofErr w:type="spellStart"/>
            <w:r>
              <w:rPr>
                <w:rStyle w:val="Other1"/>
              </w:rPr>
              <w:t>gpon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ont</w:t>
            </w:r>
            <w:proofErr w:type="spellEnd"/>
            <w:r>
              <w:rPr>
                <w:rStyle w:val="Other1"/>
              </w:rPr>
              <w:t>, či jiné zařízení) odinstaluj</w:t>
            </w:r>
            <w:r>
              <w:rPr>
                <w:rStyle w:val="Other1"/>
              </w:rPr>
              <w:t xml:space="preserve">e a odevzdá nebo zašle na adresu Poskytovatele, </w:t>
            </w:r>
            <w:proofErr w:type="gramStart"/>
            <w:r>
              <w:rPr>
                <w:rStyle w:val="Other1"/>
              </w:rPr>
              <w:t>a nebo</w:t>
            </w:r>
            <w:proofErr w:type="gramEnd"/>
            <w:r>
              <w:rPr>
                <w:rStyle w:val="Other1"/>
              </w:rPr>
              <w:t xml:space="preserve"> s Poskytovatelem sjedná termín odborné demontáže.</w:t>
            </w:r>
          </w:p>
          <w:p w:rsidR="008C1085" w:rsidRDefault="0003771B">
            <w:pPr>
              <w:pStyle w:val="Other10"/>
            </w:pPr>
            <w:r>
              <w:rPr>
                <w:rStyle w:val="Other1"/>
              </w:rPr>
              <w:t>Forma vyúčtování: Faktury jsou zasílány E-mailem.</w:t>
            </w:r>
          </w:p>
          <w:p w:rsidR="008C1085" w:rsidRDefault="0003771B">
            <w:pPr>
              <w:pStyle w:val="Other10"/>
              <w:spacing w:after="180"/>
            </w:pPr>
            <w:r>
              <w:rPr>
                <w:rStyle w:val="Other1"/>
              </w:rPr>
              <w:t>Způsob platby: Bankovním převodem (platební údaje jako číslo účtu a variabilní symbol jsou součástí z</w:t>
            </w:r>
            <w:r>
              <w:rPr>
                <w:rStyle w:val="Other1"/>
              </w:rPr>
              <w:t>asílané faktury)</w:t>
            </w:r>
          </w:p>
          <w:p w:rsidR="008C1085" w:rsidRDefault="0003771B">
            <w:pPr>
              <w:pStyle w:val="Other10"/>
              <w:spacing w:after="260"/>
              <w:jc w:val="both"/>
            </w:pPr>
            <w:r>
              <w:rPr>
                <w:rStyle w:val="Other1"/>
              </w:rPr>
              <w:t>Smlouva pokračuje na další straně.</w:t>
            </w:r>
          </w:p>
        </w:tc>
      </w:tr>
    </w:tbl>
    <w:p w:rsidR="008C1085" w:rsidRDefault="008C1085">
      <w:pPr>
        <w:sectPr w:rsidR="008C1085">
          <w:headerReference w:type="default" r:id="rId8"/>
          <w:footerReference w:type="default" r:id="rId9"/>
          <w:pgSz w:w="11900" w:h="16840"/>
          <w:pgMar w:top="1177" w:right="349" w:bottom="1177" w:left="396" w:header="0" w:footer="3" w:gutter="0"/>
          <w:pgNumType w:start="1"/>
          <w:cols w:space="720"/>
          <w:noEndnote/>
          <w:docGrid w:linePitch="360"/>
        </w:sectPr>
      </w:pPr>
    </w:p>
    <w:p w:rsidR="008C1085" w:rsidRDefault="0003771B">
      <w:pPr>
        <w:pStyle w:val="Bodytext30"/>
        <w:spacing w:after="60"/>
        <w:ind w:left="0"/>
        <w:jc w:val="right"/>
        <w:rPr>
          <w:sz w:val="28"/>
          <w:szCs w:val="28"/>
        </w:rPr>
      </w:pPr>
      <w:r>
        <w:rPr>
          <w:rStyle w:val="Bodytext3"/>
          <w:rFonts w:ascii="Courier New" w:eastAsia="Courier New" w:hAnsi="Courier New" w:cs="Courier New"/>
          <w:smallCaps/>
          <w:sz w:val="19"/>
          <w:szCs w:val="19"/>
        </w:rPr>
        <w:lastRenderedPageBreak/>
        <w:t>č</w:t>
      </w:r>
      <w:r>
        <w:rPr>
          <w:rStyle w:val="Bodytext3"/>
        </w:rPr>
        <w:t xml:space="preserve">íslo smlouvy </w:t>
      </w:r>
      <w:r>
        <w:rPr>
          <w:rStyle w:val="Bodytext3"/>
          <w:rFonts w:ascii="Courier New" w:eastAsia="Courier New" w:hAnsi="Courier New" w:cs="Courier New"/>
          <w:sz w:val="28"/>
          <w:szCs w:val="28"/>
        </w:rPr>
        <w:t>B55491</w:t>
      </w:r>
    </w:p>
    <w:p w:rsidR="008C1085" w:rsidRDefault="0003771B">
      <w:pPr>
        <w:pStyle w:val="Bodytext10"/>
        <w:spacing w:after="180"/>
        <w:jc w:val="both"/>
      </w:pPr>
      <w:r>
        <w:rPr>
          <w:rStyle w:val="Bodytext1"/>
        </w:rPr>
        <w:t>Zákazník prohlašuje, že:</w:t>
      </w:r>
    </w:p>
    <w:p w:rsidR="008C1085" w:rsidRDefault="0003771B">
      <w:pPr>
        <w:pStyle w:val="Bodytext10"/>
        <w:ind w:left="180" w:hanging="180"/>
      </w:pPr>
      <w:proofErr w:type="gramStart"/>
      <w:r>
        <w:rPr>
          <w:rStyle w:val="Bodytext1"/>
        </w:rPr>
        <w:t>a)se</w:t>
      </w:r>
      <w:proofErr w:type="gramEnd"/>
      <w:r>
        <w:rPr>
          <w:rStyle w:val="Bodytext1"/>
        </w:rPr>
        <w:t xml:space="preserve"> seznámil s obsahem Všeobecných podmínek pro poskytování služeb elektronických komunikací (dále také jako "VP") a s obsahem veškerých dalších obchodních podmínek a dokumentů, které jsou součástí této </w:t>
      </w:r>
      <w:r>
        <w:rPr>
          <w:rStyle w:val="Bodytext1"/>
        </w:rPr>
        <w:t>Smlouvy, a zavazuje se tyto smluvní podmínky dodržovat; Poskytovatel si vyhrazuje právo jednostranně měnit, doplňovat nebo rušit smluvní podmínky (včetně ustanovení této Smlouvy) způsobem v souladu s čl. IV. odst. 4 VP.,</w:t>
      </w:r>
    </w:p>
    <w:p w:rsidR="008C1085" w:rsidRDefault="0003771B">
      <w:pPr>
        <w:pStyle w:val="Bodytext10"/>
        <w:ind w:left="180" w:hanging="180"/>
      </w:pPr>
      <w:proofErr w:type="gramStart"/>
      <w:r>
        <w:rPr>
          <w:rStyle w:val="Bodytext1"/>
        </w:rPr>
        <w:t>b)se</w:t>
      </w:r>
      <w:proofErr w:type="gramEnd"/>
      <w:r>
        <w:rPr>
          <w:rStyle w:val="Bodytext1"/>
        </w:rPr>
        <w:t xml:space="preserve"> seznámil s aktuálně platnými c</w:t>
      </w:r>
      <w:r>
        <w:rPr>
          <w:rStyle w:val="Bodytext1"/>
        </w:rPr>
        <w:t>eníky v oblastech, ve kterých dochází ke zřizování Služeb pro Zákazníka, které jsou nedílnou součástí této Smlouvy - na základě příslušného ceníku jsou účtovány ceny dle této Smlouvy za příslušné Služby, není-li v textu této Smlouvy uvedeno jinak; Poskytov</w:t>
      </w:r>
      <w:r>
        <w:rPr>
          <w:rStyle w:val="Bodytext1"/>
        </w:rPr>
        <w:t>atel si vyhrazuje právo jednostranně měnit, doplňovat nebo rušit ceníky způsobem v souladu s čl. IV. odst. 4 VP,</w:t>
      </w:r>
    </w:p>
    <w:p w:rsidR="008C1085" w:rsidRDefault="0003771B">
      <w:pPr>
        <w:pStyle w:val="Bodytext10"/>
        <w:ind w:left="180" w:hanging="180"/>
      </w:pPr>
      <w:r>
        <w:rPr>
          <w:rStyle w:val="Bodytext1"/>
        </w:rPr>
        <w:t xml:space="preserve">c)v případě, že je Zákazník fyzickou osobou či subjekt naplňující znaky </w:t>
      </w:r>
      <w:proofErr w:type="spellStart"/>
      <w:r>
        <w:rPr>
          <w:rStyle w:val="Bodytext1"/>
        </w:rPr>
        <w:t>mikropodniku</w:t>
      </w:r>
      <w:proofErr w:type="spellEnd"/>
      <w:r>
        <w:rPr>
          <w:rStyle w:val="Bodytext1"/>
        </w:rPr>
        <w:t>, malého podniku či neziskové organizace, obdržel před uzav</w:t>
      </w:r>
      <w:r>
        <w:rPr>
          <w:rStyle w:val="Bodytext1"/>
        </w:rPr>
        <w:t>řením Smlouvy dokument označený jako Shrnutí Smlouvy a Předsmluvní informace, které jsou součástí Smlouvy;</w:t>
      </w:r>
    </w:p>
    <w:p w:rsidR="008C1085" w:rsidRDefault="0003771B">
      <w:pPr>
        <w:pStyle w:val="Bodytext10"/>
        <w:ind w:left="180" w:hanging="180"/>
      </w:pPr>
      <w:r>
        <w:rPr>
          <w:rStyle w:val="Bodytext1"/>
        </w:rPr>
        <w:t>d)že byl výslovně upozorněn na to, aby dokumenty dle odst. a), b) a c) Smlouvy stáhnul, jelikož je to důležité pro účely dokumentace, pozdějšího použ</w:t>
      </w:r>
      <w:r>
        <w:rPr>
          <w:rStyle w:val="Bodytext1"/>
        </w:rPr>
        <w:t>ití a reprodukce v nezměněné podobě,</w:t>
      </w:r>
    </w:p>
    <w:p w:rsidR="008C1085" w:rsidRDefault="0003771B">
      <w:pPr>
        <w:pStyle w:val="Bodytext10"/>
        <w:numPr>
          <w:ilvl w:val="0"/>
          <w:numId w:val="1"/>
        </w:numPr>
        <w:tabs>
          <w:tab w:val="left" w:pos="270"/>
        </w:tabs>
        <w:jc w:val="both"/>
      </w:pPr>
      <w:r>
        <w:rPr>
          <w:rStyle w:val="Bodytext1"/>
        </w:rPr>
        <w:t>byl poučen o tom, že Poskytovatel je oprávněn měnit smluvní podmínky způsobem uvedeným v souladu se zákonem, Smlouvou a VP,</w:t>
      </w:r>
    </w:p>
    <w:p w:rsidR="008C1085" w:rsidRDefault="0003771B">
      <w:pPr>
        <w:pStyle w:val="Bodytext10"/>
        <w:numPr>
          <w:ilvl w:val="0"/>
          <w:numId w:val="1"/>
        </w:numPr>
        <w:tabs>
          <w:tab w:val="left" w:pos="231"/>
        </w:tabs>
        <w:ind w:left="180" w:hanging="180"/>
      </w:pPr>
      <w:r>
        <w:rPr>
          <w:rStyle w:val="Bodytext1"/>
        </w:rPr>
        <w:t>se podrobně seznámil se Smlouvou, ceníky a veškerými ostatními dokumenty tvořící součást Smlouv</w:t>
      </w:r>
      <w:r>
        <w:rPr>
          <w:rStyle w:val="Bodytext1"/>
        </w:rPr>
        <w:t>y ve znění platném ke dni uzavření Smlouvy, jakož i se specifikací Služeb, a že s nimi bez výhrad souhlasí,</w:t>
      </w:r>
    </w:p>
    <w:p w:rsidR="008C1085" w:rsidRDefault="0003771B">
      <w:pPr>
        <w:pStyle w:val="Bodytext10"/>
        <w:numPr>
          <w:ilvl w:val="0"/>
          <w:numId w:val="1"/>
        </w:numPr>
        <w:tabs>
          <w:tab w:val="left" w:pos="270"/>
        </w:tabs>
        <w:ind w:left="180" w:hanging="180"/>
      </w:pPr>
      <w:r>
        <w:rPr>
          <w:rStyle w:val="Bodytext1"/>
        </w:rPr>
        <w:t>byl v případě, že je spotřebitelem, poučen o možnosti odstoupit od Smlouvy v případě, že došlo k jejímu uzavření mimo prostory obvyklé k podnikání P</w:t>
      </w:r>
      <w:r>
        <w:rPr>
          <w:rStyle w:val="Bodytext1"/>
        </w:rPr>
        <w:t>oskytovatele nebo prostředkem komunikace na dálku,</w:t>
      </w:r>
    </w:p>
    <w:p w:rsidR="008C1085" w:rsidRDefault="0003771B">
      <w:pPr>
        <w:pStyle w:val="Bodytext10"/>
        <w:ind w:left="180" w:hanging="180"/>
      </w:pPr>
      <w:proofErr w:type="gramStart"/>
      <w:r>
        <w:rPr>
          <w:rStyle w:val="Bodytext1"/>
        </w:rPr>
        <w:t>h)je</w:t>
      </w:r>
      <w:proofErr w:type="gramEnd"/>
      <w:r>
        <w:rPr>
          <w:rStyle w:val="Bodytext1"/>
        </w:rPr>
        <w:t xml:space="preserve"> plně oprávněn k platnému uzavření této Smlouvy za uvedených podmínek a zároveň je ke dni uzavření Smlouvy plně oprávněn ke zřízení Služby na adrese umístění Služeb (tj. disponuje platným právním titul</w:t>
      </w:r>
      <w:r>
        <w:rPr>
          <w:rStyle w:val="Bodytext1"/>
        </w:rPr>
        <w:t>em ke zřízení Služeb - např. vlastnictví nemovitostí),</w:t>
      </w:r>
    </w:p>
    <w:p w:rsidR="008C1085" w:rsidRDefault="0003771B">
      <w:pPr>
        <w:pStyle w:val="Bodytext10"/>
        <w:numPr>
          <w:ilvl w:val="0"/>
          <w:numId w:val="2"/>
        </w:numPr>
        <w:tabs>
          <w:tab w:val="left" w:pos="212"/>
        </w:tabs>
        <w:ind w:left="180" w:hanging="180"/>
      </w:pPr>
      <w:r>
        <w:rPr>
          <w:rStyle w:val="Bodytext1"/>
        </w:rPr>
        <w:t>souhlasí s tím, že tato Smlouva nahrazuje původní Smlouvu stejného čísla, uzavřenou mezi smluvními stranami do dne podpisu této Smlouvy, a to ke dni účinnosti této Smlouvy,</w:t>
      </w:r>
    </w:p>
    <w:p w:rsidR="008C1085" w:rsidRDefault="0003771B">
      <w:pPr>
        <w:pStyle w:val="Bodytext10"/>
        <w:numPr>
          <w:ilvl w:val="0"/>
          <w:numId w:val="2"/>
        </w:numPr>
        <w:tabs>
          <w:tab w:val="left" w:pos="226"/>
        </w:tabs>
        <w:jc w:val="both"/>
      </w:pPr>
      <w:r>
        <w:rPr>
          <w:rStyle w:val="Bodytext1"/>
        </w:rPr>
        <w:t>v případě neprojevení opačné</w:t>
      </w:r>
      <w:r>
        <w:rPr>
          <w:rStyle w:val="Bodytext1"/>
        </w:rPr>
        <w:t xml:space="preserve"> vůle souhlasí s automatickým přechodem Smlouvy uzavřené na dobu určitou, a to na Smlouvu na dobu neurčitou,</w:t>
      </w:r>
    </w:p>
    <w:p w:rsidR="008C1085" w:rsidRDefault="0003771B">
      <w:pPr>
        <w:pStyle w:val="Bodytext10"/>
        <w:numPr>
          <w:ilvl w:val="0"/>
          <w:numId w:val="2"/>
        </w:numPr>
        <w:tabs>
          <w:tab w:val="left" w:pos="260"/>
        </w:tabs>
        <w:ind w:left="180" w:hanging="180"/>
      </w:pPr>
      <w:r>
        <w:rPr>
          <w:rStyle w:val="Bodytext1"/>
        </w:rPr>
        <w:t>po ukončení Smlouvy bezodkladně vrátí Poskytovateli vše, co je majetkem Poskytovatele. Veškeré pohledávky a závazky plynoucí ze Smlouvy vyrovnají s</w:t>
      </w:r>
      <w:r>
        <w:rPr>
          <w:rStyle w:val="Bodytext1"/>
        </w:rPr>
        <w:t>mluvní strany nejpozději do 7 dnů ode dne jejího ukončení,</w:t>
      </w:r>
    </w:p>
    <w:p w:rsidR="008C1085" w:rsidRDefault="0003771B">
      <w:pPr>
        <w:pStyle w:val="Bodytext10"/>
        <w:numPr>
          <w:ilvl w:val="0"/>
          <w:numId w:val="2"/>
        </w:numPr>
        <w:tabs>
          <w:tab w:val="left" w:pos="212"/>
        </w:tabs>
        <w:spacing w:after="180"/>
        <w:ind w:left="180" w:hanging="180"/>
      </w:pPr>
      <w:r>
        <w:rPr>
          <w:rStyle w:val="Bodytext1"/>
        </w:rPr>
        <w:t xml:space="preserve">je si vědom skutečnosti, že zúčtovací období je jeden kalendářní měsíc, přičemž Poskytovatel je oprávněn vystavit Zákazníkovi více vyúčtování za několik zúčtovacích období najednou v rámci jednoho </w:t>
      </w:r>
      <w:r>
        <w:rPr>
          <w:rStyle w:val="Bodytext1"/>
        </w:rPr>
        <w:t>daňového dokladu.</w:t>
      </w:r>
    </w:p>
    <w:p w:rsidR="008C1085" w:rsidRDefault="0003771B">
      <w:pPr>
        <w:pStyle w:val="Bodytext10"/>
        <w:spacing w:after="180"/>
      </w:pPr>
      <w:r>
        <w:rPr>
          <w:rStyle w:val="Bodytext1"/>
        </w:rPr>
        <w:t>Podmíněné slevy a podmínky jejich čerpání, náhrady, pokuty:</w:t>
      </w:r>
    </w:p>
    <w:p w:rsidR="008C1085" w:rsidRDefault="0003771B">
      <w:pPr>
        <w:pStyle w:val="Bodytext10"/>
        <w:numPr>
          <w:ilvl w:val="0"/>
          <w:numId w:val="2"/>
        </w:numPr>
        <w:tabs>
          <w:tab w:val="left" w:pos="313"/>
        </w:tabs>
        <w:ind w:left="180" w:hanging="180"/>
      </w:pPr>
      <w:r>
        <w:rPr>
          <w:rStyle w:val="Bodytext1"/>
        </w:rPr>
        <w:t xml:space="preserve">Poskytovatel je oprávněn se se Zákazníkem dohodnout na poskytnutí slevy za řádné plnění a dodržení všech smluvních podmínek, tj. zejména dodržení sjednané délky doby, na kterou </w:t>
      </w:r>
      <w:r>
        <w:rPr>
          <w:rStyle w:val="Bodytext1"/>
        </w:rPr>
        <w:t>je Smlouva uzavřena, řádné užívání Služby a včasné placení za poskytnuté Služby. Sleva může být poskytnuta jako sleva z ceny poskytnutých Služeb nebo jako sleva z aktivačního poplatku anebo i jiná sleva, jejíž forma je ve Smlouvě dohodnuta.</w:t>
      </w:r>
    </w:p>
    <w:p w:rsidR="008C1085" w:rsidRDefault="0003771B">
      <w:pPr>
        <w:pStyle w:val="Bodytext10"/>
        <w:numPr>
          <w:ilvl w:val="0"/>
          <w:numId w:val="2"/>
        </w:numPr>
        <w:tabs>
          <w:tab w:val="left" w:pos="265"/>
        </w:tabs>
        <w:ind w:left="180" w:hanging="180"/>
      </w:pPr>
      <w:r>
        <w:rPr>
          <w:rStyle w:val="Bodytext1"/>
        </w:rPr>
        <w:t xml:space="preserve">Nárok na slevu </w:t>
      </w:r>
      <w:r>
        <w:rPr>
          <w:rStyle w:val="Bodytext1"/>
        </w:rPr>
        <w:t>dle předchozího odstavce Zákazníkovi vznikne až poté, co uplyne doba, na kterou byla Smlouva uzavřena, a to za předpokladu, že byly dodrženy níže uvedené podmínky slevy:</w:t>
      </w:r>
    </w:p>
    <w:p w:rsidR="008C1085" w:rsidRDefault="0003771B">
      <w:pPr>
        <w:pStyle w:val="Bodytext10"/>
        <w:numPr>
          <w:ilvl w:val="0"/>
          <w:numId w:val="3"/>
        </w:numPr>
        <w:tabs>
          <w:tab w:val="left" w:pos="498"/>
        </w:tabs>
        <w:ind w:left="480" w:hanging="180"/>
      </w:pPr>
      <w:r>
        <w:rPr>
          <w:rStyle w:val="Bodytext1"/>
        </w:rPr>
        <w:t xml:space="preserve">aby Zákazníkovi vzniknul nárok na slevu z ceny za poskytnuté služby, je nutné, aby se </w:t>
      </w:r>
      <w:r>
        <w:rPr>
          <w:rStyle w:val="Bodytext1"/>
        </w:rPr>
        <w:t>Smluvní strany dohodly na slevě ve Smlouvě, aby Zákazník řádně užíval Službu, a to v souladu s čl. VII. VP (např. neprováděl změny na Koncových zařízeních) a neporušil Smlouvu způsoby, kvůli kterým je Poskytovatel oprávněn vypovědět Smlouvu dle čl. V. odst</w:t>
      </w:r>
      <w:r>
        <w:rPr>
          <w:rStyle w:val="Bodytext1"/>
        </w:rPr>
        <w:t>. 2 písm. a) až f) VP a zároveň Zákazník neporušil Smlouvu způsoby, kvůli kterým je Poskytovatel oprávněn omezit Služby dle čl. X. odst. 1 písm. a) až d) VP.</w:t>
      </w:r>
    </w:p>
    <w:p w:rsidR="008C1085" w:rsidRDefault="0003771B">
      <w:pPr>
        <w:pStyle w:val="Bodytext10"/>
        <w:numPr>
          <w:ilvl w:val="0"/>
          <w:numId w:val="3"/>
        </w:numPr>
        <w:tabs>
          <w:tab w:val="left" w:pos="522"/>
        </w:tabs>
        <w:ind w:left="480" w:hanging="180"/>
      </w:pPr>
      <w:r>
        <w:rPr>
          <w:rStyle w:val="Bodytext1"/>
        </w:rPr>
        <w:t>aby Zákazníkovi vzniknul nárok na slevu z aktivačního poplatku nebo jinou slevu je nutné, aby se S</w:t>
      </w:r>
      <w:r>
        <w:rPr>
          <w:rStyle w:val="Bodytext1"/>
        </w:rPr>
        <w:t>mluvní strany dohodly na slevě ve Smlouvě, Zákazník řádně užíval Službu v souladu s čl. VII. VP, dodržel sjednanou dobu trvání Smlouvy a neporušil Smlouvu způsoby, kvůli kterým je Poskytovatel oprávněn vypovědět Smlouvu dle čl. V. odst. 2 písm. a) až f) VP</w:t>
      </w:r>
      <w:r>
        <w:rPr>
          <w:rStyle w:val="Bodytext1"/>
        </w:rPr>
        <w:t xml:space="preserve"> a zároveň Zákazník neporušil Smlouvu způsoby, kvůli kterým je Poskytovatel oprávněn omezit Služby dle čl. X. odst. 1 písm. a) až d) VP.</w:t>
      </w:r>
    </w:p>
    <w:p w:rsidR="008C1085" w:rsidRDefault="0003771B">
      <w:pPr>
        <w:pStyle w:val="Bodytext10"/>
        <w:numPr>
          <w:ilvl w:val="0"/>
          <w:numId w:val="2"/>
        </w:numPr>
        <w:tabs>
          <w:tab w:val="left" w:pos="270"/>
        </w:tabs>
        <w:ind w:left="180" w:hanging="180"/>
        <w:jc w:val="both"/>
      </w:pPr>
      <w:r>
        <w:rPr>
          <w:rStyle w:val="Bodytext1"/>
        </w:rPr>
        <w:t>Pokud Zákazníkovi vznikl nárok dle předchozího odstavce této Smlouvy na slevu, tzn. splnil všechny uvedené podmínky, pa</w:t>
      </w:r>
      <w:r>
        <w:rPr>
          <w:rStyle w:val="Bodytext1"/>
        </w:rPr>
        <w:t>k je Zákazník oprávněn čerpat před vznikem nároku na uvedenou slevu (tedy před uplynutím doby, na kterou je Smlouva uzavřena) zálohu na tuto slevu, a to již od okamžiku uzavření Smlouvy. Záloha na slevu se v takovém případě projeví jako snížení ceny za pos</w:t>
      </w:r>
      <w:r>
        <w:rPr>
          <w:rStyle w:val="Bodytext1"/>
        </w:rPr>
        <w:t xml:space="preserve">kytované Služby ve Vyúčtování, případně snížení výše aktivačního poplatku při uzavření Smlouvy. </w:t>
      </w:r>
      <w:r>
        <w:rPr>
          <w:rStyle w:val="Bodytext1"/>
          <w:u w:val="single"/>
        </w:rPr>
        <w:t xml:space="preserve">V případě nesplnění podmínek pro vznik nároku na slevu dle předchozího odstavce této Smlouvy je Poskytovatel oprávněn vyžadovat vrácení již vyčerpané zálohy na </w:t>
      </w:r>
      <w:r>
        <w:rPr>
          <w:rStyle w:val="Bodytext1"/>
          <w:u w:val="single"/>
        </w:rPr>
        <w:t>slevu na Služby a/nebo aktivační poplatek, a to tak, že Zákazníkovi bude vystaveno opravné Vyúčtování, které Poskytovatel zašle Zákazníkovi způsobem stanoveným dle čl. VIII. VP po porušení podmínek poskytnutí slevy</w:t>
      </w:r>
      <w:r>
        <w:rPr>
          <w:rStyle w:val="Bodytext1"/>
        </w:rPr>
        <w:t>.</w:t>
      </w:r>
    </w:p>
    <w:p w:rsidR="008C1085" w:rsidRDefault="0003771B">
      <w:pPr>
        <w:pStyle w:val="Bodytext10"/>
        <w:ind w:left="180" w:hanging="180"/>
        <w:jc w:val="both"/>
      </w:pPr>
      <w:r>
        <w:rPr>
          <w:rStyle w:val="Bodytext1"/>
        </w:rPr>
        <w:t>p)V případě odstoupení od Smlouvy Zákazn</w:t>
      </w:r>
      <w:r>
        <w:rPr>
          <w:rStyle w:val="Bodytext1"/>
        </w:rPr>
        <w:t>íkem ve 14 denní lhůtě, pokud došlo k uzavření Smlouvy pomocí prostředků komunikace na dálku nebo mimo prostory obvyklé k podnikání Poskytovatele a Zákazník je spotřebitelem nebo podnikající fyzickou osobou, a pokud Zákazník výslovně požádal o zahájení pos</w:t>
      </w:r>
      <w:r>
        <w:rPr>
          <w:rStyle w:val="Bodytext1"/>
        </w:rPr>
        <w:t>kytování Služeb ve lhůtě pro odstoupení od Smlouvy, je Zákazník povinen uhradit Poskytovateli veškeré skutečné náklady, které byly vynaloženy v souvislosti se zřízením Služby (především aktivační poplatek), a poměrnou část ceny za Služby odpovídající počtu</w:t>
      </w:r>
      <w:r>
        <w:rPr>
          <w:rStyle w:val="Bodytext1"/>
        </w:rPr>
        <w:t xml:space="preserve"> dnů, po které byl Zákazník oprávněn využívat Službu.</w:t>
      </w:r>
    </w:p>
    <w:p w:rsidR="008C1085" w:rsidRDefault="0003771B">
      <w:pPr>
        <w:pStyle w:val="Bodytext10"/>
        <w:ind w:left="180" w:hanging="180"/>
        <w:jc w:val="both"/>
      </w:pPr>
      <w:proofErr w:type="gramStart"/>
      <w:r>
        <w:rPr>
          <w:rStyle w:val="Bodytext1"/>
        </w:rPr>
        <w:t>q)V</w:t>
      </w:r>
      <w:proofErr w:type="gramEnd"/>
      <w:r>
        <w:rPr>
          <w:rStyle w:val="Bodytext1"/>
        </w:rPr>
        <w:t xml:space="preserve"> případě přerušení poskytování Služeb z důvodu dle čl. X. odst. 1 písm. a) až d) VP může být obnovení poskytování Služeb zpoplatněno částkou dle platného ceníku.</w:t>
      </w:r>
    </w:p>
    <w:p w:rsidR="008C1085" w:rsidRDefault="0003771B">
      <w:pPr>
        <w:pStyle w:val="Bodytext10"/>
        <w:numPr>
          <w:ilvl w:val="0"/>
          <w:numId w:val="4"/>
        </w:numPr>
        <w:tabs>
          <w:tab w:val="left" w:pos="231"/>
        </w:tabs>
        <w:spacing w:after="180"/>
        <w:ind w:left="180" w:hanging="180"/>
        <w:jc w:val="both"/>
      </w:pPr>
      <w:r>
        <w:rPr>
          <w:rStyle w:val="Bodytext1"/>
        </w:rPr>
        <w:t xml:space="preserve">V případě hrubého porušení smluvních </w:t>
      </w:r>
      <w:r>
        <w:rPr>
          <w:rStyle w:val="Bodytext1"/>
        </w:rPr>
        <w:t>podmínek dle čl. V. odst. 2 písm. a) až f) VP vzniká Poskytovateli nárok na úhradu všech nákladů spojených s telekomunikačním zařízením, jeho aktivací a instalací (zejména aktivační poplatek), které bylo Zákazníkovi poskytnuto za zvýhodněných podmínek.</w:t>
      </w:r>
    </w:p>
    <w:p w:rsidR="008C1085" w:rsidRDefault="0003771B">
      <w:pPr>
        <w:pStyle w:val="Bodytext10"/>
        <w:spacing w:after="180"/>
        <w:jc w:val="both"/>
      </w:pPr>
      <w:r>
        <w:rPr>
          <w:rStyle w:val="Bodytext1"/>
        </w:rPr>
        <w:t>Ned</w:t>
      </w:r>
      <w:r>
        <w:rPr>
          <w:rStyle w:val="Bodytext1"/>
        </w:rPr>
        <w:t xml:space="preserve">ílnou součást Smlouvy tvoří dokumenty Všeobecné podmínky pro poskytování služeb elektronických komunikací (VP), Ceník připojení k síti internet, Ceník služeb, v případě poskytnutí služby IPTV jsou součástí i Podmínky poskytovaní IPTV 4NET.TV (nebo KUKI) a </w:t>
      </w:r>
      <w:r>
        <w:rPr>
          <w:rStyle w:val="Bodytext1"/>
        </w:rPr>
        <w:t xml:space="preserve">Ceník 4NET.TV (nebo KUKI) dále pak Předsmluvní informace společně se Shrnutím Smlouvy v případě, že jsou Zákazníkovi poskytovány. Veškeré dokumenty, s výjimkou posledního uvedeného, naleznete rovněž na internetových stránkách </w:t>
      </w:r>
      <w:hyperlink r:id="rId10" w:history="1">
        <w:r>
          <w:rPr>
            <w:rStyle w:val="Bodytext1"/>
          </w:rPr>
          <w:t>www.internext.cz</w:t>
        </w:r>
      </w:hyperlink>
      <w:r>
        <w:rPr>
          <w:rStyle w:val="Bodytext1"/>
        </w:rPr>
        <w:t xml:space="preserve"> v sekci Ceník a smlouvy.</w:t>
      </w:r>
      <w:bookmarkStart w:id="0" w:name="_GoBack"/>
      <w:bookmarkEnd w:id="0"/>
    </w:p>
    <w:p w:rsidR="008C1085" w:rsidRDefault="0003771B">
      <w:pPr>
        <w:pStyle w:val="Bodytext30"/>
        <w:pBdr>
          <w:bottom w:val="single" w:sz="4" w:space="0" w:color="auto"/>
        </w:pBdr>
        <w:tabs>
          <w:tab w:val="left" w:pos="3590"/>
        </w:tabs>
        <w:spacing w:after="0"/>
        <w:ind w:left="0"/>
        <w:jc w:val="both"/>
      </w:pPr>
      <w:r>
        <w:rPr>
          <w:rStyle w:val="Bodytext3"/>
          <w:sz w:val="14"/>
          <w:szCs w:val="14"/>
        </w:rPr>
        <w:t xml:space="preserve">Podepsáno ve </w:t>
      </w:r>
      <w:r>
        <w:rPr>
          <w:rStyle w:val="Bodytext3"/>
        </w:rPr>
        <w:t>Vsetíně</w:t>
      </w:r>
      <w:r>
        <w:rPr>
          <w:rStyle w:val="Bodytext3"/>
        </w:rPr>
        <w:tab/>
      </w:r>
      <w:r>
        <w:rPr>
          <w:rStyle w:val="Bodytext3"/>
          <w:sz w:val="14"/>
          <w:szCs w:val="14"/>
        </w:rPr>
        <w:t xml:space="preserve">dne </w:t>
      </w:r>
      <w:r w:rsidR="00B07F9C">
        <w:rPr>
          <w:rStyle w:val="Bodytext3"/>
        </w:rPr>
        <w:t>23. 9. 2025 el. podpis                                                            Ve Zlíně dne 19. 9. 2025 el. podpis</w:t>
      </w:r>
    </w:p>
    <w:p w:rsidR="008C1085" w:rsidRDefault="0003771B">
      <w:pPr>
        <w:spacing w:line="1" w:lineRule="exact"/>
        <w:sectPr w:rsidR="008C1085">
          <w:pgSz w:w="11900" w:h="16840"/>
          <w:pgMar w:top="1177" w:right="377" w:bottom="860" w:left="415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01600" distB="203835" distL="0" distR="0" simplePos="0" relativeHeight="125829380" behindDoc="0" locked="0" layoutInCell="1" allowOverlap="1">
                <wp:simplePos x="0" y="0"/>
                <wp:positionH relativeFrom="page">
                  <wp:posOffset>367030</wp:posOffset>
                </wp:positionH>
                <wp:positionV relativeFrom="paragraph">
                  <wp:posOffset>101600</wp:posOffset>
                </wp:positionV>
                <wp:extent cx="1390015" cy="85661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015" cy="856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1085" w:rsidRDefault="008C1085">
                            <w:pPr>
                              <w:pStyle w:val="Heading110"/>
                              <w:keepNext/>
                              <w:keepLines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28.9pt;margin-top:8pt;width:109.45pt;height:67.45pt;z-index:125829380;visibility:visible;mso-wrap-style:square;mso-wrap-distance-left:0;mso-wrap-distance-top:8pt;mso-wrap-distance-right:0;mso-wrap-distance-bottom:16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" filled="f" stroked="f">
                <v:textbox inset="0,0,0,0">
                  <w:txbxContent>
                    <w:p w:rsidR="008C1085" w:rsidRDefault="008C1085">
                      <w:pPr>
                        <w:pStyle w:val="Heading110"/>
                        <w:keepNext/>
                        <w:keepLines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4744085</wp:posOffset>
                </wp:positionH>
                <wp:positionV relativeFrom="paragraph">
                  <wp:posOffset>1025525</wp:posOffset>
                </wp:positionV>
                <wp:extent cx="2148840" cy="13716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4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1085" w:rsidRDefault="0003771B">
                            <w:pPr>
                              <w:pStyle w:val="Tablecaption10"/>
                            </w:pPr>
                            <w:proofErr w:type="spellStart"/>
                            <w:r>
                              <w:rPr>
                                <w:rStyle w:val="Tablecaption1"/>
                                <w:lang w:val="en-US" w:eastAsia="en-US" w:bidi="en-US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Style w:val="Tablecaption1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Tablecaption1"/>
                              </w:rPr>
                              <w:t xml:space="preserve">ZÁKAZNÍKA (oprávněného zástupce </w:t>
                            </w:r>
                            <w:r>
                              <w:rPr>
                                <w:rStyle w:val="Tablecaption1"/>
                                <w:lang w:val="en-US" w:eastAsia="en-US" w:bidi="en-US"/>
                              </w:rPr>
                              <w:t xml:space="preserve">+ </w:t>
                            </w:r>
                            <w:r>
                              <w:rPr>
                                <w:rStyle w:val="Tablecaption1"/>
                              </w:rPr>
                              <w:t>razítko)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margin-left:373.55pt;margin-top:80.75pt;width:169.2pt;height:10.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" filled="f" stroked="f">
                <v:textbox inset="0,0,0,0">
                  <w:txbxContent>
                    <w:p w:rsidR="008C1085" w:rsidRDefault="0003771B">
                      <w:pPr>
                        <w:pStyle w:val="Tablecaption10"/>
                      </w:pPr>
                      <w:proofErr w:type="spellStart"/>
                      <w:r>
                        <w:rPr>
                          <w:rStyle w:val="Tablecaption1"/>
                          <w:lang w:val="en-US" w:eastAsia="en-US" w:bidi="en-US"/>
                        </w:rPr>
                        <w:t>Podpis</w:t>
                      </w:r>
                      <w:proofErr w:type="spellEnd"/>
                      <w:r>
                        <w:rPr>
                          <w:rStyle w:val="Tablecaption1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Tablecaption1"/>
                        </w:rPr>
                        <w:t xml:space="preserve">ZÁKAZNÍKA (oprávněného zástupce </w:t>
                      </w:r>
                      <w:r>
                        <w:rPr>
                          <w:rStyle w:val="Tablecaption1"/>
                          <w:lang w:val="en-US" w:eastAsia="en-US" w:bidi="en-US"/>
                        </w:rPr>
                        <w:t xml:space="preserve">+ </w:t>
                      </w:r>
                      <w:r>
                        <w:rPr>
                          <w:rStyle w:val="Tablecaption1"/>
                        </w:rPr>
                        <w:t>razítko)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31240" distB="12065" distL="0" distR="0" simplePos="0" relativeHeight="125829386" behindDoc="0" locked="0" layoutInCell="1" allowOverlap="1">
                <wp:simplePos x="0" y="0"/>
                <wp:positionH relativeFrom="page">
                  <wp:posOffset>915670</wp:posOffset>
                </wp:positionH>
                <wp:positionV relativeFrom="paragraph">
                  <wp:posOffset>1031240</wp:posOffset>
                </wp:positionV>
                <wp:extent cx="1661160" cy="11874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1085" w:rsidRDefault="0003771B">
                            <w:pPr>
                              <w:pStyle w:val="Bodytext40"/>
                            </w:pPr>
                            <w:proofErr w:type="spellStart"/>
                            <w:r>
                              <w:rPr>
                                <w:rStyle w:val="Bodytext4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Style w:val="Bodytext4"/>
                              </w:rPr>
                              <w:t xml:space="preserve"> </w:t>
                            </w:r>
                            <w:r>
                              <w:rPr>
                                <w:rStyle w:val="Bodytext4"/>
                                <w:lang w:val="cs-CZ" w:eastAsia="cs-CZ" w:bidi="cs-CZ"/>
                              </w:rPr>
                              <w:t xml:space="preserve">zástupce </w:t>
                            </w:r>
                            <w:r>
                              <w:rPr>
                                <w:rStyle w:val="Bodytext4"/>
                              </w:rPr>
                              <w:t xml:space="preserve">INTERNEXT 2000, </w:t>
                            </w:r>
                            <w:proofErr w:type="spellStart"/>
                            <w:r>
                              <w:rPr>
                                <w:rStyle w:val="Bodytext4"/>
                              </w:rPr>
                              <w:t>s.r.o.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9" type="#_x0000_t202" style="position:absolute;margin-left:72.1pt;margin-top:81.2pt;width:130.8pt;height:9.35pt;z-index:125829386;visibility:visible;mso-wrap-style:none;mso-wrap-distance-left:0;mso-wrap-distance-top:81.2pt;mso-wrap-distance-right:0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" filled="f" stroked="f">
                <v:textbox inset="0,0,0,0">
                  <w:txbxContent>
                    <w:p w:rsidR="008C1085" w:rsidRDefault="0003771B">
                      <w:pPr>
                        <w:pStyle w:val="Bodytext40"/>
                      </w:pPr>
                      <w:proofErr w:type="spellStart"/>
                      <w:r>
                        <w:rPr>
                          <w:rStyle w:val="Bodytext4"/>
                        </w:rPr>
                        <w:t>Podpis</w:t>
                      </w:r>
                      <w:proofErr w:type="spellEnd"/>
                      <w:r>
                        <w:rPr>
                          <w:rStyle w:val="Bodytext4"/>
                        </w:rPr>
                        <w:t xml:space="preserve"> </w:t>
                      </w:r>
                      <w:r>
                        <w:rPr>
                          <w:rStyle w:val="Bodytext4"/>
                          <w:lang w:val="cs-CZ" w:eastAsia="cs-CZ" w:bidi="cs-CZ"/>
                        </w:rPr>
                        <w:t xml:space="preserve">zástupce </w:t>
                      </w:r>
                      <w:r>
                        <w:rPr>
                          <w:rStyle w:val="Bodytext4"/>
                        </w:rPr>
                        <w:t xml:space="preserve">INTERNEXT 2000, </w:t>
                      </w:r>
                      <w:proofErr w:type="spellStart"/>
                      <w:r>
                        <w:rPr>
                          <w:rStyle w:val="Bodytext4"/>
                        </w:rPr>
                        <w:t>s.r.o.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1085" w:rsidRDefault="008C1085">
      <w:pPr>
        <w:spacing w:before="48" w:after="48" w:line="240" w:lineRule="exact"/>
        <w:rPr>
          <w:sz w:val="19"/>
          <w:szCs w:val="19"/>
        </w:rPr>
      </w:pPr>
    </w:p>
    <w:p w:rsidR="008C1085" w:rsidRDefault="008C1085">
      <w:pPr>
        <w:spacing w:line="1" w:lineRule="exact"/>
        <w:sectPr w:rsidR="008C1085">
          <w:type w:val="continuous"/>
          <w:pgSz w:w="11900" w:h="16840"/>
          <w:pgMar w:top="1177" w:right="0" w:bottom="860" w:left="0" w:header="0" w:footer="3" w:gutter="0"/>
          <w:cols w:space="720"/>
          <w:noEndnote/>
          <w:docGrid w:linePitch="360"/>
        </w:sectPr>
      </w:pPr>
    </w:p>
    <w:p w:rsidR="008C1085" w:rsidRDefault="0003771B">
      <w:pPr>
        <w:pStyle w:val="Bodytext50"/>
      </w:pPr>
      <w:proofErr w:type="spellStart"/>
      <w:r>
        <w:rPr>
          <w:rStyle w:val="Bodytext5"/>
        </w:rPr>
        <w:t>verze</w:t>
      </w:r>
      <w:proofErr w:type="spellEnd"/>
      <w:r>
        <w:rPr>
          <w:rStyle w:val="Bodytext5"/>
        </w:rPr>
        <w:t xml:space="preserve"> SAP 5.02.2309</w:t>
      </w:r>
    </w:p>
    <w:sectPr w:rsidR="008C1085">
      <w:type w:val="continuous"/>
      <w:pgSz w:w="11900" w:h="16840"/>
      <w:pgMar w:top="1177" w:right="377" w:bottom="860" w:left="4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71B" w:rsidRDefault="0003771B">
      <w:r>
        <w:separator/>
      </w:r>
    </w:p>
  </w:endnote>
  <w:endnote w:type="continuationSeparator" w:id="0">
    <w:p w:rsidR="0003771B" w:rsidRDefault="0003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085" w:rsidRDefault="0003771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6850380</wp:posOffset>
              </wp:positionH>
              <wp:positionV relativeFrom="page">
                <wp:posOffset>10516235</wp:posOffset>
              </wp:positionV>
              <wp:extent cx="466090" cy="673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090" cy="67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1085" w:rsidRDefault="0003771B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4"/>
                              <w:szCs w:val="14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1" type="#_x0000_t202" style="position:absolute;margin-left:539.4pt;margin-top:828.05pt;width:36.7pt;height:5.3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" filled="f" stroked="f">
              <v:textbox style="mso-fit-shape-to-text:t" inset="0,0,0,0">
                <w:txbxContent>
                  <w:p w:rsidR="008C1085" w:rsidRDefault="0003771B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sz w:val="14"/>
                        <w:szCs w:val="14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4"/>
                        <w:szCs w:val="14"/>
                      </w:rPr>
                      <w:t>#</w:t>
                    </w:r>
                    <w:r>
                      <w:rPr>
                        <w:rStyle w:val="Headerorfooter2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Style w:val="Headerorfooter2"/>
                        <w:sz w:val="14"/>
                        <w:szCs w:val="14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71B" w:rsidRDefault="0003771B"/>
  </w:footnote>
  <w:footnote w:type="continuationSeparator" w:id="0">
    <w:p w:rsidR="0003771B" w:rsidRDefault="000377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085" w:rsidRDefault="0003771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315595</wp:posOffset>
              </wp:positionH>
              <wp:positionV relativeFrom="page">
                <wp:posOffset>232410</wp:posOffset>
              </wp:positionV>
              <wp:extent cx="6900545" cy="1860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0545" cy="186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1085" w:rsidRDefault="0003771B">
                          <w:pPr>
                            <w:pStyle w:val="Headerorfooter20"/>
                            <w:rPr>
                              <w:rStyle w:val="Headerorfooter2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Headerorfooter2"/>
                              <w:sz w:val="32"/>
                              <w:szCs w:val="32"/>
                            </w:rPr>
                            <w:t>SMLOUVA O POSKYTOVÁNÍ SLUŽEB ELEKTRONICKÝCH KOMUNIKACÍ</w:t>
                          </w:r>
                        </w:p>
                        <w:p w:rsidR="00B07F9C" w:rsidRDefault="00B07F9C">
                          <w:pPr>
                            <w:pStyle w:val="Headerorfooter2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   (004213)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0" type="#_x0000_t202" style="position:absolute;margin-left:24.85pt;margin-top:18.3pt;width:543.35pt;height:14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" filled="f" stroked="f">
              <v:textbox style="mso-fit-shape-to-text:t" inset="0,0,0,0">
                <w:txbxContent>
                  <w:p w:rsidR="008C1085" w:rsidRDefault="0003771B">
                    <w:pPr>
                      <w:pStyle w:val="Headerorfooter20"/>
                      <w:rPr>
                        <w:rStyle w:val="Headerorfooter2"/>
                        <w:sz w:val="32"/>
                        <w:szCs w:val="32"/>
                      </w:rPr>
                    </w:pPr>
                    <w:r>
                      <w:rPr>
                        <w:rStyle w:val="Headerorfooter2"/>
                        <w:sz w:val="32"/>
                        <w:szCs w:val="32"/>
                      </w:rPr>
                      <w:t>SMLOUVA O POSKYTOVÁNÍ SLUŽEB ELEKTRONICKÝCH KOMUNIKACÍ</w:t>
                    </w:r>
                  </w:p>
                  <w:p w:rsidR="00B07F9C" w:rsidRDefault="00B07F9C">
                    <w:pPr>
                      <w:pStyle w:val="Headerorfooter20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   (004213)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B6361"/>
    <w:multiLevelType w:val="multilevel"/>
    <w:tmpl w:val="967A6008"/>
    <w:lvl w:ilvl="0">
      <w:start w:val="9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C01A50"/>
    <w:multiLevelType w:val="multilevel"/>
    <w:tmpl w:val="6A720278"/>
    <w:lvl w:ilvl="0">
      <w:start w:val="5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976C35"/>
    <w:multiLevelType w:val="multilevel"/>
    <w:tmpl w:val="1BDC0C28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90400A"/>
    <w:multiLevelType w:val="multilevel"/>
    <w:tmpl w:val="F258B8AA"/>
    <w:lvl w:ilvl="0">
      <w:start w:val="18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085"/>
    <w:rsid w:val="0003771B"/>
    <w:rsid w:val="008C1085"/>
    <w:rsid w:val="00B0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DFD1D"/>
  <w15:docId w15:val="{CD19A210-1BBE-4485-8CA6-843B042B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">
    <w:name w:val="Body text|4_"/>
    <w:basedOn w:val="Standardnpsmoodstavce"/>
    <w:link w:val="Bodytext40"/>
    <w:rPr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">
    <w:name w:val="Body text|5_"/>
    <w:basedOn w:val="Standardnpsmoodstavce"/>
    <w:link w:val="Bodytext50"/>
    <w:rPr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paragraph" w:customStyle="1" w:styleId="Bodytext30">
    <w:name w:val="Body text|3"/>
    <w:basedOn w:val="Normln"/>
    <w:link w:val="Bodytext3"/>
    <w:pPr>
      <w:spacing w:after="30"/>
      <w:ind w:left="1110"/>
    </w:pPr>
    <w:rPr>
      <w:sz w:val="18"/>
      <w:szCs w:val="18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6"/>
      <w:szCs w:val="16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sz w:val="58"/>
      <w:szCs w:val="58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Tablecaption10">
    <w:name w:val="Table caption|1"/>
    <w:basedOn w:val="Normln"/>
    <w:link w:val="Tablecaption1"/>
    <w:rPr>
      <w:sz w:val="14"/>
      <w:szCs w:val="14"/>
    </w:rPr>
  </w:style>
  <w:style w:type="paragraph" w:customStyle="1" w:styleId="Bodytext40">
    <w:name w:val="Body text|4"/>
    <w:basedOn w:val="Normln"/>
    <w:link w:val="Bodytext4"/>
    <w:rPr>
      <w:sz w:val="14"/>
      <w:szCs w:val="14"/>
      <w:lang w:val="en-US" w:eastAsia="en-US" w:bidi="en-US"/>
    </w:rPr>
  </w:style>
  <w:style w:type="paragraph" w:customStyle="1" w:styleId="Bodytext10">
    <w:name w:val="Body text|1"/>
    <w:basedOn w:val="Normln"/>
    <w:link w:val="Bodytext1"/>
    <w:rPr>
      <w:sz w:val="16"/>
      <w:szCs w:val="16"/>
    </w:rPr>
  </w:style>
  <w:style w:type="paragraph" w:customStyle="1" w:styleId="Bodytext50">
    <w:name w:val="Body text|5"/>
    <w:basedOn w:val="Normln"/>
    <w:link w:val="Bodytext5"/>
    <w:pPr>
      <w:jc w:val="right"/>
    </w:pPr>
    <w:rPr>
      <w:sz w:val="8"/>
      <w:szCs w:val="8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B07F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7F9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07F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7F9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nternex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nternext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1324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Crystal Reports - INEXT-Smlouva 5.02.2309</vt:lpstr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 Reports - INEXT-Smlouva 5.02.2309</dc:title>
  <dc:subject/>
  <dc:creator>Gabriela Vinklerová</dc:creator>
  <cp:keywords/>
  <cp:lastModifiedBy>Vinklerová Gabriela</cp:lastModifiedBy>
  <cp:revision>2</cp:revision>
  <dcterms:created xsi:type="dcterms:W3CDTF">2025-09-24T10:26:00Z</dcterms:created>
  <dcterms:modified xsi:type="dcterms:W3CDTF">2025-09-24T10:26:00Z</dcterms:modified>
</cp:coreProperties>
</file>