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7D09" w14:textId="77777777" w:rsidR="007878C7" w:rsidRDefault="007878C7" w:rsidP="007878C7">
      <w:pPr>
        <w:pStyle w:val="Nzev"/>
        <w:rPr>
          <w:sz w:val="32"/>
        </w:rPr>
      </w:pPr>
      <w:r>
        <w:rPr>
          <w:sz w:val="32"/>
        </w:rPr>
        <w:t>S M L O U V A</w:t>
      </w:r>
    </w:p>
    <w:p w14:paraId="6AAC8DCC" w14:textId="77777777" w:rsidR="007878C7" w:rsidRDefault="007878C7" w:rsidP="007878C7">
      <w:pPr>
        <w:pStyle w:val="Nzev"/>
        <w:rPr>
          <w:b w:val="0"/>
          <w:sz w:val="24"/>
        </w:rPr>
      </w:pPr>
      <w:r>
        <w:rPr>
          <w:b w:val="0"/>
          <w:sz w:val="24"/>
        </w:rPr>
        <w:t xml:space="preserve">č. </w:t>
      </w:r>
      <w:r w:rsidR="00C34E54">
        <w:rPr>
          <w:b w:val="0"/>
          <w:sz w:val="24"/>
        </w:rPr>
        <w:t>14/02 - CGB</w:t>
      </w:r>
    </w:p>
    <w:p w14:paraId="78C8A88B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44F6C9BE" w14:textId="77777777" w:rsidR="007878C7" w:rsidRDefault="007878C7" w:rsidP="007878C7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 xml:space="preserve">uzavřená v souladu s ustanovením § </w:t>
      </w:r>
      <w:r w:rsidR="005B3E6D">
        <w:rPr>
          <w:b w:val="0"/>
          <w:sz w:val="24"/>
        </w:rPr>
        <w:t xml:space="preserve">1746 </w:t>
      </w:r>
      <w:r>
        <w:rPr>
          <w:b w:val="0"/>
          <w:sz w:val="24"/>
        </w:rPr>
        <w:t xml:space="preserve">odst. 2 zákona č. </w:t>
      </w:r>
      <w:r w:rsidR="005B3E6D">
        <w:rPr>
          <w:b w:val="0"/>
          <w:sz w:val="24"/>
        </w:rPr>
        <w:t>89/2012</w:t>
      </w:r>
      <w:r>
        <w:rPr>
          <w:b w:val="0"/>
          <w:sz w:val="24"/>
        </w:rPr>
        <w:t xml:space="preserve"> Sb. v platném znění mezi</w:t>
      </w:r>
    </w:p>
    <w:p w14:paraId="4AA65191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699415D1" w14:textId="77777777" w:rsidR="007878C7" w:rsidRDefault="007878C7" w:rsidP="007878C7">
      <w:pPr>
        <w:pStyle w:val="Nzev"/>
        <w:numPr>
          <w:ilvl w:val="0"/>
          <w:numId w:val="12"/>
        </w:numPr>
        <w:jc w:val="both"/>
        <w:rPr>
          <w:b w:val="0"/>
          <w:sz w:val="24"/>
        </w:rPr>
      </w:pPr>
      <w:proofErr w:type="gramStart"/>
      <w:r>
        <w:rPr>
          <w:b w:val="0"/>
          <w:sz w:val="24"/>
        </w:rPr>
        <w:t>CGB - Consult</w:t>
      </w:r>
      <w:proofErr w:type="gramEnd"/>
      <w:r>
        <w:rPr>
          <w:b w:val="0"/>
          <w:sz w:val="24"/>
        </w:rPr>
        <w:t xml:space="preserve">, s. r. o. </w:t>
      </w:r>
    </w:p>
    <w:p w14:paraId="7115F393" w14:textId="77777777" w:rsidR="007878C7" w:rsidRDefault="007878C7" w:rsidP="007878C7">
      <w:pPr>
        <w:pStyle w:val="Nzev"/>
        <w:ind w:left="708" w:firstLine="12"/>
        <w:jc w:val="both"/>
        <w:rPr>
          <w:b w:val="0"/>
          <w:sz w:val="24"/>
        </w:rPr>
      </w:pPr>
      <w:r>
        <w:rPr>
          <w:b w:val="0"/>
          <w:sz w:val="24"/>
        </w:rPr>
        <w:t>zastoupená panem Ing. Janem Chalupou, CSc., jednatelem společnosti</w:t>
      </w:r>
    </w:p>
    <w:p w14:paraId="722E49E2" w14:textId="77777777" w:rsidR="007878C7" w:rsidRDefault="007878C7" w:rsidP="007878C7">
      <w:pPr>
        <w:pStyle w:val="Nzev"/>
        <w:ind w:left="708" w:firstLine="12"/>
        <w:jc w:val="both"/>
        <w:rPr>
          <w:b w:val="0"/>
          <w:sz w:val="24"/>
        </w:rPr>
      </w:pPr>
      <w:r>
        <w:rPr>
          <w:b w:val="0"/>
          <w:sz w:val="24"/>
        </w:rPr>
        <w:t>se sídlem Prvního pluku 143/</w:t>
      </w:r>
      <w:proofErr w:type="gramStart"/>
      <w:r>
        <w:rPr>
          <w:b w:val="0"/>
          <w:sz w:val="24"/>
        </w:rPr>
        <w:t>12a</w:t>
      </w:r>
      <w:proofErr w:type="gramEnd"/>
      <w:r>
        <w:rPr>
          <w:b w:val="0"/>
          <w:sz w:val="24"/>
        </w:rPr>
        <w:t>, 186 00 Praha 8 - Karlín</w:t>
      </w:r>
    </w:p>
    <w:p w14:paraId="74D54A20" w14:textId="77777777" w:rsidR="007878C7" w:rsidRDefault="007878C7" w:rsidP="007878C7">
      <w:pPr>
        <w:pStyle w:val="Nzev"/>
        <w:ind w:left="708" w:firstLine="12"/>
        <w:jc w:val="both"/>
        <w:rPr>
          <w:b w:val="0"/>
          <w:sz w:val="24"/>
        </w:rPr>
      </w:pPr>
      <w:r>
        <w:rPr>
          <w:b w:val="0"/>
          <w:sz w:val="24"/>
        </w:rPr>
        <w:t>IČ: 25100921, DIČ: CZ25100921</w:t>
      </w:r>
    </w:p>
    <w:p w14:paraId="3589A48A" w14:textId="77777777" w:rsidR="007878C7" w:rsidRDefault="007878C7" w:rsidP="007878C7">
      <w:pPr>
        <w:pStyle w:val="Nzev"/>
        <w:ind w:left="708" w:firstLine="12"/>
        <w:jc w:val="both"/>
        <w:rPr>
          <w:b w:val="0"/>
          <w:sz w:val="24"/>
        </w:rPr>
      </w:pPr>
      <w:r>
        <w:rPr>
          <w:b w:val="0"/>
          <w:sz w:val="24"/>
        </w:rPr>
        <w:t xml:space="preserve">Bankovní spojení: Komerční banka, a. s., č. ú: </w:t>
      </w:r>
      <w:r w:rsidR="008D1550">
        <w:rPr>
          <w:b w:val="0"/>
          <w:sz w:val="24"/>
        </w:rPr>
        <w:t>xxxxxxxxxxxxxxxxxxxx</w:t>
      </w:r>
      <w:r>
        <w:rPr>
          <w:b w:val="0"/>
          <w:sz w:val="24"/>
        </w:rPr>
        <w:t xml:space="preserve">  </w:t>
      </w:r>
    </w:p>
    <w:p w14:paraId="7C79FFCC" w14:textId="77777777" w:rsidR="007878C7" w:rsidRDefault="007878C7" w:rsidP="007878C7">
      <w:pPr>
        <w:pStyle w:val="Nzev"/>
        <w:ind w:left="708" w:firstLine="12"/>
        <w:jc w:val="both"/>
        <w:rPr>
          <w:b w:val="0"/>
          <w:sz w:val="24"/>
        </w:rPr>
      </w:pPr>
      <w:r>
        <w:rPr>
          <w:b w:val="0"/>
          <w:sz w:val="24"/>
        </w:rPr>
        <w:t xml:space="preserve">(dále jen „dodavatel“) </w:t>
      </w:r>
    </w:p>
    <w:p w14:paraId="6F5721C1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7CB6D1A3" w14:textId="77777777" w:rsidR="007878C7" w:rsidRDefault="007878C7" w:rsidP="007878C7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a</w:t>
      </w:r>
    </w:p>
    <w:p w14:paraId="0C95430B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5539B4F7" w14:textId="77777777" w:rsidR="007878C7" w:rsidRDefault="007157C2" w:rsidP="007878C7">
      <w:pPr>
        <w:pStyle w:val="Nzev"/>
        <w:numPr>
          <w:ilvl w:val="0"/>
          <w:numId w:val="12"/>
        </w:numPr>
        <w:jc w:val="both"/>
        <w:rPr>
          <w:b w:val="0"/>
          <w:sz w:val="24"/>
        </w:rPr>
      </w:pPr>
      <w:r>
        <w:rPr>
          <w:b w:val="0"/>
          <w:sz w:val="24"/>
        </w:rPr>
        <w:t>Psychiatrickou nemocnicí Horní Beřkovice</w:t>
      </w:r>
    </w:p>
    <w:p w14:paraId="21E05BDF" w14:textId="77777777" w:rsidR="007878C7" w:rsidRDefault="007878C7" w:rsidP="007878C7">
      <w:pPr>
        <w:pStyle w:val="Nzev"/>
        <w:ind w:left="720"/>
        <w:jc w:val="both"/>
        <w:rPr>
          <w:b w:val="0"/>
          <w:sz w:val="24"/>
        </w:rPr>
      </w:pPr>
      <w:r>
        <w:rPr>
          <w:b w:val="0"/>
          <w:sz w:val="24"/>
        </w:rPr>
        <w:t>zastoupen</w:t>
      </w:r>
      <w:r w:rsidR="00F172B7">
        <w:rPr>
          <w:b w:val="0"/>
          <w:sz w:val="24"/>
        </w:rPr>
        <w:t>ou</w:t>
      </w:r>
      <w:r>
        <w:rPr>
          <w:b w:val="0"/>
          <w:sz w:val="24"/>
        </w:rPr>
        <w:t xml:space="preserve"> panem </w:t>
      </w:r>
      <w:r w:rsidR="007157C2">
        <w:rPr>
          <w:b w:val="0"/>
          <w:sz w:val="24"/>
        </w:rPr>
        <w:t xml:space="preserve">MUDr. Jiřím Tomečkem, MBA, </w:t>
      </w:r>
      <w:r>
        <w:rPr>
          <w:b w:val="0"/>
          <w:sz w:val="24"/>
        </w:rPr>
        <w:t>ředitelem</w:t>
      </w:r>
    </w:p>
    <w:p w14:paraId="37314252" w14:textId="77777777" w:rsidR="0029715E" w:rsidRDefault="007878C7" w:rsidP="007878C7">
      <w:pPr>
        <w:pStyle w:val="Nzev"/>
        <w:ind w:left="720"/>
        <w:jc w:val="both"/>
        <w:rPr>
          <w:b w:val="0"/>
          <w:sz w:val="24"/>
        </w:rPr>
      </w:pPr>
      <w:r>
        <w:rPr>
          <w:b w:val="0"/>
          <w:sz w:val="24"/>
        </w:rPr>
        <w:t xml:space="preserve">se sídlem </w:t>
      </w:r>
      <w:r w:rsidR="007157C2">
        <w:rPr>
          <w:b w:val="0"/>
          <w:sz w:val="24"/>
        </w:rPr>
        <w:t>Podřipská 1, 411 85 Horní Beřkovice</w:t>
      </w:r>
    </w:p>
    <w:p w14:paraId="77CA0220" w14:textId="77777777" w:rsidR="007878C7" w:rsidRDefault="007878C7" w:rsidP="007878C7">
      <w:pPr>
        <w:pStyle w:val="Nzev"/>
        <w:ind w:left="720"/>
        <w:jc w:val="both"/>
        <w:rPr>
          <w:b w:val="0"/>
          <w:sz w:val="24"/>
        </w:rPr>
      </w:pPr>
      <w:r>
        <w:rPr>
          <w:b w:val="0"/>
          <w:sz w:val="24"/>
        </w:rPr>
        <w:t>IČ: 00</w:t>
      </w:r>
      <w:r w:rsidR="007157C2">
        <w:rPr>
          <w:b w:val="0"/>
          <w:sz w:val="24"/>
        </w:rPr>
        <w:t>673552</w:t>
      </w:r>
      <w:r>
        <w:rPr>
          <w:b w:val="0"/>
          <w:sz w:val="24"/>
        </w:rPr>
        <w:t>, DIČ: CZ00</w:t>
      </w:r>
      <w:r w:rsidR="007157C2">
        <w:rPr>
          <w:b w:val="0"/>
          <w:sz w:val="24"/>
        </w:rPr>
        <w:t>673552</w:t>
      </w:r>
    </w:p>
    <w:p w14:paraId="1BC08AA0" w14:textId="77777777" w:rsidR="007878C7" w:rsidRDefault="007878C7" w:rsidP="007878C7">
      <w:pPr>
        <w:pStyle w:val="Nzev"/>
        <w:ind w:left="720"/>
        <w:jc w:val="both"/>
        <w:rPr>
          <w:b w:val="0"/>
          <w:sz w:val="24"/>
        </w:rPr>
      </w:pPr>
      <w:r>
        <w:rPr>
          <w:b w:val="0"/>
          <w:sz w:val="24"/>
        </w:rPr>
        <w:t xml:space="preserve">Bankovní spojení: </w:t>
      </w:r>
      <w:r w:rsidR="00052F7B">
        <w:rPr>
          <w:b w:val="0"/>
          <w:sz w:val="24"/>
        </w:rPr>
        <w:t xml:space="preserve">č.ú. </w:t>
      </w:r>
      <w:r w:rsidR="008D1550">
        <w:rPr>
          <w:b w:val="0"/>
          <w:sz w:val="24"/>
        </w:rPr>
        <w:t>xxxxxxxxxxxxxxxxxxxxxxx</w:t>
      </w:r>
    </w:p>
    <w:p w14:paraId="4492DF7C" w14:textId="77777777" w:rsidR="007878C7" w:rsidRDefault="007878C7" w:rsidP="007878C7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(dále jen „zadavatel“)</w:t>
      </w:r>
    </w:p>
    <w:p w14:paraId="51947D33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4893EF9C" w14:textId="77777777" w:rsidR="007878C7" w:rsidRDefault="007878C7" w:rsidP="007878C7">
      <w:pPr>
        <w:pStyle w:val="Nzev"/>
        <w:rPr>
          <w:sz w:val="24"/>
        </w:rPr>
      </w:pPr>
      <w:r>
        <w:rPr>
          <w:sz w:val="24"/>
        </w:rPr>
        <w:t>I.</w:t>
      </w:r>
    </w:p>
    <w:p w14:paraId="6E5C0498" w14:textId="77777777" w:rsidR="007878C7" w:rsidRDefault="007878C7" w:rsidP="007878C7">
      <w:pPr>
        <w:pStyle w:val="Nzev"/>
        <w:rPr>
          <w:sz w:val="24"/>
        </w:rPr>
      </w:pPr>
      <w:r>
        <w:rPr>
          <w:sz w:val="24"/>
        </w:rPr>
        <w:t>Předmět smlouvy</w:t>
      </w:r>
    </w:p>
    <w:p w14:paraId="5B291BA6" w14:textId="77777777" w:rsidR="007878C7" w:rsidRDefault="007878C7" w:rsidP="007878C7">
      <w:pPr>
        <w:pStyle w:val="Nzev"/>
        <w:jc w:val="both"/>
        <w:rPr>
          <w:sz w:val="24"/>
        </w:rPr>
      </w:pPr>
    </w:p>
    <w:p w14:paraId="5316A6D1" w14:textId="77777777" w:rsidR="007878C7" w:rsidRDefault="007878C7" w:rsidP="007878C7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1. Předmětem této smlouvy je závazek dodavatele zajišťovat pro zadavatele činnosti spočívající v poskytování následujících služeb:</w:t>
      </w:r>
    </w:p>
    <w:p w14:paraId="270A6EE7" w14:textId="77777777" w:rsidR="007878C7" w:rsidRDefault="007878C7" w:rsidP="007878C7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 xml:space="preserve">    </w:t>
      </w:r>
    </w:p>
    <w:p w14:paraId="564D58A0" w14:textId="77777777" w:rsidR="007878C7" w:rsidRDefault="007878C7" w:rsidP="007878C7">
      <w:pPr>
        <w:pStyle w:val="Nzev"/>
        <w:numPr>
          <w:ilvl w:val="1"/>
          <w:numId w:val="1"/>
        </w:numPr>
        <w:jc w:val="both"/>
        <w:rPr>
          <w:b w:val="0"/>
          <w:sz w:val="24"/>
        </w:rPr>
      </w:pPr>
      <w:r>
        <w:rPr>
          <w:b w:val="0"/>
          <w:sz w:val="24"/>
        </w:rPr>
        <w:t>Daňové</w:t>
      </w:r>
      <w:r w:rsidR="00705DDB">
        <w:rPr>
          <w:b w:val="0"/>
          <w:sz w:val="24"/>
        </w:rPr>
        <w:t xml:space="preserve">, </w:t>
      </w:r>
      <w:r>
        <w:rPr>
          <w:b w:val="0"/>
          <w:sz w:val="24"/>
        </w:rPr>
        <w:t>účetní</w:t>
      </w:r>
      <w:r w:rsidR="00705DDB">
        <w:rPr>
          <w:b w:val="0"/>
          <w:sz w:val="24"/>
        </w:rPr>
        <w:t xml:space="preserve"> a ekonomické </w:t>
      </w:r>
      <w:r>
        <w:rPr>
          <w:b w:val="0"/>
          <w:sz w:val="24"/>
        </w:rPr>
        <w:t xml:space="preserve">poradenství – poskytováno v místě sídla zadavatele v pracovních dnech </w:t>
      </w:r>
      <w:r w:rsidR="0029715E">
        <w:rPr>
          <w:b w:val="0"/>
          <w:sz w:val="24"/>
        </w:rPr>
        <w:t xml:space="preserve">formou pracovních cest v rozsahu </w:t>
      </w:r>
      <w:r w:rsidR="000A4302">
        <w:rPr>
          <w:b w:val="0"/>
          <w:sz w:val="24"/>
        </w:rPr>
        <w:t xml:space="preserve">šesti cest </w:t>
      </w:r>
      <w:r w:rsidR="0029715E">
        <w:rPr>
          <w:b w:val="0"/>
          <w:sz w:val="24"/>
        </w:rPr>
        <w:t>v průběhu kalendářního roku, a to v oblastech:</w:t>
      </w:r>
    </w:p>
    <w:p w14:paraId="704DE19E" w14:textId="77777777" w:rsidR="007878C7" w:rsidRDefault="007878C7" w:rsidP="007878C7">
      <w:pPr>
        <w:pStyle w:val="Nzev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aktualizace a informace o vývoji a novelizaci legislativy v oblasti daní, účetnictví a hospodaření s majetkem</w:t>
      </w:r>
    </w:p>
    <w:p w14:paraId="76D54F06" w14:textId="77777777" w:rsidR="007878C7" w:rsidRDefault="007878C7" w:rsidP="007878C7">
      <w:pPr>
        <w:pStyle w:val="Nzev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provádění průběžných kontrol </w:t>
      </w:r>
      <w:r w:rsidR="000A4302">
        <w:rPr>
          <w:b w:val="0"/>
          <w:sz w:val="24"/>
        </w:rPr>
        <w:t>postupu účtování podle vyhlášky č. 410/2009 Sb. a českých účetních standardů č. 701 až 710</w:t>
      </w:r>
    </w:p>
    <w:p w14:paraId="70459748" w14:textId="77777777" w:rsidR="000A4302" w:rsidRDefault="000A4302" w:rsidP="007878C7">
      <w:pPr>
        <w:pStyle w:val="Nzev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kontrola postupu podle vyhlášky č. 383/2009 Sb. o účetních záznamech v technické formě vybraných účetních jednotek a jejich předávání do centrálního systému účetních informací státu a zpracování Pomocného analytického přehledu</w:t>
      </w:r>
    </w:p>
    <w:p w14:paraId="38C999F8" w14:textId="77777777" w:rsidR="000A4302" w:rsidRDefault="000A4302" w:rsidP="007878C7">
      <w:pPr>
        <w:pStyle w:val="Nzev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kontrola postupů účtování v oblasti daně z přidané hodnoty se zvláštním zaměřením na členění na plný nárok na odpočet daně a účtování v případě kráceného nároku na odpočet</w:t>
      </w:r>
    </w:p>
    <w:p w14:paraId="29249FD4" w14:textId="77777777" w:rsidR="00705DDB" w:rsidRDefault="00705DDB" w:rsidP="007878C7">
      <w:pPr>
        <w:pStyle w:val="Nzev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ověření postupů účtování dlouhodobého majetku a jeho technického zhodnocení</w:t>
      </w:r>
    </w:p>
    <w:p w14:paraId="7D144E98" w14:textId="77777777" w:rsidR="007878C7" w:rsidRDefault="007878C7" w:rsidP="007878C7">
      <w:pPr>
        <w:pStyle w:val="Nzev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ověření sestavení účetní závěrky za rok </w:t>
      </w:r>
      <w:smartTag w:uri="urn:schemas-microsoft-com:office:smarttags" w:element="metricconverter">
        <w:smartTagPr>
          <w:attr w:name="ProductID" w:val="2014 a"/>
        </w:smartTagPr>
        <w:r>
          <w:rPr>
            <w:b w:val="0"/>
            <w:sz w:val="24"/>
          </w:rPr>
          <w:t>201</w:t>
        </w:r>
        <w:r w:rsidR="007157C2">
          <w:rPr>
            <w:b w:val="0"/>
            <w:sz w:val="24"/>
          </w:rPr>
          <w:t>4</w:t>
        </w:r>
        <w:r>
          <w:rPr>
            <w:b w:val="0"/>
            <w:sz w:val="24"/>
          </w:rPr>
          <w:t xml:space="preserve"> a</w:t>
        </w:r>
      </w:smartTag>
      <w:r>
        <w:rPr>
          <w:b w:val="0"/>
          <w:sz w:val="24"/>
        </w:rPr>
        <w:t xml:space="preserve"> ověřování dalších řádných závěrek za další období</w:t>
      </w:r>
    </w:p>
    <w:p w14:paraId="0F182178" w14:textId="77777777" w:rsidR="007878C7" w:rsidRDefault="007878C7" w:rsidP="007878C7">
      <w:pPr>
        <w:pStyle w:val="Nzev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provádění kontrol postupu organizace v oblasti stanovení metod použitých v účetnictví organizace  </w:t>
      </w:r>
    </w:p>
    <w:p w14:paraId="2BC8C300" w14:textId="77777777" w:rsidR="00705DDB" w:rsidRDefault="007878C7" w:rsidP="007878C7">
      <w:pPr>
        <w:pStyle w:val="Nzev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konzultace k problematice daně z přidané hodnoty v podmínkách zákona č. 235/2004 Sb., o dani z přidané hodnoty, ve znění pozdějších předpisů</w:t>
      </w:r>
      <w:r w:rsidR="00705DDB">
        <w:rPr>
          <w:b w:val="0"/>
          <w:sz w:val="24"/>
        </w:rPr>
        <w:t>, a to včetně konzultace k sestavování přiznání k dani z přidané hodnoty</w:t>
      </w:r>
    </w:p>
    <w:p w14:paraId="4FED98A3" w14:textId="77777777" w:rsidR="00705DDB" w:rsidRDefault="00705DDB" w:rsidP="007157C2">
      <w:pPr>
        <w:pStyle w:val="Nzev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konzultace k problematice silniční daně a daně z nemovitostí</w:t>
      </w:r>
    </w:p>
    <w:p w14:paraId="6905838C" w14:textId="77777777" w:rsidR="007878C7" w:rsidRDefault="007878C7" w:rsidP="007878C7">
      <w:pPr>
        <w:pStyle w:val="Nzev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ověřování vnitřního kontrolního systému organizace podle zákona č. 320/2001 Sb. o finanční kontrole</w:t>
      </w:r>
    </w:p>
    <w:p w14:paraId="13948600" w14:textId="77777777" w:rsidR="00705DDB" w:rsidRDefault="00705DDB" w:rsidP="007878C7">
      <w:pPr>
        <w:pStyle w:val="Nzev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ověření systému zpracování kalkulací pro stanovení cen poskytovaných služeb a činností, nehrazených ze zdravotního pojištění</w:t>
      </w:r>
    </w:p>
    <w:p w14:paraId="43E5764E" w14:textId="77777777" w:rsidR="00705DDB" w:rsidRDefault="00705DDB" w:rsidP="007878C7">
      <w:pPr>
        <w:pStyle w:val="Nzev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zajištění konkrétních služeb na vyžádání vedení zadavatele, týkající se speciálních oblastí zadavatele v odvětví zdravotnictví</w:t>
      </w:r>
    </w:p>
    <w:p w14:paraId="54F8730A" w14:textId="77777777" w:rsidR="007878C7" w:rsidRDefault="007878C7" w:rsidP="007878C7">
      <w:pPr>
        <w:pStyle w:val="Nzev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ověřování postupu organizace v rámci zajištění zpracování interních směrnic stanovených zákonem č. 563/1991 Sb., o účetnictví, ve znění pozdějších předpisů </w:t>
      </w:r>
      <w:r>
        <w:rPr>
          <w:b w:val="0"/>
          <w:sz w:val="24"/>
        </w:rPr>
        <w:br/>
        <w:t>a prováděcími právními předpisy k uvedenému zákonu</w:t>
      </w:r>
    </w:p>
    <w:p w14:paraId="5A622544" w14:textId="77777777" w:rsidR="00705DDB" w:rsidRDefault="007878C7" w:rsidP="007878C7">
      <w:pPr>
        <w:pStyle w:val="Nzev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konzultace a vypracování stanovisek ke sporným problémům</w:t>
      </w:r>
    </w:p>
    <w:p w14:paraId="023C8B5B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67BAD9E1" w14:textId="77777777" w:rsidR="007878C7" w:rsidRDefault="007878C7" w:rsidP="007878C7">
      <w:pPr>
        <w:pStyle w:val="Nzev"/>
        <w:numPr>
          <w:ilvl w:val="1"/>
          <w:numId w:val="1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Dodavatel je povinen se dostavit k provedení kontroly, poskytnout konzultaci či jinou službu specifikovanou v této smlouvě ve lhůtě do </w:t>
      </w:r>
      <w:r w:rsidR="00705DDB">
        <w:rPr>
          <w:b w:val="0"/>
          <w:sz w:val="24"/>
        </w:rPr>
        <w:t xml:space="preserve">pěti </w:t>
      </w:r>
      <w:r>
        <w:rPr>
          <w:b w:val="0"/>
          <w:sz w:val="24"/>
        </w:rPr>
        <w:t>pracovních dnů ode dne požadavku zadavatele.</w:t>
      </w:r>
    </w:p>
    <w:p w14:paraId="064572F2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31576F1A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024E1356" w14:textId="77777777" w:rsidR="007878C7" w:rsidRDefault="007878C7" w:rsidP="007878C7">
      <w:pPr>
        <w:pStyle w:val="Nzev"/>
        <w:rPr>
          <w:sz w:val="24"/>
        </w:rPr>
      </w:pPr>
      <w:r>
        <w:rPr>
          <w:sz w:val="24"/>
        </w:rPr>
        <w:t>II.</w:t>
      </w:r>
    </w:p>
    <w:p w14:paraId="08488A62" w14:textId="77777777" w:rsidR="007878C7" w:rsidRDefault="007878C7" w:rsidP="007878C7">
      <w:pPr>
        <w:pStyle w:val="Nzev"/>
        <w:rPr>
          <w:sz w:val="24"/>
        </w:rPr>
      </w:pPr>
      <w:r>
        <w:rPr>
          <w:sz w:val="24"/>
        </w:rPr>
        <w:t>Práva a povinnosti dodavatele</w:t>
      </w:r>
    </w:p>
    <w:p w14:paraId="61F197A9" w14:textId="77777777" w:rsidR="007878C7" w:rsidRDefault="007878C7" w:rsidP="007878C7">
      <w:pPr>
        <w:pStyle w:val="Nzev"/>
        <w:jc w:val="both"/>
        <w:rPr>
          <w:sz w:val="24"/>
        </w:rPr>
      </w:pPr>
    </w:p>
    <w:p w14:paraId="0C5418DD" w14:textId="77777777" w:rsidR="007878C7" w:rsidRDefault="00C34E54" w:rsidP="007878C7">
      <w:pPr>
        <w:pStyle w:val="Nzev"/>
        <w:numPr>
          <w:ilvl w:val="0"/>
          <w:numId w:val="3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Dodavatel </w:t>
      </w:r>
      <w:r w:rsidR="007878C7">
        <w:rPr>
          <w:b w:val="0"/>
          <w:sz w:val="24"/>
        </w:rPr>
        <w:t>se zavazuje zejména:</w:t>
      </w:r>
    </w:p>
    <w:p w14:paraId="114A7EC0" w14:textId="77777777" w:rsidR="007878C7" w:rsidRDefault="007878C7" w:rsidP="007878C7">
      <w:pPr>
        <w:pStyle w:val="Nzev"/>
        <w:numPr>
          <w:ilvl w:val="0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zajistit provádění konzultační a poradenské činnosti</w:t>
      </w:r>
      <w:r w:rsidRPr="00303E6C">
        <w:rPr>
          <w:b w:val="0"/>
          <w:sz w:val="24"/>
        </w:rPr>
        <w:t xml:space="preserve"> </w:t>
      </w:r>
      <w:r>
        <w:rPr>
          <w:b w:val="0"/>
          <w:sz w:val="24"/>
        </w:rPr>
        <w:t>v místě sídla zadavatele podle bodu 1.1. této smlouvy, a to dle potřeby zadavatele</w:t>
      </w:r>
    </w:p>
    <w:p w14:paraId="71ED4285" w14:textId="77777777" w:rsidR="007878C7" w:rsidRDefault="007878C7" w:rsidP="007878C7">
      <w:pPr>
        <w:pStyle w:val="Nzev"/>
        <w:numPr>
          <w:ilvl w:val="0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zajistit poskytování další konzultační činnosti podle bodu 1.1. této smlouvy formou odpovědí na telefonické, faxové a e-mailové dotazy, a to buďto přímo telefonicky po obdržení dotazu nebo písemnou formou (odpověď e-mailem), nejpozději do tří pracovních dnů po obdržení dotazu,</w:t>
      </w:r>
      <w:r w:rsidR="00705DDB">
        <w:rPr>
          <w:b w:val="0"/>
          <w:sz w:val="24"/>
        </w:rPr>
        <w:t xml:space="preserve"> a to v rozsahu </w:t>
      </w:r>
      <w:r w:rsidR="005B3E6D">
        <w:rPr>
          <w:b w:val="0"/>
          <w:sz w:val="24"/>
        </w:rPr>
        <w:t xml:space="preserve">do </w:t>
      </w:r>
      <w:r w:rsidR="00705DDB">
        <w:rPr>
          <w:b w:val="0"/>
          <w:sz w:val="24"/>
        </w:rPr>
        <w:t>10 hodin měsíčně,</w:t>
      </w:r>
    </w:p>
    <w:p w14:paraId="361DE00E" w14:textId="77777777" w:rsidR="007878C7" w:rsidRDefault="007878C7" w:rsidP="007878C7">
      <w:pPr>
        <w:pStyle w:val="Nzev"/>
        <w:numPr>
          <w:ilvl w:val="0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upozornit zadavatele na základě výsledků provedených kontrolních činností podle článku 1.1. této smlouvy na jeho pochybení a nutnost nápravy zejména s ohledem na ustanovení právních předpisů pro danou zjištěnou oblast,</w:t>
      </w:r>
    </w:p>
    <w:p w14:paraId="332936C1" w14:textId="77777777" w:rsidR="007878C7" w:rsidRDefault="007878C7" w:rsidP="007878C7">
      <w:pPr>
        <w:pStyle w:val="Nzev"/>
        <w:numPr>
          <w:ilvl w:val="0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na vyžádání zadavatele předkládat písemné zprávy o výsledcích plnění předmětu této smlouvy, </w:t>
      </w:r>
    </w:p>
    <w:p w14:paraId="4F265065" w14:textId="77777777" w:rsidR="007878C7" w:rsidRDefault="007878C7" w:rsidP="007878C7">
      <w:pPr>
        <w:pStyle w:val="Nzev"/>
        <w:numPr>
          <w:ilvl w:val="0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zachovávat mlčenlivost o získaných údajích poskytnutých zadavatelem, s výjimkou údajů, které jsou veřejně známy, a to i po skončení platnosti této smlouvy, a to bez časového omezení.</w:t>
      </w:r>
    </w:p>
    <w:p w14:paraId="0BE71B12" w14:textId="77777777" w:rsidR="007878C7" w:rsidRDefault="007878C7" w:rsidP="007878C7">
      <w:pPr>
        <w:pStyle w:val="Nzev"/>
        <w:ind w:left="660"/>
        <w:jc w:val="both"/>
        <w:rPr>
          <w:b w:val="0"/>
          <w:sz w:val="24"/>
        </w:rPr>
      </w:pPr>
    </w:p>
    <w:p w14:paraId="3C0635FD" w14:textId="77777777" w:rsidR="007878C7" w:rsidRDefault="007878C7" w:rsidP="007878C7">
      <w:pPr>
        <w:pStyle w:val="Nzev"/>
        <w:numPr>
          <w:ilvl w:val="0"/>
          <w:numId w:val="3"/>
        </w:numPr>
        <w:jc w:val="both"/>
        <w:rPr>
          <w:b w:val="0"/>
          <w:sz w:val="24"/>
        </w:rPr>
      </w:pPr>
      <w:r>
        <w:rPr>
          <w:b w:val="0"/>
          <w:sz w:val="24"/>
        </w:rPr>
        <w:t>Dodavatel má právo zejména</w:t>
      </w:r>
    </w:p>
    <w:p w14:paraId="55520A71" w14:textId="77777777" w:rsidR="007878C7" w:rsidRDefault="007878C7" w:rsidP="007878C7">
      <w:pPr>
        <w:pStyle w:val="Nzev"/>
        <w:numPr>
          <w:ilvl w:val="0"/>
          <w:numId w:val="5"/>
        </w:numPr>
        <w:jc w:val="both"/>
        <w:rPr>
          <w:b w:val="0"/>
          <w:sz w:val="24"/>
        </w:rPr>
      </w:pPr>
      <w:r>
        <w:rPr>
          <w:b w:val="0"/>
          <w:sz w:val="24"/>
        </w:rPr>
        <w:t>na poskytnutí odměny ve výši a čase, jak je dohodnuto</w:t>
      </w:r>
    </w:p>
    <w:p w14:paraId="47678198" w14:textId="77777777" w:rsidR="007878C7" w:rsidRDefault="007878C7" w:rsidP="007878C7">
      <w:pPr>
        <w:pStyle w:val="Nzev"/>
        <w:numPr>
          <w:ilvl w:val="0"/>
          <w:numId w:val="5"/>
        </w:numPr>
        <w:jc w:val="both"/>
        <w:rPr>
          <w:b w:val="0"/>
          <w:sz w:val="24"/>
        </w:rPr>
      </w:pPr>
      <w:r>
        <w:rPr>
          <w:b w:val="0"/>
          <w:sz w:val="24"/>
        </w:rPr>
        <w:t>použít odborných znalostí třetích osob pro perfektní zajištění plnění předmětu této smlouvy</w:t>
      </w:r>
    </w:p>
    <w:p w14:paraId="68E37750" w14:textId="77777777" w:rsidR="007878C7" w:rsidRDefault="007878C7" w:rsidP="007878C7">
      <w:pPr>
        <w:pStyle w:val="Nzev"/>
        <w:numPr>
          <w:ilvl w:val="0"/>
          <w:numId w:val="5"/>
        </w:numPr>
        <w:jc w:val="both"/>
        <w:rPr>
          <w:b w:val="0"/>
          <w:sz w:val="24"/>
        </w:rPr>
      </w:pPr>
      <w:r>
        <w:rPr>
          <w:b w:val="0"/>
          <w:sz w:val="24"/>
        </w:rPr>
        <w:t>na poskytnutí potřebných informací k jednotlivým případům a součinnost zadavatele při jejich zajišťování</w:t>
      </w:r>
    </w:p>
    <w:p w14:paraId="796522C2" w14:textId="77777777" w:rsidR="007878C7" w:rsidRDefault="007878C7" w:rsidP="007878C7">
      <w:pPr>
        <w:pStyle w:val="Nzev"/>
        <w:numPr>
          <w:ilvl w:val="0"/>
          <w:numId w:val="5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ochranu svého dobrého obchodního jména, použitých metod a výsledků své odborné činnosti. </w:t>
      </w:r>
    </w:p>
    <w:p w14:paraId="37F35F7E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0EA337B9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269D6A9B" w14:textId="77777777" w:rsidR="007878C7" w:rsidRDefault="007878C7" w:rsidP="007878C7">
      <w:pPr>
        <w:pStyle w:val="Nzev"/>
        <w:rPr>
          <w:sz w:val="24"/>
        </w:rPr>
      </w:pPr>
      <w:r>
        <w:rPr>
          <w:sz w:val="24"/>
        </w:rPr>
        <w:t>III.</w:t>
      </w:r>
    </w:p>
    <w:p w14:paraId="000F9135" w14:textId="77777777" w:rsidR="007878C7" w:rsidRDefault="007878C7" w:rsidP="007878C7">
      <w:pPr>
        <w:pStyle w:val="Nzev"/>
        <w:rPr>
          <w:sz w:val="24"/>
        </w:rPr>
      </w:pPr>
      <w:r>
        <w:rPr>
          <w:sz w:val="24"/>
        </w:rPr>
        <w:t>Práva a povinnosti zadavatele</w:t>
      </w:r>
    </w:p>
    <w:p w14:paraId="70424A02" w14:textId="77777777" w:rsidR="007878C7" w:rsidRDefault="007878C7" w:rsidP="007878C7">
      <w:pPr>
        <w:pStyle w:val="Nzev"/>
        <w:jc w:val="both"/>
        <w:rPr>
          <w:sz w:val="24"/>
        </w:rPr>
      </w:pPr>
    </w:p>
    <w:p w14:paraId="3A1E31EE" w14:textId="77777777" w:rsidR="007878C7" w:rsidRDefault="007878C7" w:rsidP="007878C7">
      <w:pPr>
        <w:pStyle w:val="Nzev"/>
        <w:numPr>
          <w:ilvl w:val="0"/>
          <w:numId w:val="6"/>
        </w:numPr>
        <w:jc w:val="both"/>
        <w:rPr>
          <w:b w:val="0"/>
          <w:sz w:val="24"/>
        </w:rPr>
      </w:pPr>
      <w:r>
        <w:rPr>
          <w:b w:val="0"/>
          <w:sz w:val="24"/>
        </w:rPr>
        <w:t>Zadavatel má právo zejména</w:t>
      </w:r>
    </w:p>
    <w:p w14:paraId="336E3AAC" w14:textId="77777777" w:rsidR="007878C7" w:rsidRDefault="007878C7" w:rsidP="007878C7">
      <w:pPr>
        <w:pStyle w:val="Nzev"/>
        <w:numPr>
          <w:ilvl w:val="0"/>
          <w:numId w:val="7"/>
        </w:numPr>
        <w:jc w:val="both"/>
        <w:rPr>
          <w:b w:val="0"/>
          <w:sz w:val="24"/>
        </w:rPr>
      </w:pPr>
      <w:r>
        <w:rPr>
          <w:b w:val="0"/>
          <w:sz w:val="24"/>
        </w:rPr>
        <w:t>na poskytnutí informací o výsledku plnění předmětu této smlouvy</w:t>
      </w:r>
    </w:p>
    <w:p w14:paraId="26CDAFB4" w14:textId="77777777" w:rsidR="007878C7" w:rsidRDefault="007878C7" w:rsidP="007878C7">
      <w:pPr>
        <w:pStyle w:val="Nzev"/>
        <w:numPr>
          <w:ilvl w:val="0"/>
          <w:numId w:val="7"/>
        </w:numPr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na odbornou garanci plnění předmětu této smlouvy</w:t>
      </w:r>
    </w:p>
    <w:p w14:paraId="3BDA505A" w14:textId="77777777" w:rsidR="007878C7" w:rsidRDefault="007878C7" w:rsidP="007878C7">
      <w:pPr>
        <w:pStyle w:val="Nzev"/>
        <w:numPr>
          <w:ilvl w:val="0"/>
          <w:numId w:val="7"/>
        </w:numPr>
        <w:jc w:val="both"/>
        <w:rPr>
          <w:b w:val="0"/>
          <w:sz w:val="24"/>
        </w:rPr>
      </w:pPr>
      <w:r>
        <w:rPr>
          <w:b w:val="0"/>
          <w:sz w:val="24"/>
        </w:rPr>
        <w:t>stanovit okruh důvěrných informací a stupeň mlčenlivosti o nich</w:t>
      </w:r>
    </w:p>
    <w:p w14:paraId="41495CDE" w14:textId="77777777" w:rsidR="007878C7" w:rsidRDefault="007878C7" w:rsidP="007878C7">
      <w:pPr>
        <w:pStyle w:val="Nzev"/>
        <w:numPr>
          <w:ilvl w:val="0"/>
          <w:numId w:val="7"/>
        </w:numPr>
        <w:jc w:val="both"/>
        <w:rPr>
          <w:b w:val="0"/>
          <w:sz w:val="24"/>
        </w:rPr>
      </w:pPr>
      <w:r>
        <w:rPr>
          <w:b w:val="0"/>
          <w:sz w:val="24"/>
        </w:rPr>
        <w:t>na ochranu svého dobrého obchodního jména a obchodního tajemství.</w:t>
      </w:r>
    </w:p>
    <w:p w14:paraId="367C9820" w14:textId="77777777" w:rsidR="007878C7" w:rsidRDefault="007878C7" w:rsidP="007878C7">
      <w:pPr>
        <w:pStyle w:val="Nzev"/>
        <w:ind w:left="660"/>
        <w:jc w:val="both"/>
        <w:rPr>
          <w:b w:val="0"/>
          <w:sz w:val="24"/>
        </w:rPr>
      </w:pPr>
    </w:p>
    <w:p w14:paraId="64E4D78B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3A2DDA1F" w14:textId="77777777" w:rsidR="007878C7" w:rsidRDefault="007878C7" w:rsidP="007878C7">
      <w:pPr>
        <w:pStyle w:val="Nzev"/>
        <w:numPr>
          <w:ilvl w:val="0"/>
          <w:numId w:val="6"/>
        </w:numPr>
        <w:jc w:val="both"/>
        <w:rPr>
          <w:b w:val="0"/>
          <w:sz w:val="24"/>
        </w:rPr>
      </w:pPr>
      <w:r>
        <w:rPr>
          <w:b w:val="0"/>
          <w:sz w:val="24"/>
        </w:rPr>
        <w:t>Zadavatel má povinnost zejména</w:t>
      </w:r>
    </w:p>
    <w:p w14:paraId="0C159CF3" w14:textId="77777777" w:rsidR="007878C7" w:rsidRDefault="007878C7" w:rsidP="007878C7">
      <w:pPr>
        <w:pStyle w:val="Nzev"/>
        <w:numPr>
          <w:ilvl w:val="0"/>
          <w:numId w:val="8"/>
        </w:numPr>
        <w:jc w:val="both"/>
        <w:rPr>
          <w:b w:val="0"/>
          <w:sz w:val="24"/>
        </w:rPr>
      </w:pPr>
      <w:r>
        <w:rPr>
          <w:b w:val="0"/>
          <w:sz w:val="24"/>
        </w:rPr>
        <w:t>ve sjednané výši a čase uhradit sjednanou odměnu dodavateli</w:t>
      </w:r>
    </w:p>
    <w:p w14:paraId="3432C6E8" w14:textId="77777777" w:rsidR="007878C7" w:rsidRDefault="007878C7" w:rsidP="007878C7">
      <w:pPr>
        <w:pStyle w:val="Nzev"/>
        <w:numPr>
          <w:ilvl w:val="0"/>
          <w:numId w:val="8"/>
        </w:numPr>
        <w:jc w:val="both"/>
        <w:rPr>
          <w:b w:val="0"/>
          <w:sz w:val="24"/>
        </w:rPr>
      </w:pPr>
      <w:r>
        <w:rPr>
          <w:b w:val="0"/>
          <w:sz w:val="24"/>
        </w:rPr>
        <w:t>poskytnout dodavateli potřebnou součinnost a vyžádané informace pro plnění předmětu této smlouvy.</w:t>
      </w:r>
    </w:p>
    <w:p w14:paraId="1B0587B4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3E33BA90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61890CAA" w14:textId="77777777" w:rsidR="007878C7" w:rsidRDefault="007878C7" w:rsidP="007878C7">
      <w:pPr>
        <w:pStyle w:val="Nzev"/>
        <w:rPr>
          <w:sz w:val="24"/>
        </w:rPr>
      </w:pPr>
      <w:r>
        <w:rPr>
          <w:sz w:val="24"/>
        </w:rPr>
        <w:t>IV.</w:t>
      </w:r>
    </w:p>
    <w:p w14:paraId="61B7B43E" w14:textId="77777777" w:rsidR="007878C7" w:rsidRDefault="007878C7" w:rsidP="007878C7">
      <w:pPr>
        <w:pStyle w:val="Nzev"/>
        <w:rPr>
          <w:sz w:val="24"/>
        </w:rPr>
      </w:pPr>
      <w:r>
        <w:rPr>
          <w:sz w:val="24"/>
        </w:rPr>
        <w:t>Odměna dodavatele, způsob úhrady</w:t>
      </w:r>
    </w:p>
    <w:p w14:paraId="5F8A8A3C" w14:textId="77777777" w:rsidR="007878C7" w:rsidRDefault="007878C7" w:rsidP="007878C7">
      <w:pPr>
        <w:pStyle w:val="Nzev"/>
        <w:rPr>
          <w:sz w:val="24"/>
        </w:rPr>
      </w:pPr>
    </w:p>
    <w:p w14:paraId="60E60639" w14:textId="77777777" w:rsidR="007878C7" w:rsidRDefault="007878C7" w:rsidP="007878C7">
      <w:pPr>
        <w:pStyle w:val="Nzev"/>
        <w:numPr>
          <w:ilvl w:val="0"/>
          <w:numId w:val="9"/>
        </w:numPr>
        <w:jc w:val="both"/>
        <w:rPr>
          <w:b w:val="0"/>
          <w:sz w:val="24"/>
        </w:rPr>
      </w:pPr>
      <w:r>
        <w:rPr>
          <w:b w:val="0"/>
          <w:sz w:val="24"/>
        </w:rPr>
        <w:t>Odměna dodavatele se sjednává smluvně, a to ve formě peněžitého plnění. Odměna zahrnuje odměnu dodavatele, jakož i jeho běžné náklady při plnění této smlouvy.</w:t>
      </w:r>
    </w:p>
    <w:p w14:paraId="73899E28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0185627D" w14:textId="77777777" w:rsidR="007878C7" w:rsidRDefault="007878C7" w:rsidP="007878C7">
      <w:pPr>
        <w:pStyle w:val="Nzev"/>
        <w:numPr>
          <w:ilvl w:val="0"/>
          <w:numId w:val="9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Odměna se sjednává smluvně a činí pro činnosti podle článku 1.1. této smlouvy </w:t>
      </w:r>
      <w:r w:rsidR="00ED6C15">
        <w:rPr>
          <w:b w:val="0"/>
          <w:sz w:val="24"/>
        </w:rPr>
        <w:t xml:space="preserve">měsíční paušální částku </w:t>
      </w:r>
      <w:r w:rsidR="005B3E6D">
        <w:rPr>
          <w:b w:val="0"/>
          <w:sz w:val="24"/>
        </w:rPr>
        <w:t>9</w:t>
      </w:r>
      <w:r w:rsidR="00ED6C15">
        <w:rPr>
          <w:b w:val="0"/>
          <w:sz w:val="24"/>
        </w:rPr>
        <w:t> 000,-- Kč</w:t>
      </w:r>
      <w:r>
        <w:rPr>
          <w:b w:val="0"/>
          <w:sz w:val="24"/>
        </w:rPr>
        <w:t xml:space="preserve"> bez daně z přidané hodnoty.</w:t>
      </w:r>
      <w:r w:rsidRPr="00952273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Odměna zahrnuje veškeré náklady dodavatele spojené </w:t>
      </w:r>
      <w:proofErr w:type="gramStart"/>
      <w:r>
        <w:rPr>
          <w:b w:val="0"/>
          <w:sz w:val="24"/>
        </w:rPr>
        <w:t>s</w:t>
      </w:r>
      <w:proofErr w:type="gramEnd"/>
      <w:r>
        <w:rPr>
          <w:b w:val="0"/>
          <w:sz w:val="24"/>
        </w:rPr>
        <w:t> poskytování služeb jako např. cestovné, náklady na ubytování apod. K dané částce bude uplatněna daň z přidané hodnoty v sazbě podle platného znění zákona o dani z přidané hodnoty.</w:t>
      </w:r>
      <w:r w:rsidR="00ED6C15">
        <w:rPr>
          <w:b w:val="0"/>
          <w:sz w:val="24"/>
        </w:rPr>
        <w:t xml:space="preserve"> </w:t>
      </w:r>
      <w:r w:rsidR="005B3E6D">
        <w:rPr>
          <w:b w:val="0"/>
          <w:sz w:val="24"/>
        </w:rPr>
        <w:t xml:space="preserve"> </w:t>
      </w:r>
    </w:p>
    <w:p w14:paraId="752015EC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6AF5E7A2" w14:textId="77777777" w:rsidR="007878C7" w:rsidRDefault="007878C7" w:rsidP="007878C7">
      <w:pPr>
        <w:pStyle w:val="Nzev"/>
        <w:numPr>
          <w:ilvl w:val="0"/>
          <w:numId w:val="9"/>
        </w:numPr>
        <w:jc w:val="both"/>
        <w:rPr>
          <w:b w:val="0"/>
          <w:sz w:val="24"/>
        </w:rPr>
      </w:pPr>
      <w:r>
        <w:rPr>
          <w:b w:val="0"/>
          <w:sz w:val="24"/>
        </w:rPr>
        <w:t>Odměna za činnosti dle článku I.1.1. této smlouvy realizované formou odpovědí na telefonické, faxové a e-mailové dotazy zadavatele je zahrnuta ve výši odměny dle bodu IV.2. této smlouvy.</w:t>
      </w:r>
    </w:p>
    <w:p w14:paraId="76C4229E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5D70EF79" w14:textId="77777777" w:rsidR="007878C7" w:rsidRDefault="007878C7" w:rsidP="007878C7">
      <w:pPr>
        <w:pStyle w:val="Nzev"/>
        <w:numPr>
          <w:ilvl w:val="0"/>
          <w:numId w:val="9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Odměna je splatná na základě faktury, vystavené </w:t>
      </w:r>
      <w:r w:rsidR="00ED6C15">
        <w:rPr>
          <w:b w:val="0"/>
          <w:sz w:val="24"/>
        </w:rPr>
        <w:t xml:space="preserve">pravidelně k poslednímu kalendářnímu dni měsíce, </w:t>
      </w:r>
      <w:r>
        <w:rPr>
          <w:b w:val="0"/>
          <w:sz w:val="24"/>
        </w:rPr>
        <w:t xml:space="preserve">se splatností do </w:t>
      </w:r>
      <w:r w:rsidR="005B3E6D">
        <w:rPr>
          <w:b w:val="0"/>
          <w:sz w:val="24"/>
        </w:rPr>
        <w:t>3</w:t>
      </w:r>
      <w:r>
        <w:rPr>
          <w:b w:val="0"/>
          <w:sz w:val="24"/>
        </w:rPr>
        <w:t xml:space="preserve">0 dnů ode dne </w:t>
      </w:r>
      <w:r w:rsidR="00ED6C15">
        <w:rPr>
          <w:b w:val="0"/>
          <w:sz w:val="24"/>
        </w:rPr>
        <w:t xml:space="preserve">vystavení, </w:t>
      </w:r>
      <w:r>
        <w:rPr>
          <w:b w:val="0"/>
          <w:sz w:val="24"/>
        </w:rPr>
        <w:t>a to na účet dodavatele uvedený v záhlaví.</w:t>
      </w:r>
    </w:p>
    <w:p w14:paraId="509FDA56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1F87E5DE" w14:textId="77777777" w:rsidR="007878C7" w:rsidRDefault="007878C7" w:rsidP="007878C7">
      <w:pPr>
        <w:pStyle w:val="Nzev"/>
        <w:numPr>
          <w:ilvl w:val="0"/>
          <w:numId w:val="9"/>
        </w:numPr>
        <w:jc w:val="both"/>
        <w:rPr>
          <w:b w:val="0"/>
          <w:sz w:val="24"/>
        </w:rPr>
      </w:pPr>
      <w:r>
        <w:rPr>
          <w:b w:val="0"/>
          <w:sz w:val="24"/>
        </w:rPr>
        <w:t>Pro případ prodlení s platbou sjednané odměny se sjednává možnost uplatnění úroku z prodlení ve výši 0,0</w:t>
      </w:r>
      <w:r w:rsidR="00C96625">
        <w:rPr>
          <w:b w:val="0"/>
          <w:sz w:val="24"/>
        </w:rPr>
        <w:t>2</w:t>
      </w:r>
      <w:r>
        <w:rPr>
          <w:b w:val="0"/>
          <w:sz w:val="24"/>
        </w:rPr>
        <w:t xml:space="preserve"> % z dlužné částky za každý den prodlení.</w:t>
      </w:r>
    </w:p>
    <w:p w14:paraId="3B8A3A35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40E7E4D0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1B41C613" w14:textId="77777777" w:rsidR="007878C7" w:rsidRDefault="007878C7" w:rsidP="007878C7">
      <w:pPr>
        <w:pStyle w:val="Nzev"/>
        <w:rPr>
          <w:sz w:val="24"/>
        </w:rPr>
      </w:pPr>
      <w:r>
        <w:rPr>
          <w:sz w:val="24"/>
        </w:rPr>
        <w:t>V.</w:t>
      </w:r>
    </w:p>
    <w:p w14:paraId="45587775" w14:textId="77777777" w:rsidR="007878C7" w:rsidRDefault="007878C7" w:rsidP="007878C7">
      <w:pPr>
        <w:pStyle w:val="Nzev"/>
        <w:rPr>
          <w:sz w:val="24"/>
        </w:rPr>
      </w:pPr>
      <w:r>
        <w:rPr>
          <w:sz w:val="24"/>
        </w:rPr>
        <w:t>Doba trvání smlouvy</w:t>
      </w:r>
    </w:p>
    <w:p w14:paraId="6DEB91F4" w14:textId="77777777" w:rsidR="007878C7" w:rsidRDefault="007878C7" w:rsidP="007878C7">
      <w:pPr>
        <w:pStyle w:val="Nzev"/>
        <w:jc w:val="both"/>
        <w:rPr>
          <w:sz w:val="24"/>
        </w:rPr>
      </w:pPr>
    </w:p>
    <w:p w14:paraId="014B1E4D" w14:textId="77777777" w:rsidR="007878C7" w:rsidRDefault="007878C7" w:rsidP="007878C7">
      <w:pPr>
        <w:pStyle w:val="Nzev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Tato smlouva se sjednává na dobu </w:t>
      </w:r>
      <w:r w:rsidR="005B3E6D">
        <w:rPr>
          <w:b w:val="0"/>
          <w:sz w:val="24"/>
        </w:rPr>
        <w:t>ne</w:t>
      </w:r>
      <w:r w:rsidR="00ED6C15">
        <w:rPr>
          <w:b w:val="0"/>
          <w:sz w:val="24"/>
        </w:rPr>
        <w:t xml:space="preserve">určitou </w:t>
      </w:r>
      <w:r w:rsidR="005B3E6D">
        <w:rPr>
          <w:b w:val="0"/>
          <w:sz w:val="24"/>
        </w:rPr>
        <w:t>počínaje 1. říjnem 2014.</w:t>
      </w:r>
      <w:r>
        <w:rPr>
          <w:b w:val="0"/>
          <w:sz w:val="24"/>
        </w:rPr>
        <w:t xml:space="preserve"> Tato smlouva nabývá platností a účinnosti podpisem oběma smluvními stranami.</w:t>
      </w:r>
    </w:p>
    <w:p w14:paraId="39D62FBD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68F22F3D" w14:textId="77777777" w:rsidR="007878C7" w:rsidRDefault="007878C7" w:rsidP="007878C7">
      <w:pPr>
        <w:pStyle w:val="Nzev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Tuto smlouvu lze ukončit</w:t>
      </w:r>
    </w:p>
    <w:p w14:paraId="2E0B2AB3" w14:textId="77777777" w:rsidR="007878C7" w:rsidRDefault="007878C7" w:rsidP="007878C7">
      <w:pPr>
        <w:pStyle w:val="Nzev"/>
        <w:ind w:left="360"/>
        <w:jc w:val="both"/>
        <w:rPr>
          <w:b w:val="0"/>
          <w:sz w:val="24"/>
        </w:rPr>
      </w:pPr>
      <w:r>
        <w:rPr>
          <w:b w:val="0"/>
          <w:sz w:val="24"/>
        </w:rPr>
        <w:t xml:space="preserve">a) vzájemnou dohodou smluvních stran na způsobu a termínu ukončení. Dohoda musí být   </w:t>
      </w:r>
    </w:p>
    <w:p w14:paraId="7D71F24F" w14:textId="77777777" w:rsidR="007878C7" w:rsidRDefault="007878C7" w:rsidP="007878C7">
      <w:pPr>
        <w:pStyle w:val="Nzev"/>
        <w:ind w:left="360"/>
        <w:jc w:val="both"/>
        <w:rPr>
          <w:b w:val="0"/>
          <w:sz w:val="24"/>
        </w:rPr>
      </w:pPr>
      <w:r>
        <w:rPr>
          <w:b w:val="0"/>
          <w:sz w:val="24"/>
        </w:rPr>
        <w:t>písemná a před ukončením musí být vyrovnány vzájemné pohledávky smluvních stran.</w:t>
      </w:r>
    </w:p>
    <w:p w14:paraId="1769C660" w14:textId="77777777" w:rsidR="007878C7" w:rsidRDefault="007878C7" w:rsidP="007878C7">
      <w:pPr>
        <w:pStyle w:val="Nzev"/>
        <w:ind w:left="360"/>
        <w:jc w:val="both"/>
        <w:rPr>
          <w:b w:val="0"/>
          <w:sz w:val="24"/>
        </w:rPr>
      </w:pPr>
    </w:p>
    <w:p w14:paraId="4FEC0626" w14:textId="77777777" w:rsidR="007878C7" w:rsidRDefault="007878C7" w:rsidP="007878C7">
      <w:pPr>
        <w:pStyle w:val="Nzev"/>
        <w:ind w:left="360"/>
        <w:jc w:val="both"/>
        <w:rPr>
          <w:b w:val="0"/>
          <w:sz w:val="24"/>
        </w:rPr>
      </w:pPr>
      <w:r>
        <w:rPr>
          <w:b w:val="0"/>
          <w:sz w:val="24"/>
        </w:rPr>
        <w:t>b) výpovědí, a to i bez udání důvodů. Výpovědní lhůta pro tento případ činí tři kalendářní</w:t>
      </w:r>
      <w:r w:rsidR="00C34E54">
        <w:rPr>
          <w:b w:val="0"/>
          <w:sz w:val="24"/>
        </w:rPr>
        <w:t xml:space="preserve"> měsíce </w:t>
      </w:r>
      <w:r>
        <w:rPr>
          <w:b w:val="0"/>
          <w:sz w:val="24"/>
        </w:rPr>
        <w:t>a začíná běžet prvním dnem kalendářního měsíce následujícího po doručení výpovědi,</w:t>
      </w:r>
    </w:p>
    <w:p w14:paraId="2CB4BF44" w14:textId="77777777" w:rsidR="007878C7" w:rsidRDefault="007878C7" w:rsidP="007878C7">
      <w:pPr>
        <w:pStyle w:val="Nzev"/>
        <w:ind w:left="360"/>
        <w:jc w:val="both"/>
        <w:rPr>
          <w:b w:val="0"/>
          <w:sz w:val="24"/>
        </w:rPr>
      </w:pPr>
    </w:p>
    <w:p w14:paraId="2D1A56EA" w14:textId="77777777" w:rsidR="007878C7" w:rsidRDefault="00C34E54" w:rsidP="007878C7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 xml:space="preserve">      c) výpovědí při zjištění hrubého porušení smluvních ujednání uvedených </w:t>
      </w:r>
      <w:r w:rsidR="007878C7">
        <w:rPr>
          <w:b w:val="0"/>
          <w:sz w:val="24"/>
        </w:rPr>
        <w:t>v bodech II. a</w:t>
      </w:r>
    </w:p>
    <w:p w14:paraId="66852639" w14:textId="77777777" w:rsidR="007878C7" w:rsidRDefault="007878C7" w:rsidP="007878C7">
      <w:pPr>
        <w:pStyle w:val="Nzev"/>
        <w:ind w:left="360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III. této smlouvy. Výpovědní lhůta pro tento případ činí deset po sobě jdoucích kalendářních dnů a počíná běžet dnem doručení výpovědi druhé smluvní straně.</w:t>
      </w:r>
    </w:p>
    <w:p w14:paraId="1D184308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46D05A14" w14:textId="77777777" w:rsidR="007878C7" w:rsidRDefault="007878C7" w:rsidP="007878C7">
      <w:pPr>
        <w:pStyle w:val="Nzev"/>
        <w:numPr>
          <w:ilvl w:val="0"/>
          <w:numId w:val="10"/>
        </w:numPr>
        <w:jc w:val="both"/>
        <w:rPr>
          <w:b w:val="0"/>
          <w:sz w:val="24"/>
        </w:rPr>
      </w:pPr>
      <w:r>
        <w:rPr>
          <w:b w:val="0"/>
          <w:sz w:val="24"/>
        </w:rPr>
        <w:t>Výpověď musí být vždy písemná a doručena druhé straně. V průběhu výpovědní lhůty musí být vyrovnány vzájemné pohledávky smluvních stran.</w:t>
      </w:r>
    </w:p>
    <w:p w14:paraId="421C98BE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5E1C84F1" w14:textId="77777777" w:rsidR="007878C7" w:rsidRDefault="007878C7" w:rsidP="007878C7">
      <w:pPr>
        <w:pStyle w:val="Nzev"/>
        <w:rPr>
          <w:sz w:val="24"/>
        </w:rPr>
      </w:pPr>
    </w:p>
    <w:p w14:paraId="0724FC2D" w14:textId="77777777" w:rsidR="007878C7" w:rsidRDefault="007878C7" w:rsidP="007878C7">
      <w:pPr>
        <w:pStyle w:val="Nzev"/>
        <w:rPr>
          <w:sz w:val="24"/>
        </w:rPr>
      </w:pPr>
      <w:r>
        <w:rPr>
          <w:sz w:val="24"/>
        </w:rPr>
        <w:t>VI.</w:t>
      </w:r>
    </w:p>
    <w:p w14:paraId="30EB1008" w14:textId="77777777" w:rsidR="007878C7" w:rsidRDefault="007878C7" w:rsidP="007878C7">
      <w:pPr>
        <w:pStyle w:val="Nzev"/>
        <w:rPr>
          <w:sz w:val="24"/>
        </w:rPr>
      </w:pPr>
      <w:r>
        <w:rPr>
          <w:sz w:val="24"/>
        </w:rPr>
        <w:t>Náhrada škody</w:t>
      </w:r>
    </w:p>
    <w:p w14:paraId="44D2D9E6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67FE21F9" w14:textId="77777777" w:rsidR="007878C7" w:rsidRDefault="007878C7" w:rsidP="007878C7">
      <w:pPr>
        <w:pStyle w:val="Nzev"/>
        <w:numPr>
          <w:ilvl w:val="0"/>
          <w:numId w:val="11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Obě smluvní strany si vzájemně odpovídají za škody, které budou druhé smluvní straně způsobeny nedodržením nebo porušením smluvních ujednání této smlouvy nebo </w:t>
      </w:r>
      <w:proofErr w:type="gramStart"/>
      <w:r>
        <w:rPr>
          <w:b w:val="0"/>
          <w:sz w:val="24"/>
        </w:rPr>
        <w:t>činností</w:t>
      </w:r>
      <w:proofErr w:type="gramEnd"/>
      <w:r>
        <w:rPr>
          <w:b w:val="0"/>
          <w:sz w:val="24"/>
        </w:rPr>
        <w:t xml:space="preserve"> resp. nečinností druhé smluvní strany při zajišťování předmětu této smlouvy.</w:t>
      </w:r>
    </w:p>
    <w:p w14:paraId="1B6A29FF" w14:textId="77777777" w:rsidR="00ED6C15" w:rsidRDefault="00ED6C15" w:rsidP="00ED6C15">
      <w:pPr>
        <w:pStyle w:val="Nzev"/>
        <w:jc w:val="both"/>
        <w:rPr>
          <w:b w:val="0"/>
          <w:sz w:val="24"/>
        </w:rPr>
      </w:pPr>
    </w:p>
    <w:p w14:paraId="52D9DBA0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0ACB679D" w14:textId="77777777" w:rsidR="007878C7" w:rsidRDefault="007878C7" w:rsidP="007878C7">
      <w:pPr>
        <w:pStyle w:val="Nzev"/>
        <w:rPr>
          <w:sz w:val="24"/>
        </w:rPr>
      </w:pPr>
      <w:r>
        <w:rPr>
          <w:sz w:val="24"/>
        </w:rPr>
        <w:t>VII.</w:t>
      </w:r>
    </w:p>
    <w:p w14:paraId="3852A763" w14:textId="77777777" w:rsidR="007878C7" w:rsidRDefault="007878C7" w:rsidP="007878C7">
      <w:pPr>
        <w:pStyle w:val="Nzev"/>
        <w:rPr>
          <w:sz w:val="24"/>
        </w:rPr>
      </w:pPr>
      <w:r>
        <w:rPr>
          <w:sz w:val="24"/>
        </w:rPr>
        <w:t>Ustanovení závěrečná</w:t>
      </w:r>
    </w:p>
    <w:p w14:paraId="55EC4107" w14:textId="77777777" w:rsidR="007878C7" w:rsidRDefault="007878C7" w:rsidP="007878C7">
      <w:pPr>
        <w:pStyle w:val="Nzev"/>
        <w:jc w:val="both"/>
        <w:rPr>
          <w:sz w:val="24"/>
        </w:rPr>
      </w:pPr>
    </w:p>
    <w:p w14:paraId="63878EFE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6285A43A" w14:textId="77777777" w:rsidR="007878C7" w:rsidRDefault="007878C7" w:rsidP="007878C7">
      <w:pPr>
        <w:pStyle w:val="Nzev"/>
        <w:numPr>
          <w:ilvl w:val="0"/>
          <w:numId w:val="13"/>
        </w:numPr>
        <w:jc w:val="both"/>
        <w:rPr>
          <w:b w:val="0"/>
          <w:sz w:val="24"/>
        </w:rPr>
      </w:pPr>
      <w:r>
        <w:rPr>
          <w:b w:val="0"/>
          <w:sz w:val="24"/>
        </w:rPr>
        <w:t>Smluvní vztahy se řídí obecně závaznými právními předpisy České republiky.</w:t>
      </w:r>
    </w:p>
    <w:p w14:paraId="3BFA2BDF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0771EBF2" w14:textId="77777777" w:rsidR="007878C7" w:rsidRDefault="007878C7" w:rsidP="007878C7">
      <w:pPr>
        <w:pStyle w:val="Nzev"/>
        <w:numPr>
          <w:ilvl w:val="0"/>
          <w:numId w:val="13"/>
        </w:numPr>
        <w:jc w:val="both"/>
        <w:rPr>
          <w:b w:val="0"/>
          <w:sz w:val="24"/>
        </w:rPr>
      </w:pPr>
      <w:r>
        <w:rPr>
          <w:b w:val="0"/>
          <w:sz w:val="24"/>
        </w:rPr>
        <w:t>Tato smlouva se sepisuje ve dvou stejnopisech, z nichž po jednom obdrží každá smluvní strana.</w:t>
      </w:r>
    </w:p>
    <w:p w14:paraId="387565E7" w14:textId="77777777" w:rsidR="00C34E54" w:rsidRDefault="00C34E54" w:rsidP="00C34E54">
      <w:pPr>
        <w:pStyle w:val="Odstavecseseznamem"/>
        <w:rPr>
          <w:b/>
          <w:sz w:val="24"/>
        </w:rPr>
      </w:pPr>
    </w:p>
    <w:p w14:paraId="0AD3113C" w14:textId="77777777" w:rsidR="00C34E54" w:rsidRDefault="00C34E54" w:rsidP="007878C7">
      <w:pPr>
        <w:pStyle w:val="Nzev"/>
        <w:numPr>
          <w:ilvl w:val="0"/>
          <w:numId w:val="13"/>
        </w:numPr>
        <w:jc w:val="both"/>
        <w:rPr>
          <w:b w:val="0"/>
          <w:sz w:val="24"/>
        </w:rPr>
      </w:pPr>
      <w:r>
        <w:rPr>
          <w:b w:val="0"/>
          <w:sz w:val="24"/>
        </w:rPr>
        <w:t>Dodavatel</w:t>
      </w:r>
      <w:r w:rsidRPr="00C34E54">
        <w:rPr>
          <w:b w:val="0"/>
          <w:sz w:val="24"/>
        </w:rPr>
        <w:t xml:space="preserve"> souhlasí s uveřejněním této smlouvy na webových stránkách </w:t>
      </w:r>
      <w:r>
        <w:rPr>
          <w:b w:val="0"/>
          <w:sz w:val="24"/>
        </w:rPr>
        <w:t>zadavatel</w:t>
      </w:r>
      <w:r w:rsidR="00AA0A61">
        <w:rPr>
          <w:b w:val="0"/>
          <w:sz w:val="24"/>
        </w:rPr>
        <w:t>e</w:t>
      </w:r>
      <w:r>
        <w:rPr>
          <w:b w:val="0"/>
          <w:sz w:val="24"/>
        </w:rPr>
        <w:t>.</w:t>
      </w:r>
    </w:p>
    <w:p w14:paraId="5E48D4C1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2B16E587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287037B9" w14:textId="77777777" w:rsidR="00E95B70" w:rsidRDefault="00E95B70" w:rsidP="007878C7">
      <w:pPr>
        <w:pStyle w:val="Nzev"/>
        <w:jc w:val="both"/>
        <w:rPr>
          <w:b w:val="0"/>
          <w:sz w:val="24"/>
        </w:rPr>
      </w:pPr>
    </w:p>
    <w:p w14:paraId="74167937" w14:textId="77777777" w:rsidR="00E95B70" w:rsidRDefault="00E95B70" w:rsidP="007878C7">
      <w:pPr>
        <w:pStyle w:val="Nzev"/>
        <w:jc w:val="both"/>
        <w:rPr>
          <w:b w:val="0"/>
          <w:sz w:val="24"/>
        </w:rPr>
      </w:pPr>
    </w:p>
    <w:p w14:paraId="1D3517FC" w14:textId="77777777" w:rsidR="00E95B70" w:rsidRDefault="00E95B70" w:rsidP="007878C7">
      <w:pPr>
        <w:pStyle w:val="Nzev"/>
        <w:jc w:val="both"/>
        <w:rPr>
          <w:b w:val="0"/>
          <w:sz w:val="24"/>
        </w:rPr>
      </w:pPr>
    </w:p>
    <w:p w14:paraId="18E5F2B2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489C4977" w14:textId="77777777" w:rsidR="007878C7" w:rsidRDefault="007878C7" w:rsidP="007878C7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V Praze dne </w:t>
      </w:r>
      <w:r w:rsidR="00C34E54">
        <w:rPr>
          <w:b w:val="0"/>
          <w:sz w:val="24"/>
        </w:rPr>
        <w:t>29.09.2014</w:t>
      </w:r>
      <w:r>
        <w:rPr>
          <w:b w:val="0"/>
          <w:sz w:val="24"/>
        </w:rPr>
        <w:t xml:space="preserve">                                V</w:t>
      </w:r>
      <w:r w:rsidR="005B3E6D">
        <w:rPr>
          <w:b w:val="0"/>
          <w:sz w:val="24"/>
        </w:rPr>
        <w:t xml:space="preserve"> Horních Beřkovicích </w:t>
      </w:r>
      <w:r>
        <w:rPr>
          <w:b w:val="0"/>
          <w:sz w:val="24"/>
        </w:rPr>
        <w:t>dne</w:t>
      </w:r>
      <w:r w:rsidR="00C34E54">
        <w:rPr>
          <w:b w:val="0"/>
          <w:sz w:val="24"/>
        </w:rPr>
        <w:t xml:space="preserve"> 30.09.2014</w:t>
      </w:r>
    </w:p>
    <w:p w14:paraId="2EBB39EA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5FA99E1F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0923FC7B" w14:textId="77777777" w:rsidR="00E95B70" w:rsidRDefault="00E95B70" w:rsidP="007878C7">
      <w:pPr>
        <w:pStyle w:val="Nzev"/>
        <w:jc w:val="both"/>
        <w:rPr>
          <w:b w:val="0"/>
          <w:sz w:val="24"/>
        </w:rPr>
      </w:pPr>
    </w:p>
    <w:p w14:paraId="4499BFC4" w14:textId="77777777" w:rsidR="00E95B70" w:rsidRDefault="00BF48CD" w:rsidP="007878C7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/orazítkováno, podepsáno/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/orazítkováno, podepsáno/</w:t>
      </w:r>
    </w:p>
    <w:p w14:paraId="595EAE2C" w14:textId="77777777" w:rsidR="00E95B70" w:rsidRDefault="00E95B70" w:rsidP="007878C7">
      <w:pPr>
        <w:pStyle w:val="Nzev"/>
        <w:jc w:val="both"/>
        <w:rPr>
          <w:b w:val="0"/>
          <w:sz w:val="24"/>
        </w:rPr>
      </w:pPr>
    </w:p>
    <w:p w14:paraId="204CC460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3C164A0D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3E23B0E3" w14:textId="77777777" w:rsidR="007878C7" w:rsidRDefault="007878C7" w:rsidP="007878C7">
      <w:pPr>
        <w:pStyle w:val="Nzev"/>
        <w:jc w:val="both"/>
        <w:rPr>
          <w:b w:val="0"/>
          <w:sz w:val="24"/>
        </w:rPr>
      </w:pPr>
    </w:p>
    <w:p w14:paraId="7A45B7F9" w14:textId="77777777" w:rsidR="007878C7" w:rsidRDefault="007878C7" w:rsidP="007878C7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razítko a podpis                                                                 razítko a podpis</w:t>
      </w:r>
    </w:p>
    <w:p w14:paraId="5FAFBE8C" w14:textId="77777777" w:rsidR="00950CB3" w:rsidRPr="00ED6C15" w:rsidRDefault="007878C7" w:rsidP="00ED6C15">
      <w:pPr>
        <w:pStyle w:val="Nzev"/>
        <w:jc w:val="both"/>
        <w:rPr>
          <w:b w:val="0"/>
          <w:sz w:val="24"/>
          <w:szCs w:val="24"/>
        </w:rPr>
      </w:pPr>
      <w:r>
        <w:t xml:space="preserve">              </w:t>
      </w:r>
      <w:r w:rsidRPr="00ED6C15">
        <w:rPr>
          <w:b w:val="0"/>
          <w:sz w:val="24"/>
          <w:szCs w:val="24"/>
        </w:rPr>
        <w:t>dodavatele                                                                          zadavatele</w:t>
      </w:r>
    </w:p>
    <w:sectPr w:rsidR="00950CB3" w:rsidRPr="00ED6C15">
      <w:footerReference w:type="default" r:id="rId7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8120" w14:textId="77777777" w:rsidR="00BF6C27" w:rsidRDefault="00BF6C27">
      <w:r>
        <w:separator/>
      </w:r>
    </w:p>
  </w:endnote>
  <w:endnote w:type="continuationSeparator" w:id="0">
    <w:p w14:paraId="1D7CE0E8" w14:textId="77777777" w:rsidR="00BF6C27" w:rsidRDefault="00BF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BFEC" w14:textId="77777777" w:rsidR="007157C2" w:rsidRDefault="007157C2" w:rsidP="007878C7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AA0A61">
      <w:rPr>
        <w:noProof/>
      </w:rPr>
      <w:t>4</w:t>
    </w:r>
    <w:r>
      <w:fldChar w:fldCharType="end"/>
    </w:r>
    <w:r>
      <w:t xml:space="preserve"> (celkem </w:t>
    </w:r>
    <w:fldSimple w:instr=" NUMPAGES ">
      <w:r w:rsidR="00AA0A61">
        <w:rPr>
          <w:noProof/>
        </w:rPr>
        <w:t>4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BD6B4" w14:textId="77777777" w:rsidR="00BF6C27" w:rsidRDefault="00BF6C27">
      <w:r>
        <w:separator/>
      </w:r>
    </w:p>
  </w:footnote>
  <w:footnote w:type="continuationSeparator" w:id="0">
    <w:p w14:paraId="137D18D7" w14:textId="77777777" w:rsidR="00BF6C27" w:rsidRDefault="00BF6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60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591E3E"/>
    <w:multiLevelType w:val="singleLevel"/>
    <w:tmpl w:val="AD46FAD6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" w15:restartNumberingAfterBreak="0">
    <w:nsid w:val="0F91675E"/>
    <w:multiLevelType w:val="singleLevel"/>
    <w:tmpl w:val="094AD5B0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3" w15:restartNumberingAfterBreak="0">
    <w:nsid w:val="2BA76C0A"/>
    <w:multiLevelType w:val="singleLevel"/>
    <w:tmpl w:val="0BC4D3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39010785"/>
    <w:multiLevelType w:val="hybridMultilevel"/>
    <w:tmpl w:val="3654C4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BF632D"/>
    <w:multiLevelType w:val="singleLevel"/>
    <w:tmpl w:val="094AD5B0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6" w15:restartNumberingAfterBreak="0">
    <w:nsid w:val="3BAF69CC"/>
    <w:multiLevelType w:val="singleLevel"/>
    <w:tmpl w:val="094AD5B0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7" w15:restartNumberingAfterBreak="0">
    <w:nsid w:val="45ED5C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AC70011"/>
    <w:multiLevelType w:val="hybridMultilevel"/>
    <w:tmpl w:val="FDA8AE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FB60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007312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073499D"/>
    <w:multiLevelType w:val="multilevel"/>
    <w:tmpl w:val="954051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2" w15:restartNumberingAfterBreak="0">
    <w:nsid w:val="755C24C0"/>
    <w:multiLevelType w:val="singleLevel"/>
    <w:tmpl w:val="094AD5B0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num w:numId="1" w16cid:durableId="574361246">
    <w:abstractNumId w:val="11"/>
  </w:num>
  <w:num w:numId="2" w16cid:durableId="1719934229">
    <w:abstractNumId w:val="1"/>
  </w:num>
  <w:num w:numId="3" w16cid:durableId="1927495260">
    <w:abstractNumId w:val="3"/>
  </w:num>
  <w:num w:numId="4" w16cid:durableId="337511256">
    <w:abstractNumId w:val="5"/>
  </w:num>
  <w:num w:numId="5" w16cid:durableId="1705206860">
    <w:abstractNumId w:val="12"/>
  </w:num>
  <w:num w:numId="6" w16cid:durableId="2130123683">
    <w:abstractNumId w:val="0"/>
  </w:num>
  <w:num w:numId="7" w16cid:durableId="1725324483">
    <w:abstractNumId w:val="6"/>
  </w:num>
  <w:num w:numId="8" w16cid:durableId="1887334837">
    <w:abstractNumId w:val="2"/>
  </w:num>
  <w:num w:numId="9" w16cid:durableId="2124880461">
    <w:abstractNumId w:val="7"/>
  </w:num>
  <w:num w:numId="10" w16cid:durableId="1118061801">
    <w:abstractNumId w:val="9"/>
  </w:num>
  <w:num w:numId="11" w16cid:durableId="1853909988">
    <w:abstractNumId w:val="10"/>
  </w:num>
  <w:num w:numId="12" w16cid:durableId="1174226166">
    <w:abstractNumId w:val="8"/>
  </w:num>
  <w:num w:numId="13" w16cid:durableId="1364404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C7"/>
    <w:rsid w:val="00052F7B"/>
    <w:rsid w:val="000A4302"/>
    <w:rsid w:val="001D3869"/>
    <w:rsid w:val="00220F0E"/>
    <w:rsid w:val="00256CB5"/>
    <w:rsid w:val="0029715E"/>
    <w:rsid w:val="002D0EDA"/>
    <w:rsid w:val="00305226"/>
    <w:rsid w:val="003D1B6A"/>
    <w:rsid w:val="003F4754"/>
    <w:rsid w:val="004308C8"/>
    <w:rsid w:val="005A49C0"/>
    <w:rsid w:val="005B3E6D"/>
    <w:rsid w:val="00705DDB"/>
    <w:rsid w:val="007157C2"/>
    <w:rsid w:val="007878C7"/>
    <w:rsid w:val="008D1550"/>
    <w:rsid w:val="00950CB3"/>
    <w:rsid w:val="009A6C6D"/>
    <w:rsid w:val="009D667A"/>
    <w:rsid w:val="00AA0A61"/>
    <w:rsid w:val="00BB4C8E"/>
    <w:rsid w:val="00BF48CD"/>
    <w:rsid w:val="00BF6C27"/>
    <w:rsid w:val="00C34E54"/>
    <w:rsid w:val="00C96625"/>
    <w:rsid w:val="00DD7249"/>
    <w:rsid w:val="00E53075"/>
    <w:rsid w:val="00E66DD2"/>
    <w:rsid w:val="00E95B70"/>
    <w:rsid w:val="00ED6C15"/>
    <w:rsid w:val="00F172B7"/>
    <w:rsid w:val="00F53D6D"/>
    <w:rsid w:val="00FC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7F2F0434"/>
  <w15:chartTrackingRefBased/>
  <w15:docId w15:val="{ADDBE9AE-C7E4-4CC3-9623-D15B7165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78C7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7878C7"/>
    <w:pPr>
      <w:jc w:val="center"/>
    </w:pPr>
    <w:rPr>
      <w:b/>
      <w:sz w:val="28"/>
    </w:rPr>
  </w:style>
  <w:style w:type="paragraph" w:styleId="Zpat">
    <w:name w:val="footer"/>
    <w:basedOn w:val="Normln"/>
    <w:rsid w:val="007878C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C34E54"/>
    <w:pPr>
      <w:ind w:left="708"/>
    </w:pPr>
  </w:style>
  <w:style w:type="paragraph" w:styleId="Textbubliny">
    <w:name w:val="Balloon Text"/>
    <w:basedOn w:val="Normln"/>
    <w:link w:val="TextbublinyChar"/>
    <w:rsid w:val="00AA0A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A0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1134</Words>
  <Characters>6693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Zdeněk</dc:creator>
  <cp:keywords/>
  <cp:lastModifiedBy>PN Horní Beřkovice</cp:lastModifiedBy>
  <cp:revision>2</cp:revision>
  <cp:lastPrinted>2014-10-13T12:37:00Z</cp:lastPrinted>
  <dcterms:created xsi:type="dcterms:W3CDTF">2025-09-19T09:12:00Z</dcterms:created>
  <dcterms:modified xsi:type="dcterms:W3CDTF">2025-09-19T09:12:00Z</dcterms:modified>
</cp:coreProperties>
</file>