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72"/>
        <w:ind w:left="129" w:right="195" w:firstLine="0"/>
        <w:jc w:val="center"/>
        <w:rPr>
          <w:b/>
          <w:sz w:val="29"/>
        </w:rPr>
      </w:pPr>
      <w:r>
        <w:rPr>
          <w:b/>
          <w:sz w:val="36"/>
        </w:rPr>
        <w:t>O</w:t>
      </w:r>
      <w:r>
        <w:rPr>
          <w:b/>
          <w:sz w:val="29"/>
        </w:rPr>
        <w:t>KRESNÍ SOUD V </w:t>
      </w:r>
      <w:r>
        <w:rPr>
          <w:b/>
          <w:sz w:val="36"/>
        </w:rPr>
        <w:t>L</w:t>
      </w:r>
      <w:r>
        <w:rPr>
          <w:b/>
          <w:sz w:val="29"/>
        </w:rPr>
        <w:t>OUNECH</w:t>
      </w:r>
    </w:p>
    <w:p>
      <w:pPr>
        <w:pStyle w:val="BodyText"/>
        <w:spacing w:line="264" w:lineRule="exact" w:before="1"/>
        <w:ind w:left="215" w:right="137"/>
        <w:jc w:val="center"/>
      </w:pPr>
      <w:r>
        <w:rPr/>
        <w:t>Sladkovského 1132, 440 29 Louny</w:t>
      </w:r>
    </w:p>
    <w:p>
      <w:pPr>
        <w:pStyle w:val="BodyText"/>
        <w:spacing w:line="286" w:lineRule="exact"/>
        <w:ind w:left="215" w:right="195"/>
        <w:jc w:val="center"/>
        <w:rPr>
          <w:rFonts w:ascii="Impact" w:hAnsi="Impact"/>
        </w:rPr>
      </w:pPr>
      <w:r>
        <w:rPr>
          <w:rFonts w:ascii="Impact" w:hAnsi="Impact"/>
        </w:rPr>
        <w:t>—————————————————————————————————————</w:t>
      </w:r>
    </w:p>
    <w:p>
      <w:pPr>
        <w:pStyle w:val="BodyText"/>
        <w:tabs>
          <w:tab w:pos="2732" w:val="left" w:leader="none"/>
        </w:tabs>
        <w:spacing w:before="14"/>
        <w:ind w:left="1209"/>
      </w:pPr>
      <w:r>
        <w:rPr/>
        <w:pict>
          <v:rect style="position:absolute;margin-left:143.020004pt;margin-top:4.193575pt;width:56.616pt;height:11.004pt;mso-position-horizontal-relative:page;mso-position-vertical-relative:paragraph;z-index:-251728896" filled="true" fillcolor="#000000" stroked="false">
            <v:fill type="solid"/>
            <w10:wrap type="none"/>
          </v:rect>
        </w:pict>
      </w:r>
      <w:r>
        <w:rPr/>
        <w:pict>
          <v:shape style="position:absolute;margin-left:322.929993pt;margin-top:3.725575pt;width:146.8pt;height:11.5pt;mso-position-horizontal-relative:page;mso-position-vertical-relative:paragraph;z-index:251666432" coordorigin="6459,75" coordsize="2936,230" path="m6459,75l6459,304,9394,304,9394,84,6459,75xe" filled="true" fillcolor="#000000" stroked="false">
            <v:path arrowok="t"/>
            <v:fill type="solid"/>
            <w10:wrap type="none"/>
          </v:shape>
        </w:pict>
      </w:r>
      <w:r>
        <w:rPr/>
        <w:t>tel.:</w:t>
        <w:tab/>
        <w:t>, IDDS: kmpabp2, e-mail:</w:t>
      </w:r>
    </w:p>
    <w:p>
      <w:pPr>
        <w:pStyle w:val="BodyText"/>
        <w:spacing w:before="9"/>
        <w:rPr>
          <w:sz w:val="34"/>
        </w:rPr>
      </w:pPr>
    </w:p>
    <w:p>
      <w:pPr>
        <w:spacing w:before="0"/>
        <w:ind w:left="136" w:right="0" w:firstLine="0"/>
        <w:jc w:val="left"/>
        <w:rPr>
          <w:b/>
          <w:sz w:val="28"/>
        </w:rPr>
      </w:pPr>
      <w:r>
        <w:rPr>
          <w:b/>
          <w:sz w:val="28"/>
        </w:rPr>
        <w:t>Úřední záznam:</w:t>
      </w:r>
    </w:p>
    <w:p>
      <w:pPr>
        <w:pStyle w:val="BodyText"/>
        <w:spacing w:line="276" w:lineRule="auto" w:before="286"/>
        <w:ind w:left="136" w:right="114"/>
        <w:jc w:val="both"/>
      </w:pPr>
      <w:r>
        <w:rPr/>
        <w:t>Na základě potřeby vyčíslení zůstatkové ceny ke smlouvě o bezúplatném převodu se Základní školou</w:t>
      </w:r>
      <w:r>
        <w:rPr>
          <w:spacing w:val="-5"/>
        </w:rPr>
        <w:t> </w:t>
      </w:r>
      <w:r>
        <w:rPr/>
        <w:t>Most,</w:t>
      </w:r>
      <w:r>
        <w:rPr>
          <w:spacing w:val="-4"/>
        </w:rPr>
        <w:t> </w:t>
      </w:r>
      <w:r>
        <w:rPr/>
        <w:t>p.</w:t>
      </w:r>
      <w:r>
        <w:rPr>
          <w:spacing w:val="-5"/>
        </w:rPr>
        <w:t> </w:t>
      </w:r>
      <w:r>
        <w:rPr/>
        <w:t>o.,</w:t>
      </w:r>
      <w:r>
        <w:rPr>
          <w:spacing w:val="-3"/>
        </w:rPr>
        <w:t> </w:t>
      </w:r>
      <w:r>
        <w:rPr/>
        <w:t>IČ:</w:t>
      </w:r>
      <w:r>
        <w:rPr>
          <w:spacing w:val="-5"/>
        </w:rPr>
        <w:t> </w:t>
      </w:r>
      <w:r>
        <w:rPr/>
        <w:t>47326417</w:t>
      </w:r>
      <w:r>
        <w:rPr>
          <w:spacing w:val="-2"/>
        </w:rPr>
        <w:t> </w:t>
      </w:r>
      <w:r>
        <w:rPr/>
        <w:t>se</w:t>
      </w:r>
      <w:r>
        <w:rPr>
          <w:spacing w:val="-3"/>
        </w:rPr>
        <w:t> </w:t>
      </w:r>
      <w:r>
        <w:rPr/>
        <w:t>sídlem</w:t>
      </w:r>
      <w:r>
        <w:rPr>
          <w:spacing w:val="-5"/>
        </w:rPr>
        <w:t> </w:t>
      </w:r>
      <w:r>
        <w:rPr/>
        <w:t>Okružní</w:t>
      </w:r>
      <w:r>
        <w:rPr>
          <w:spacing w:val="-5"/>
        </w:rPr>
        <w:t> </w:t>
      </w:r>
      <w:r>
        <w:rPr/>
        <w:t>1235/8,</w:t>
      </w:r>
      <w:r>
        <w:rPr>
          <w:spacing w:val="-4"/>
        </w:rPr>
        <w:t> </w:t>
      </w:r>
      <w:r>
        <w:rPr/>
        <w:t>434</w:t>
      </w:r>
      <w:r>
        <w:rPr>
          <w:spacing w:val="-3"/>
        </w:rPr>
        <w:t> </w:t>
      </w:r>
      <w:r>
        <w:rPr/>
        <w:t>01</w:t>
      </w:r>
      <w:r>
        <w:rPr>
          <w:spacing w:val="-4"/>
        </w:rPr>
        <w:t> </w:t>
      </w:r>
      <w:r>
        <w:rPr/>
        <w:t>Most,</w:t>
      </w:r>
      <w:r>
        <w:rPr>
          <w:spacing w:val="-4"/>
        </w:rPr>
        <w:t> </w:t>
      </w:r>
      <w:r>
        <w:rPr/>
        <w:t>zastoupenou</w:t>
      </w:r>
      <w:r>
        <w:rPr>
          <w:spacing w:val="-3"/>
        </w:rPr>
        <w:t> </w:t>
      </w:r>
      <w:r>
        <w:rPr/>
        <w:t>ředitelkou školy Mgr. Janou Kropáčkovou a v důsledku neoslovení znalce (zvýšené náklady), byla cena odhadnuta zaměstnancem informačních technologií Okresního soudu v Lounech, a to na základě těchto</w:t>
      </w:r>
      <w:r>
        <w:rPr>
          <w:spacing w:val="-2"/>
        </w:rPr>
        <w:t> </w:t>
      </w:r>
      <w:r>
        <w:rPr/>
        <w:t>podkladů:</w:t>
      </w:r>
    </w:p>
    <w:p>
      <w:pPr>
        <w:pStyle w:val="BodyText"/>
        <w:spacing w:before="6"/>
        <w:rPr>
          <w:sz w:val="27"/>
        </w:rPr>
      </w:pPr>
    </w:p>
    <w:p>
      <w:pPr>
        <w:pStyle w:val="BodyText"/>
        <w:ind w:left="136"/>
      </w:pPr>
      <w:r>
        <w:rPr/>
        <w:t>Základní cena na trhu téměř stejného PC (3444,00 Kč)</w:t>
      </w:r>
    </w:p>
    <w:p>
      <w:pPr>
        <w:pStyle w:val="BodyText"/>
        <w:spacing w:before="40"/>
        <w:ind w:left="136"/>
      </w:pPr>
      <w:hyperlink r:id="rId5">
        <w:r>
          <w:rPr>
            <w:color w:val="467885"/>
            <w:u w:val="single" w:color="467885"/>
          </w:rPr>
          <w:t>https://www.incomputer.cz/lenovo-thinkcentre-m710e-sff/</w:t>
        </w:r>
      </w:hyperlink>
    </w:p>
    <w:p>
      <w:pPr>
        <w:pStyle w:val="BodyText"/>
        <w:spacing w:before="4"/>
        <w:rPr>
          <w:sz w:val="22"/>
        </w:rPr>
      </w:pPr>
    </w:p>
    <w:p>
      <w:pPr>
        <w:pStyle w:val="BodyText"/>
        <w:spacing w:line="276" w:lineRule="auto" w:before="100"/>
        <w:ind w:left="136" w:right="2704"/>
      </w:pPr>
      <w:r>
        <w:rPr/>
        <w:t>a dále byla odečtena cena licence MS Windows 11 PRO (1099,00 Kč). </w:t>
      </w:r>
      <w:hyperlink r:id="rId6">
        <w:r>
          <w:rPr>
            <w:color w:val="467885"/>
            <w:u w:val="single" w:color="467885"/>
          </w:rPr>
          <w:t>https://www.prolicence.cz/microsoft-windows-11-pro/</w:t>
        </w:r>
      </w:hyperlink>
    </w:p>
    <w:p>
      <w:pPr>
        <w:pStyle w:val="Heading1"/>
        <w:spacing w:line="276" w:lineRule="auto" w:before="121"/>
        <w:ind w:right="100"/>
      </w:pPr>
      <w:r>
        <w:rPr/>
        <w:t>Zbytkovou cenu 1 ks počítače Lenovo ThinkCentre M710e custom MSp tedy odhaduji na 2 345,00 Kč.</w:t>
      </w:r>
    </w:p>
    <w:p>
      <w:pPr>
        <w:pStyle w:val="BodyText"/>
        <w:spacing w:before="2"/>
        <w:rPr>
          <w:b/>
          <w:sz w:val="20"/>
        </w:rPr>
      </w:pPr>
      <w:r>
        <w:rPr/>
        <w:pict>
          <v:group style="position:absolute;margin-left:69.823997pt;margin-top:13.302138pt;width:71.2pt;height:24.45pt;mso-position-horizontal-relative:page;mso-position-vertical-relative:paragraph;z-index:-251658240;mso-wrap-distance-left:0;mso-wrap-distance-right:0" coordorigin="1396,266" coordsize="1424,489">
            <v:rect style="position:absolute;left:1396;top:266;width:1160;height:244" filled="true" fillcolor="#000000" stroked="false">
              <v:fill type="solid"/>
            </v:rect>
            <v:rect style="position:absolute;left:1396;top:510;width:1424;height:244" filled="true" fillcolor="#000000" stroked="false">
              <v:fill type="solid"/>
            </v:rect>
            <w10:wrap type="topAndBottom"/>
          </v:group>
        </w:pict>
      </w:r>
    </w:p>
    <w:p>
      <w:pPr>
        <w:spacing w:line="192" w:lineRule="exact" w:before="0"/>
        <w:ind w:left="136" w:right="0" w:firstLine="0"/>
        <w:jc w:val="left"/>
        <w:rPr>
          <w:rFonts w:ascii="Calibri" w:hAnsi="Calibri"/>
          <w:b/>
          <w:sz w:val="20"/>
        </w:rPr>
      </w:pPr>
      <w:r>
        <w:rPr>
          <w:rFonts w:ascii="Calibri" w:hAnsi="Calibri"/>
          <w:b/>
          <w:w w:val="110"/>
          <w:sz w:val="20"/>
        </w:rPr>
        <w:t>Okresní soud v Lounech</w:t>
      </w:r>
    </w:p>
    <w:p>
      <w:pPr>
        <w:spacing w:line="219" w:lineRule="exact" w:before="0"/>
        <w:ind w:left="136" w:right="0" w:firstLine="0"/>
        <w:jc w:val="left"/>
        <w:rPr>
          <w:rFonts w:ascii="Calibri" w:hAnsi="Calibri"/>
          <w:sz w:val="18"/>
        </w:rPr>
      </w:pPr>
      <w:r>
        <w:rPr/>
        <w:pict>
          <v:rect style="position:absolute;margin-left:69.823997pt;margin-top:12.120892pt;width:242.324pt;height:10.989pt;mso-position-horizontal-relative:page;mso-position-vertical-relative:paragraph;z-index:-251657216;mso-wrap-distance-left:0;mso-wrap-distance-right:0" filled="true" fillcolor="#000000" stroked="false">
            <v:fill type="solid"/>
            <w10:wrap type="topAndBottom"/>
          </v:rect>
        </w:pict>
      </w:r>
      <w:r>
        <w:rPr>
          <w:rFonts w:ascii="Calibri" w:hAnsi="Calibri"/>
          <w:w w:val="105"/>
          <w:sz w:val="18"/>
        </w:rPr>
        <w:t>Sladkovského 1132, Louny, 44001</w:t>
      </w:r>
    </w:p>
    <w:p>
      <w:pPr>
        <w:pStyle w:val="BodyText"/>
        <w:rPr>
          <w:rFonts w:ascii="Calibri"/>
          <w:sz w:val="22"/>
        </w:rPr>
      </w:pPr>
    </w:p>
    <w:p>
      <w:pPr>
        <w:pStyle w:val="BodyText"/>
        <w:spacing w:before="5"/>
        <w:rPr>
          <w:rFonts w:ascii="Calibri"/>
          <w:sz w:val="25"/>
        </w:rPr>
      </w:pPr>
    </w:p>
    <w:p>
      <w:pPr>
        <w:pStyle w:val="Heading1"/>
      </w:pPr>
      <w:r>
        <w:rPr/>
        <w:t>Tímto stanovuji celkovou odhadovanou zůstatkovou cenu předávaného majetku ke dni</w:t>
      </w:r>
    </w:p>
    <w:p>
      <w:pPr>
        <w:spacing w:before="40"/>
        <w:ind w:left="136" w:right="0" w:firstLine="0"/>
        <w:jc w:val="left"/>
        <w:rPr>
          <w:b/>
          <w:sz w:val="24"/>
        </w:rPr>
      </w:pPr>
      <w:r>
        <w:rPr>
          <w:b/>
          <w:sz w:val="24"/>
        </w:rPr>
        <w:t>vyřazení na 79 730,00 Kč.</w:t>
      </w:r>
    </w:p>
    <w:p>
      <w:pPr>
        <w:pStyle w:val="BodyText"/>
        <w:spacing w:before="5"/>
        <w:rPr>
          <w:b/>
          <w:sz w:val="35"/>
        </w:rPr>
      </w:pPr>
    </w:p>
    <w:p>
      <w:pPr>
        <w:pStyle w:val="BodyText"/>
        <w:ind w:left="136"/>
      </w:pPr>
      <w:r>
        <w:rPr/>
        <w:t>V Lounech dne 16.9.2025</w:t>
      </w: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18"/>
        </w:rPr>
      </w:pPr>
      <w:r>
        <w:rPr/>
        <w:pict>
          <v:rect style="position:absolute;margin-left:69.823997pt;margin-top:12.379777pt;width:104.28pt;height:11.004pt;mso-position-horizontal-relative:page;mso-position-vertical-relative:paragraph;z-index:-251656192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pStyle w:val="BodyText"/>
        <w:spacing w:before="4"/>
        <w:rPr>
          <w:sz w:val="5"/>
        </w:rPr>
      </w:pPr>
    </w:p>
    <w:p>
      <w:pPr>
        <w:pStyle w:val="BodyText"/>
        <w:spacing w:line="220" w:lineRule="exact"/>
        <w:ind w:left="116"/>
        <w:rPr>
          <w:sz w:val="20"/>
        </w:rPr>
      </w:pPr>
      <w:r>
        <w:rPr>
          <w:position w:val="-3"/>
          <w:sz w:val="20"/>
        </w:rPr>
        <w:pict>
          <v:group style="width:103.9pt;height:11.05pt;mso-position-horizontal-relative:char;mso-position-vertical-relative:line" coordorigin="0,0" coordsize="2078,221">
            <v:rect style="position:absolute;left:0;top:0;width:2078;height:221" filled="true" fillcolor="#000000" stroked="false">
              <v:fill type="solid"/>
            </v:rect>
          </v:group>
        </w:pict>
      </w:r>
      <w:r>
        <w:rPr>
          <w:position w:val="-3"/>
          <w:sz w:val="20"/>
        </w:rPr>
      </w:r>
    </w:p>
    <w:p>
      <w:pPr>
        <w:pStyle w:val="BodyText"/>
        <w:spacing w:before="4"/>
        <w:rPr>
          <w:sz w:val="7"/>
        </w:rPr>
      </w:pPr>
    </w:p>
    <w:p>
      <w:pPr>
        <w:pStyle w:val="BodyText"/>
        <w:ind w:left="170"/>
        <w:rPr>
          <w:sz w:val="20"/>
        </w:rPr>
      </w:pPr>
      <w:r>
        <w:rPr>
          <w:sz w:val="20"/>
        </w:rPr>
        <w:pict>
          <v:group style="width:231.75pt;height:56.3pt;mso-position-horizontal-relative:char;mso-position-vertical-relative:line" coordorigin="0,0" coordsize="4635,1126">
            <v:rect style="position:absolute;left:0;top:0;width:4635;height:1126" filled="true" fillcolor="#000000" stroked="false">
              <v:fill type="solid"/>
            </v:rect>
          </v:group>
        </w:pict>
      </w:r>
      <w:r>
        <w:rPr>
          <w:sz w:val="20"/>
        </w:rPr>
      </w:r>
    </w:p>
    <w:p>
      <w:pPr>
        <w:pStyle w:val="BodyText"/>
        <w:rPr>
          <w:sz w:val="4"/>
        </w:rPr>
      </w:pPr>
    </w:p>
    <w:p>
      <w:pPr>
        <w:pStyle w:val="BodyText"/>
        <w:spacing w:line="220" w:lineRule="exact"/>
        <w:ind w:left="116"/>
        <w:rPr>
          <w:sz w:val="20"/>
        </w:rPr>
      </w:pPr>
      <w:r>
        <w:rPr>
          <w:position w:val="-3"/>
          <w:sz w:val="20"/>
        </w:rPr>
        <w:pict>
          <v:group style="width:268.4pt;height:11.05pt;mso-position-horizontal-relative:char;mso-position-vertical-relative:line" coordorigin="0,0" coordsize="5368,221">
            <v:rect style="position:absolute;left:0;top:0;width:5368;height:221" filled="true" fillcolor="#000000" stroked="false">
              <v:fill type="solid"/>
            </v:rect>
          </v:group>
        </w:pict>
      </w:r>
      <w:r>
        <w:rPr>
          <w:position w:val="-3"/>
          <w:sz w:val="20"/>
        </w:rPr>
      </w:r>
    </w:p>
    <w:p>
      <w:pPr>
        <w:pStyle w:val="BodyText"/>
        <w:spacing w:before="11"/>
      </w:pPr>
      <w:r>
        <w:rPr/>
        <w:pict>
          <v:group style="position:absolute;margin-left:69.823997pt;margin-top:16.006001pt;width:90.3pt;height:24.45pt;mso-position-horizontal-relative:page;mso-position-vertical-relative:paragraph;z-index:-251652096;mso-wrap-distance-left:0;mso-wrap-distance-right:0" coordorigin="1396,320" coordsize="1806,489">
            <v:rect style="position:absolute;left:1396;top:320;width:1806;height:221" filled="true" fillcolor="#000000" stroked="false">
              <v:fill type="solid"/>
            </v:rect>
            <v:rect style="position:absolute;left:1396;top:588;width:1454;height:221" filled="true" fillcolor="#000000" stroked="false">
              <v:fill type="solid"/>
            </v:rect>
            <w10:wrap type="topAndBottom"/>
          </v:group>
        </w:pict>
      </w:r>
    </w:p>
    <w:sectPr>
      <w:type w:val="continuous"/>
      <w:pgSz w:w="11910" w:h="16840"/>
      <w:pgMar w:top="1200" w:bottom="280" w:left="1280" w:right="13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Garamond">
    <w:altName w:val="Garamond"/>
    <w:charset w:val="EE"/>
    <w:family w:val="roman"/>
    <w:pitch w:val="variable"/>
  </w:font>
  <w:font w:name="Calibri">
    <w:altName w:val="Calibri"/>
    <w:charset w:val="EE"/>
    <w:family w:val="swiss"/>
    <w:pitch w:val="variable"/>
  </w:font>
  <w:font w:name="Impact">
    <w:altName w:val="Impact"/>
    <w:charset w:val="EE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Garamond" w:hAnsi="Garamond" w:eastAsia="Garamond" w:cs="Garamond"/>
      <w:lang w:val="cs-CZ" w:eastAsia="cs-CZ" w:bidi="cs-CZ"/>
    </w:rPr>
  </w:style>
  <w:style w:styleId="BodyText" w:type="paragraph">
    <w:name w:val="Body Text"/>
    <w:basedOn w:val="Normal"/>
    <w:uiPriority w:val="1"/>
    <w:qFormat/>
    <w:pPr/>
    <w:rPr>
      <w:rFonts w:ascii="Garamond" w:hAnsi="Garamond" w:eastAsia="Garamond" w:cs="Garamond"/>
      <w:sz w:val="24"/>
      <w:szCs w:val="24"/>
      <w:lang w:val="cs-CZ" w:eastAsia="cs-CZ" w:bidi="cs-CZ"/>
    </w:rPr>
  </w:style>
  <w:style w:styleId="Heading1" w:type="paragraph">
    <w:name w:val="Heading 1"/>
    <w:basedOn w:val="Normal"/>
    <w:uiPriority w:val="1"/>
    <w:qFormat/>
    <w:pPr>
      <w:ind w:left="136"/>
      <w:outlineLvl w:val="1"/>
    </w:pPr>
    <w:rPr>
      <w:rFonts w:ascii="Garamond" w:hAnsi="Garamond" w:eastAsia="Garamond" w:cs="Garamond"/>
      <w:b/>
      <w:bCs/>
      <w:sz w:val="24"/>
      <w:szCs w:val="24"/>
      <w:lang w:val="cs-CZ" w:eastAsia="cs-CZ" w:bidi="cs-CZ"/>
    </w:rPr>
  </w:style>
  <w:style w:styleId="ListParagraph" w:type="paragraph">
    <w:name w:val="List Paragraph"/>
    <w:basedOn w:val="Normal"/>
    <w:uiPriority w:val="1"/>
    <w:qFormat/>
    <w:pPr/>
    <w:rPr>
      <w:lang w:val="cs-CZ" w:eastAsia="cs-CZ" w:bidi="cs-CZ"/>
    </w:rPr>
  </w:style>
  <w:style w:styleId="TableParagraph" w:type="paragraph">
    <w:name w:val="Table Paragraph"/>
    <w:basedOn w:val="Normal"/>
    <w:uiPriority w:val="1"/>
    <w:qFormat/>
    <w:pPr/>
    <w:rPr>
      <w:lang w:val="cs-CZ" w:eastAsia="cs-CZ" w:bidi="cs-CZ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s://www.incomputer.cz/lenovo-thinkcentre-m710e-sff/" TargetMode="External"/><Relationship Id="rId6" Type="http://schemas.openxmlformats.org/officeDocument/2006/relationships/hyperlink" Target="https://www.prolicence.cz/microsoft-windows-11-pro/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Hoyerová Milada</dc:creator>
  <dcterms:created xsi:type="dcterms:W3CDTF">2025-09-17T11:01:19Z</dcterms:created>
  <dcterms:modified xsi:type="dcterms:W3CDTF">2025-09-17T11:01:19Z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2025-09-17T00:00:00Z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2025-09-17T00:00:00Z</vt:filetime>
  </property>
</Properties>
</file>