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ind w:left="0"/>
        <w:rPr>
          <w:rFonts w:ascii="Times New Roman"/>
          <w:sz w:val="9"/>
        </w:rPr>
      </w:pPr>
    </w:p>
    <w:p>
      <w:pPr>
        <w:spacing w:before="100"/>
        <w:ind w:left="672" w:right="1358" w:firstLine="0"/>
        <w:jc w:val="center"/>
        <w:rPr>
          <w:b/>
          <w:sz w:val="32"/>
        </w:rPr>
      </w:pPr>
      <w:r>
        <w:rPr>
          <w:b/>
          <w:sz w:val="32"/>
        </w:rPr>
        <w:t>SMLOUVA O BEZÚPLATNÉM PŘEVODU</w:t>
      </w:r>
    </w:p>
    <w:p>
      <w:pPr>
        <w:pStyle w:val="BodyText"/>
        <w:spacing w:before="120"/>
        <w:ind w:left="678" w:right="1358"/>
        <w:jc w:val="center"/>
      </w:pPr>
      <w:r>
        <w:rPr/>
        <w:t>podle zákona č. 219/2000 Sb., o majetku České republiky a jejím vystupování v právních vztazích, ve znění pozdějších předpisů,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ind w:left="256" w:right="0"/>
        <w:jc w:val="left"/>
      </w:pPr>
      <w:r>
        <w:rPr/>
        <w:t>Česká republika – Okresní soud v Lounech</w:t>
      </w:r>
    </w:p>
    <w:p>
      <w:pPr>
        <w:pStyle w:val="BodyText"/>
        <w:spacing w:before="119"/>
        <w:ind w:left="256"/>
      </w:pPr>
      <w:r>
        <w:rPr/>
        <w:t>se sídlem Sladkovského 1132, 440 29 Louny</w:t>
      </w:r>
    </w:p>
    <w:p>
      <w:pPr>
        <w:pStyle w:val="BodyText"/>
        <w:spacing w:before="121"/>
        <w:ind w:left="256"/>
      </w:pPr>
      <w:r>
        <w:rPr/>
        <w:t>zastoupený: Mgr. Ing. Jan Jouza, předseda okresního soudu</w:t>
      </w:r>
    </w:p>
    <w:p>
      <w:pPr>
        <w:pStyle w:val="BodyText"/>
        <w:spacing w:before="119"/>
        <w:ind w:left="256"/>
      </w:pPr>
      <w:r>
        <w:rPr/>
        <w:t>IČO: 00024881</w:t>
      </w:r>
    </w:p>
    <w:p>
      <w:pPr>
        <w:spacing w:before="121"/>
        <w:ind w:left="256" w:right="0" w:firstLine="0"/>
        <w:jc w:val="left"/>
        <w:rPr>
          <w:b/>
          <w:sz w:val="24"/>
        </w:rPr>
      </w:pPr>
      <w:r>
        <w:rPr>
          <w:sz w:val="24"/>
        </w:rPr>
        <w:t>(dále jen </w:t>
      </w:r>
      <w:r>
        <w:rPr>
          <w:b/>
          <w:sz w:val="24"/>
        </w:rPr>
        <w:t>„předávající“)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spacing w:before="218"/>
        <w:ind w:left="256"/>
      </w:pPr>
      <w:r>
        <w:rPr/>
        <w:t>a</w:t>
      </w:r>
    </w:p>
    <w:p>
      <w:pPr>
        <w:pStyle w:val="BodyText"/>
        <w:ind w:left="0"/>
        <w:rPr>
          <w:sz w:val="26"/>
        </w:rPr>
      </w:pPr>
    </w:p>
    <w:p>
      <w:pPr>
        <w:spacing w:line="345" w:lineRule="auto" w:before="218"/>
        <w:ind w:left="256" w:right="5299" w:firstLine="0"/>
        <w:jc w:val="left"/>
        <w:rPr>
          <w:sz w:val="24"/>
        </w:rPr>
      </w:pPr>
      <w:r>
        <w:rPr>
          <w:b/>
          <w:sz w:val="24"/>
        </w:rPr>
        <w:t>Základní škola Most, příspěvková organizace </w:t>
      </w:r>
      <w:r>
        <w:rPr>
          <w:sz w:val="24"/>
        </w:rPr>
        <w:t>se sídlem Okružní 1235/8, 434 01 Most zastoupená: Mgr. Jana Kropáčková, ředitelka školy IČO: 47326417</w:t>
      </w:r>
    </w:p>
    <w:p>
      <w:pPr>
        <w:spacing w:before="5"/>
        <w:ind w:left="256" w:right="0" w:firstLine="0"/>
        <w:jc w:val="left"/>
        <w:rPr>
          <w:sz w:val="24"/>
        </w:rPr>
      </w:pPr>
      <w:r>
        <w:rPr>
          <w:sz w:val="24"/>
        </w:rPr>
        <w:t>(dále jen </w:t>
      </w:r>
      <w:r>
        <w:rPr>
          <w:b/>
          <w:sz w:val="24"/>
        </w:rPr>
        <w:t>„přejímající“</w:t>
      </w:r>
      <w:r>
        <w:rPr>
          <w:sz w:val="24"/>
        </w:rPr>
        <w:t>)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217"/>
      </w:pPr>
      <w:r>
        <w:rPr/>
        <w:t>Čl. I</w:t>
      </w:r>
    </w:p>
    <w:p>
      <w:pPr>
        <w:pStyle w:val="ListParagraph"/>
        <w:numPr>
          <w:ilvl w:val="0"/>
          <w:numId w:val="1"/>
        </w:numPr>
        <w:tabs>
          <w:tab w:pos="977" w:val="left" w:leader="none"/>
        </w:tabs>
        <w:spacing w:line="240" w:lineRule="auto" w:before="119" w:after="0"/>
        <w:ind w:left="976" w:right="934" w:hanging="360"/>
        <w:jc w:val="left"/>
        <w:rPr>
          <w:sz w:val="24"/>
        </w:rPr>
      </w:pPr>
      <w:r>
        <w:rPr>
          <w:sz w:val="24"/>
        </w:rPr>
        <w:t>Česká republika je vlastníkem a Okresní soud v Lounech je příslušný hospodařit s tímto majetkem</w:t>
      </w:r>
      <w:r>
        <w:rPr>
          <w:spacing w:val="-1"/>
          <w:sz w:val="24"/>
        </w:rPr>
        <w:t> </w:t>
      </w:r>
      <w:r>
        <w:rPr>
          <w:sz w:val="24"/>
        </w:rPr>
        <w:t>státu: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14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1416"/>
        <w:gridCol w:w="3829"/>
        <w:gridCol w:w="991"/>
        <w:gridCol w:w="849"/>
        <w:gridCol w:w="1135"/>
        <w:gridCol w:w="1242"/>
      </w:tblGrid>
      <w:tr>
        <w:trPr>
          <w:trHeight w:val="753" w:hRule="atLeast"/>
        </w:trPr>
        <w:tc>
          <w:tcPr>
            <w:tcW w:w="569" w:type="dxa"/>
          </w:tcPr>
          <w:p>
            <w:pPr>
              <w:pStyle w:val="TableParagraph"/>
              <w:spacing w:line="240" w:lineRule="auto"/>
              <w:ind w:left="218" w:right="99" w:hanging="92"/>
              <w:rPr>
                <w:b/>
                <w:sz w:val="18"/>
              </w:rPr>
            </w:pPr>
            <w:r>
              <w:rPr>
                <w:b/>
                <w:sz w:val="18"/>
              </w:rPr>
              <w:t>Poř. č.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Inventární číslo</w:t>
            </w:r>
          </w:p>
        </w:tc>
        <w:tc>
          <w:tcPr>
            <w:tcW w:w="3829" w:type="dxa"/>
          </w:tcPr>
          <w:p>
            <w:pPr>
              <w:pStyle w:val="TableParagraph"/>
              <w:spacing w:line="240" w:lineRule="auto"/>
              <w:ind w:left="1315" w:right="13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Název majetku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ind w:left="230"/>
              <w:rPr>
                <w:b/>
                <w:sz w:val="18"/>
              </w:rPr>
            </w:pPr>
            <w:r>
              <w:rPr>
                <w:b/>
                <w:sz w:val="18"/>
              </w:rPr>
              <w:t>Datum</w:t>
            </w:r>
          </w:p>
          <w:p>
            <w:pPr>
              <w:pStyle w:val="TableParagraph"/>
              <w:spacing w:line="240" w:lineRule="auto" w:before="1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pořízení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/>
              <w:ind w:left="115" w:right="79" w:firstLine="19"/>
              <w:rPr>
                <w:b/>
                <w:sz w:val="18"/>
              </w:rPr>
            </w:pPr>
            <w:r>
              <w:rPr>
                <w:b/>
                <w:sz w:val="18"/>
              </w:rPr>
              <w:t>Způsob pořízení</w:t>
            </w:r>
          </w:p>
        </w:tc>
        <w:tc>
          <w:tcPr>
            <w:tcW w:w="1135" w:type="dxa"/>
          </w:tcPr>
          <w:p>
            <w:pPr>
              <w:pStyle w:val="TableParagraph"/>
              <w:spacing w:line="240" w:lineRule="auto"/>
              <w:ind w:left="257" w:right="223" w:firstLine="50"/>
              <w:rPr>
                <w:b/>
                <w:sz w:val="18"/>
              </w:rPr>
            </w:pPr>
            <w:r>
              <w:rPr>
                <w:b/>
                <w:sz w:val="18"/>
              </w:rPr>
              <w:t>Částka pořízení</w:t>
            </w:r>
          </w:p>
        </w:tc>
        <w:tc>
          <w:tcPr>
            <w:tcW w:w="1242" w:type="dxa"/>
          </w:tcPr>
          <w:p>
            <w:pPr>
              <w:pStyle w:val="TableParagraph"/>
              <w:spacing w:line="240" w:lineRule="auto"/>
              <w:ind w:left="115" w:right="1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Odhadovaná zůstatková cena</w:t>
            </w:r>
          </w:p>
        </w:tc>
      </w:tr>
      <w:tr>
        <w:trPr>
          <w:trHeight w:val="321" w:hRule="atLeast"/>
        </w:trPr>
        <w:tc>
          <w:tcPr>
            <w:tcW w:w="569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D3002/000713</w:t>
            </w:r>
          </w:p>
        </w:tc>
        <w:tc>
          <w:tcPr>
            <w:tcW w:w="3829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3" w:hRule="atLeast"/>
        </w:trPr>
        <w:tc>
          <w:tcPr>
            <w:tcW w:w="569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D3002/000714</w:t>
            </w:r>
          </w:p>
        </w:tc>
        <w:tc>
          <w:tcPr>
            <w:tcW w:w="3829" w:type="dxa"/>
          </w:tcPr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spacing w:line="185" w:lineRule="exact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spacing w:line="185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spacing w:line="185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1" w:hRule="atLeast"/>
        </w:trPr>
        <w:tc>
          <w:tcPr>
            <w:tcW w:w="569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D3002/000715</w:t>
            </w:r>
          </w:p>
        </w:tc>
        <w:tc>
          <w:tcPr>
            <w:tcW w:w="3829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3" w:hRule="atLeast"/>
        </w:trPr>
        <w:tc>
          <w:tcPr>
            <w:tcW w:w="569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D3002/000716</w:t>
            </w:r>
          </w:p>
        </w:tc>
        <w:tc>
          <w:tcPr>
            <w:tcW w:w="3829" w:type="dxa"/>
          </w:tcPr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spacing w:line="185" w:lineRule="exact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spacing w:line="185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spacing w:line="185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1" w:hRule="atLeast"/>
        </w:trPr>
        <w:tc>
          <w:tcPr>
            <w:tcW w:w="569" w:type="dxa"/>
          </w:tcPr>
          <w:p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z w:val="18"/>
              </w:rPr>
              <w:t>D3002/000718</w:t>
            </w:r>
          </w:p>
        </w:tc>
        <w:tc>
          <w:tcPr>
            <w:tcW w:w="3829" w:type="dxa"/>
          </w:tcPr>
          <w:p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spacing w:before="119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spacing w:before="119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spacing w:before="119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3" w:hRule="atLeast"/>
        </w:trPr>
        <w:tc>
          <w:tcPr>
            <w:tcW w:w="569" w:type="dxa"/>
          </w:tcPr>
          <w:p>
            <w:pPr>
              <w:pStyle w:val="TableParagraph"/>
              <w:spacing w:before="120"/>
              <w:ind w:left="10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08"/>
              <w:rPr>
                <w:sz w:val="18"/>
              </w:rPr>
            </w:pPr>
            <w:r>
              <w:rPr>
                <w:sz w:val="18"/>
              </w:rPr>
              <w:t>D3002/000719</w:t>
            </w:r>
          </w:p>
        </w:tc>
        <w:tc>
          <w:tcPr>
            <w:tcW w:w="3829" w:type="dxa"/>
          </w:tcPr>
          <w:p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spacing w:before="120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spacing w:before="120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spacing w:before="120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1" w:hRule="atLeast"/>
        </w:trPr>
        <w:tc>
          <w:tcPr>
            <w:tcW w:w="569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16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D3002/000720</w:t>
            </w:r>
          </w:p>
        </w:tc>
        <w:tc>
          <w:tcPr>
            <w:tcW w:w="3829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3" w:hRule="atLeast"/>
        </w:trPr>
        <w:tc>
          <w:tcPr>
            <w:tcW w:w="569" w:type="dxa"/>
          </w:tcPr>
          <w:p>
            <w:pPr>
              <w:pStyle w:val="TableParagraph"/>
              <w:spacing w:before="120"/>
              <w:ind w:left="10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08"/>
              <w:rPr>
                <w:sz w:val="18"/>
              </w:rPr>
            </w:pPr>
            <w:r>
              <w:rPr>
                <w:sz w:val="18"/>
              </w:rPr>
              <w:t>D3002/000721</w:t>
            </w:r>
          </w:p>
        </w:tc>
        <w:tc>
          <w:tcPr>
            <w:tcW w:w="3829" w:type="dxa"/>
          </w:tcPr>
          <w:p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spacing w:before="120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spacing w:before="120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spacing w:before="120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3" w:hRule="atLeast"/>
        </w:trPr>
        <w:tc>
          <w:tcPr>
            <w:tcW w:w="569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16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D3002/000722</w:t>
            </w:r>
          </w:p>
        </w:tc>
        <w:tc>
          <w:tcPr>
            <w:tcW w:w="3829" w:type="dxa"/>
          </w:tcPr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spacing w:line="185" w:lineRule="exact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spacing w:line="185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spacing w:line="185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1" w:hRule="atLeast"/>
        </w:trPr>
        <w:tc>
          <w:tcPr>
            <w:tcW w:w="569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16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D3002/000723</w:t>
            </w:r>
          </w:p>
        </w:tc>
        <w:tc>
          <w:tcPr>
            <w:tcW w:w="3829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3" w:hRule="atLeast"/>
        </w:trPr>
        <w:tc>
          <w:tcPr>
            <w:tcW w:w="569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416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D3002/000724</w:t>
            </w:r>
          </w:p>
        </w:tc>
        <w:tc>
          <w:tcPr>
            <w:tcW w:w="3829" w:type="dxa"/>
          </w:tcPr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spacing w:line="185" w:lineRule="exact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spacing w:line="185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spacing w:line="185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1" w:hRule="atLeast"/>
        </w:trPr>
        <w:tc>
          <w:tcPr>
            <w:tcW w:w="569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416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D3002/000725</w:t>
            </w:r>
          </w:p>
        </w:tc>
        <w:tc>
          <w:tcPr>
            <w:tcW w:w="3829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3" w:hRule="atLeast"/>
        </w:trPr>
        <w:tc>
          <w:tcPr>
            <w:tcW w:w="569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416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D3002/000726</w:t>
            </w:r>
          </w:p>
        </w:tc>
        <w:tc>
          <w:tcPr>
            <w:tcW w:w="3829" w:type="dxa"/>
          </w:tcPr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spacing w:line="185" w:lineRule="exact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spacing w:line="185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spacing w:line="185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1" w:hRule="atLeast"/>
        </w:trPr>
        <w:tc>
          <w:tcPr>
            <w:tcW w:w="569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416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D3002/000727</w:t>
            </w:r>
          </w:p>
        </w:tc>
        <w:tc>
          <w:tcPr>
            <w:tcW w:w="3829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3" w:hRule="atLeast"/>
        </w:trPr>
        <w:tc>
          <w:tcPr>
            <w:tcW w:w="569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416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D3002/000728</w:t>
            </w:r>
          </w:p>
        </w:tc>
        <w:tc>
          <w:tcPr>
            <w:tcW w:w="3829" w:type="dxa"/>
          </w:tcPr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spacing w:line="185" w:lineRule="exact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spacing w:line="185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spacing w:line="185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</w:tbl>
    <w:p>
      <w:pPr>
        <w:spacing w:after="0" w:line="185" w:lineRule="exact"/>
        <w:jc w:val="right"/>
        <w:rPr>
          <w:sz w:val="18"/>
        </w:rPr>
        <w:sectPr>
          <w:headerReference w:type="default" r:id="rId5"/>
          <w:type w:val="continuous"/>
          <w:pgSz w:w="11910" w:h="16840"/>
          <w:pgMar w:header="708" w:top="1180" w:bottom="280" w:left="1160" w:right="480"/>
        </w:sectPr>
      </w:pPr>
    </w:p>
    <w:p>
      <w:pPr>
        <w:pStyle w:val="BodyText"/>
        <w:ind w:left="0"/>
        <w:rPr>
          <w:sz w:val="8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1416"/>
        <w:gridCol w:w="3829"/>
        <w:gridCol w:w="991"/>
        <w:gridCol w:w="849"/>
        <w:gridCol w:w="1135"/>
        <w:gridCol w:w="1242"/>
      </w:tblGrid>
      <w:tr>
        <w:trPr>
          <w:trHeight w:val="321" w:hRule="atLeast"/>
        </w:trPr>
        <w:tc>
          <w:tcPr>
            <w:tcW w:w="569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416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D3002/000729</w:t>
            </w:r>
          </w:p>
        </w:tc>
        <w:tc>
          <w:tcPr>
            <w:tcW w:w="3829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3" w:hRule="atLeast"/>
        </w:trPr>
        <w:tc>
          <w:tcPr>
            <w:tcW w:w="569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416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D3002/000730</w:t>
            </w:r>
          </w:p>
        </w:tc>
        <w:tc>
          <w:tcPr>
            <w:tcW w:w="3829" w:type="dxa"/>
          </w:tcPr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spacing w:line="185" w:lineRule="exact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spacing w:line="185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spacing w:line="185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1" w:hRule="atLeast"/>
        </w:trPr>
        <w:tc>
          <w:tcPr>
            <w:tcW w:w="569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416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D3002/000731</w:t>
            </w:r>
          </w:p>
        </w:tc>
        <w:tc>
          <w:tcPr>
            <w:tcW w:w="3829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3" w:hRule="atLeast"/>
        </w:trPr>
        <w:tc>
          <w:tcPr>
            <w:tcW w:w="569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416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D3002/000732</w:t>
            </w:r>
          </w:p>
        </w:tc>
        <w:tc>
          <w:tcPr>
            <w:tcW w:w="3829" w:type="dxa"/>
          </w:tcPr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spacing w:line="185" w:lineRule="exact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spacing w:line="185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spacing w:line="185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1" w:hRule="atLeast"/>
        </w:trPr>
        <w:tc>
          <w:tcPr>
            <w:tcW w:w="569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416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D3002/000733</w:t>
            </w:r>
          </w:p>
        </w:tc>
        <w:tc>
          <w:tcPr>
            <w:tcW w:w="3829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3" w:hRule="atLeast"/>
        </w:trPr>
        <w:tc>
          <w:tcPr>
            <w:tcW w:w="569" w:type="dxa"/>
          </w:tcPr>
          <w:p>
            <w:pPr>
              <w:pStyle w:val="TableParagraph"/>
              <w:spacing w:before="120"/>
              <w:ind w:left="108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08"/>
              <w:rPr>
                <w:sz w:val="18"/>
              </w:rPr>
            </w:pPr>
            <w:r>
              <w:rPr>
                <w:sz w:val="18"/>
              </w:rPr>
              <w:t>D3002/000734</w:t>
            </w:r>
          </w:p>
        </w:tc>
        <w:tc>
          <w:tcPr>
            <w:tcW w:w="3829" w:type="dxa"/>
          </w:tcPr>
          <w:p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spacing w:before="120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spacing w:before="120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spacing w:before="120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1" w:hRule="atLeast"/>
        </w:trPr>
        <w:tc>
          <w:tcPr>
            <w:tcW w:w="569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416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D3002/000735</w:t>
            </w:r>
          </w:p>
        </w:tc>
        <w:tc>
          <w:tcPr>
            <w:tcW w:w="3829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3" w:hRule="atLeast"/>
        </w:trPr>
        <w:tc>
          <w:tcPr>
            <w:tcW w:w="569" w:type="dxa"/>
          </w:tcPr>
          <w:p>
            <w:pPr>
              <w:pStyle w:val="TableParagraph"/>
              <w:spacing w:before="120"/>
              <w:ind w:left="108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08"/>
              <w:rPr>
                <w:sz w:val="18"/>
              </w:rPr>
            </w:pPr>
            <w:r>
              <w:rPr>
                <w:sz w:val="18"/>
              </w:rPr>
              <w:t>D3002/000736</w:t>
            </w:r>
          </w:p>
        </w:tc>
        <w:tc>
          <w:tcPr>
            <w:tcW w:w="3829" w:type="dxa"/>
          </w:tcPr>
          <w:p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spacing w:before="120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spacing w:before="120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spacing w:before="120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3" w:hRule="atLeast"/>
        </w:trPr>
        <w:tc>
          <w:tcPr>
            <w:tcW w:w="569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416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D3002/000737</w:t>
            </w:r>
          </w:p>
        </w:tc>
        <w:tc>
          <w:tcPr>
            <w:tcW w:w="3829" w:type="dxa"/>
          </w:tcPr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spacing w:line="185" w:lineRule="exact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spacing w:line="185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spacing w:line="185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1" w:hRule="atLeast"/>
        </w:trPr>
        <w:tc>
          <w:tcPr>
            <w:tcW w:w="569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416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D3002/000738</w:t>
            </w:r>
          </w:p>
        </w:tc>
        <w:tc>
          <w:tcPr>
            <w:tcW w:w="3829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3" w:hRule="atLeast"/>
        </w:trPr>
        <w:tc>
          <w:tcPr>
            <w:tcW w:w="569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416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D3002/000739</w:t>
            </w:r>
          </w:p>
        </w:tc>
        <w:tc>
          <w:tcPr>
            <w:tcW w:w="3829" w:type="dxa"/>
          </w:tcPr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spacing w:line="185" w:lineRule="exact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spacing w:line="185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spacing w:line="185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1" w:hRule="atLeast"/>
        </w:trPr>
        <w:tc>
          <w:tcPr>
            <w:tcW w:w="569" w:type="dxa"/>
          </w:tcPr>
          <w:p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z w:val="18"/>
              </w:rPr>
              <w:t>D3002/000740</w:t>
            </w:r>
          </w:p>
        </w:tc>
        <w:tc>
          <w:tcPr>
            <w:tcW w:w="3829" w:type="dxa"/>
          </w:tcPr>
          <w:p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spacing w:before="119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spacing w:before="119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spacing w:before="119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3" w:hRule="atLeast"/>
        </w:trPr>
        <w:tc>
          <w:tcPr>
            <w:tcW w:w="569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416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D3002/000741</w:t>
            </w:r>
          </w:p>
        </w:tc>
        <w:tc>
          <w:tcPr>
            <w:tcW w:w="3829" w:type="dxa"/>
          </w:tcPr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spacing w:line="185" w:lineRule="exact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spacing w:line="185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spacing w:line="185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1" w:hRule="atLeast"/>
        </w:trPr>
        <w:tc>
          <w:tcPr>
            <w:tcW w:w="569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416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D3002/000742</w:t>
            </w:r>
          </w:p>
        </w:tc>
        <w:tc>
          <w:tcPr>
            <w:tcW w:w="3829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3" w:hRule="atLeast"/>
        </w:trPr>
        <w:tc>
          <w:tcPr>
            <w:tcW w:w="569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416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D3002/000743</w:t>
            </w:r>
          </w:p>
        </w:tc>
        <w:tc>
          <w:tcPr>
            <w:tcW w:w="3829" w:type="dxa"/>
          </w:tcPr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spacing w:line="185" w:lineRule="exact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spacing w:line="185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spacing w:line="185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1" w:hRule="atLeast"/>
        </w:trPr>
        <w:tc>
          <w:tcPr>
            <w:tcW w:w="569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416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D3002/000744</w:t>
            </w:r>
          </w:p>
        </w:tc>
        <w:tc>
          <w:tcPr>
            <w:tcW w:w="3829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3" w:hRule="atLeast"/>
        </w:trPr>
        <w:tc>
          <w:tcPr>
            <w:tcW w:w="569" w:type="dxa"/>
          </w:tcPr>
          <w:p>
            <w:pPr>
              <w:pStyle w:val="TableParagraph"/>
              <w:spacing w:before="120"/>
              <w:ind w:left="10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08"/>
              <w:rPr>
                <w:sz w:val="18"/>
              </w:rPr>
            </w:pPr>
            <w:r>
              <w:rPr>
                <w:sz w:val="18"/>
              </w:rPr>
              <w:t>D3002/000746</w:t>
            </w:r>
          </w:p>
        </w:tc>
        <w:tc>
          <w:tcPr>
            <w:tcW w:w="3829" w:type="dxa"/>
          </w:tcPr>
          <w:p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spacing w:before="120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spacing w:before="120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spacing w:before="120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1" w:hRule="atLeast"/>
        </w:trPr>
        <w:tc>
          <w:tcPr>
            <w:tcW w:w="569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416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D3002/000747</w:t>
            </w:r>
          </w:p>
        </w:tc>
        <w:tc>
          <w:tcPr>
            <w:tcW w:w="3829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323" w:hRule="atLeast"/>
        </w:trPr>
        <w:tc>
          <w:tcPr>
            <w:tcW w:w="569" w:type="dxa"/>
          </w:tcPr>
          <w:p>
            <w:pPr>
              <w:pStyle w:val="TableParagraph"/>
              <w:spacing w:before="120"/>
              <w:ind w:left="108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08"/>
              <w:rPr>
                <w:sz w:val="18"/>
              </w:rPr>
            </w:pPr>
            <w:r>
              <w:rPr>
                <w:sz w:val="18"/>
              </w:rPr>
              <w:t>D3002/000748</w:t>
            </w:r>
          </w:p>
        </w:tc>
        <w:tc>
          <w:tcPr>
            <w:tcW w:w="3829" w:type="dxa"/>
          </w:tcPr>
          <w:p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Počítač Lenovo ThinkCentre M710e custom MSp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12.07.2019</w:t>
            </w:r>
          </w:p>
        </w:tc>
        <w:tc>
          <w:tcPr>
            <w:tcW w:w="849" w:type="dxa"/>
          </w:tcPr>
          <w:p>
            <w:pPr>
              <w:pStyle w:val="TableParagraph"/>
              <w:spacing w:before="120"/>
              <w:ind w:left="35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spacing w:before="120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13 612,50</w:t>
            </w:r>
          </w:p>
        </w:tc>
        <w:tc>
          <w:tcPr>
            <w:tcW w:w="1242" w:type="dxa"/>
          </w:tcPr>
          <w:p>
            <w:pPr>
              <w:pStyle w:val="TableParagraph"/>
              <w:spacing w:before="120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2 345,00</w:t>
            </w:r>
          </w:p>
        </w:tc>
      </w:tr>
      <w:tr>
        <w:trPr>
          <w:trHeight w:val="434" w:hRule="atLeast"/>
        </w:trPr>
        <w:tc>
          <w:tcPr>
            <w:tcW w:w="7654" w:type="dxa"/>
            <w:gridSpan w:val="5"/>
          </w:tcPr>
          <w:p>
            <w:pPr>
              <w:pStyle w:val="TableParagraph"/>
              <w:spacing w:line="240" w:lineRule="auto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1135" w:type="dxa"/>
          </w:tcPr>
          <w:p>
            <w:pPr>
              <w:pStyle w:val="TableParagraph"/>
              <w:spacing w:line="240" w:lineRule="auto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462 825,00</w:t>
            </w:r>
          </w:p>
        </w:tc>
        <w:tc>
          <w:tcPr>
            <w:tcW w:w="1242" w:type="dxa"/>
          </w:tcPr>
          <w:p>
            <w:pPr>
              <w:pStyle w:val="TableParagraph"/>
              <w:spacing w:line="240" w:lineRule="auto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79 730,00</w:t>
            </w:r>
          </w:p>
        </w:tc>
      </w:tr>
    </w:tbl>
    <w:p>
      <w:pPr>
        <w:pStyle w:val="BodyText"/>
        <w:spacing w:before="122"/>
        <w:ind w:left="316"/>
      </w:pPr>
      <w:r>
        <w:rPr/>
        <w:t>(dále také jen „předávaný majetek“)</w:t>
      </w:r>
    </w:p>
    <w:p>
      <w:pPr>
        <w:pStyle w:val="BodyText"/>
        <w:spacing w:before="5"/>
        <w:ind w:left="0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977" w:val="left" w:leader="none"/>
        </w:tabs>
        <w:spacing w:line="240" w:lineRule="auto" w:before="1" w:after="0"/>
        <w:ind w:left="976" w:right="0" w:hanging="361"/>
        <w:jc w:val="both"/>
        <w:rPr>
          <w:sz w:val="24"/>
        </w:rPr>
      </w:pPr>
      <w:r>
        <w:rPr>
          <w:sz w:val="24"/>
        </w:rPr>
        <w:t>Odhadovaná zůstatková cena předávaného majetku ke dni vyřazení: 79 730,-</w:t>
      </w:r>
      <w:r>
        <w:rPr>
          <w:spacing w:val="-9"/>
          <w:sz w:val="24"/>
        </w:rPr>
        <w:t> </w:t>
      </w:r>
      <w:r>
        <w:rPr>
          <w:sz w:val="24"/>
        </w:rPr>
        <w:t>Kč</w:t>
      </w:r>
    </w:p>
    <w:p>
      <w:pPr>
        <w:pStyle w:val="BodyText"/>
        <w:spacing w:before="159"/>
      </w:pPr>
      <w:r>
        <w:rPr/>
        <w:t>/slovy: Sedmdesátdevěttisícsedmsettřicetkorunčeských /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  <w:spacing w:before="0"/>
      </w:pPr>
      <w:r>
        <w:rPr/>
        <w:t>Čl. II</w:t>
      </w:r>
    </w:p>
    <w:p>
      <w:pPr>
        <w:pStyle w:val="ListParagraph"/>
        <w:numPr>
          <w:ilvl w:val="0"/>
          <w:numId w:val="2"/>
        </w:numPr>
        <w:tabs>
          <w:tab w:pos="977" w:val="left" w:leader="none"/>
        </w:tabs>
        <w:spacing w:line="240" w:lineRule="auto" w:before="119" w:after="0"/>
        <w:ind w:left="976" w:right="0" w:hanging="361"/>
        <w:jc w:val="both"/>
        <w:rPr>
          <w:sz w:val="24"/>
        </w:rPr>
      </w:pPr>
      <w:r>
        <w:rPr>
          <w:sz w:val="24"/>
        </w:rPr>
        <w:t>Smluvní strany se dohodly na převodu majetku uvedeného v čl. I této</w:t>
      </w:r>
      <w:r>
        <w:rPr>
          <w:spacing w:val="-8"/>
          <w:sz w:val="24"/>
        </w:rPr>
        <w:t> </w:t>
      </w:r>
      <w:r>
        <w:rPr>
          <w:sz w:val="24"/>
        </w:rPr>
        <w:t>smlouvy.</w:t>
      </w:r>
    </w:p>
    <w:p>
      <w:pPr>
        <w:pStyle w:val="ListParagraph"/>
        <w:numPr>
          <w:ilvl w:val="0"/>
          <w:numId w:val="2"/>
        </w:numPr>
        <w:tabs>
          <w:tab w:pos="977" w:val="left" w:leader="none"/>
        </w:tabs>
        <w:spacing w:line="240" w:lineRule="auto" w:before="121" w:after="0"/>
        <w:ind w:left="976" w:right="934" w:hanging="360"/>
        <w:jc w:val="both"/>
        <w:rPr>
          <w:sz w:val="24"/>
        </w:rPr>
      </w:pPr>
      <w:r>
        <w:rPr>
          <w:sz w:val="24"/>
        </w:rPr>
        <w:t>Smluvní strany se dohodly, že tento převod bude bezúplatný, tj. že za majetek předávaný podle této smlouvy přejímající neposkytne předávajícímu žádné peněžité plnění, nebo náhradu, a to v návaznosti na ustanovení § 16 odst. 1 vyhlášky Ministerstva financí č. 62/2001 Sb., o hospodaření organizačních složek státu a státních organizací s majetkem státu</w:t>
      </w:r>
    </w:p>
    <w:p>
      <w:pPr>
        <w:pStyle w:val="ListParagraph"/>
        <w:numPr>
          <w:ilvl w:val="0"/>
          <w:numId w:val="2"/>
        </w:numPr>
        <w:tabs>
          <w:tab w:pos="977" w:val="left" w:leader="none"/>
        </w:tabs>
        <w:spacing w:line="240" w:lineRule="auto" w:before="120" w:after="0"/>
        <w:ind w:left="976" w:right="932" w:hanging="360"/>
        <w:jc w:val="both"/>
        <w:rPr>
          <w:sz w:val="24"/>
        </w:rPr>
      </w:pPr>
      <w:r>
        <w:rPr>
          <w:sz w:val="24"/>
        </w:rPr>
        <w:t>Přejímající oslovil telefonickým dotazem ředitelku správy soudu s tím, že v případě vyřazování majetku státu (konkrétně stolních počítačů) v budoucnu, by měli o tento majetek zájem. Následně při vyřazování byla nabídka majetku státu zaslána přejímajícímu současně se zveřejněním na Extranetu MsP v termínu 5.9.2025-15.9.2025. Přejímající pak žádostí ze dne 15.9.2025 projevil o předávaný majetek</w:t>
      </w:r>
      <w:r>
        <w:rPr>
          <w:spacing w:val="-6"/>
          <w:sz w:val="24"/>
        </w:rPr>
        <w:t> </w:t>
      </w:r>
      <w:r>
        <w:rPr>
          <w:sz w:val="24"/>
        </w:rPr>
        <w:t>zájem.</w:t>
      </w:r>
    </w:p>
    <w:p>
      <w:pPr>
        <w:pStyle w:val="ListParagraph"/>
        <w:numPr>
          <w:ilvl w:val="0"/>
          <w:numId w:val="2"/>
        </w:numPr>
        <w:tabs>
          <w:tab w:pos="977" w:val="left" w:leader="none"/>
        </w:tabs>
        <w:spacing w:line="240" w:lineRule="auto" w:before="121" w:after="0"/>
        <w:ind w:left="976" w:right="0" w:hanging="361"/>
        <w:jc w:val="both"/>
        <w:rPr>
          <w:sz w:val="24"/>
        </w:rPr>
      </w:pPr>
      <w:r>
        <w:rPr>
          <w:sz w:val="24"/>
        </w:rPr>
        <w:t>Předávaný majetek bude přejímajícímu sloužit ve veřejném zájmu, a to k výuce</w:t>
      </w:r>
      <w:r>
        <w:rPr>
          <w:spacing w:val="-11"/>
          <w:sz w:val="24"/>
        </w:rPr>
        <w:t> </w:t>
      </w:r>
      <w:r>
        <w:rPr>
          <w:sz w:val="24"/>
        </w:rPr>
        <w:t>žáků.</w:t>
      </w:r>
    </w:p>
    <w:p>
      <w:pPr>
        <w:pStyle w:val="Heading1"/>
        <w:spacing w:before="119"/>
      </w:pPr>
      <w:r>
        <w:rPr/>
        <w:t>Čl. III</w:t>
      </w:r>
    </w:p>
    <w:p>
      <w:pPr>
        <w:pStyle w:val="ListParagraph"/>
        <w:numPr>
          <w:ilvl w:val="0"/>
          <w:numId w:val="3"/>
        </w:numPr>
        <w:tabs>
          <w:tab w:pos="977" w:val="left" w:leader="none"/>
        </w:tabs>
        <w:spacing w:line="240" w:lineRule="auto" w:before="121" w:after="0"/>
        <w:ind w:left="976" w:right="935" w:hanging="360"/>
        <w:jc w:val="both"/>
        <w:rPr>
          <w:sz w:val="24"/>
        </w:rPr>
      </w:pPr>
      <w:r>
        <w:rPr>
          <w:sz w:val="24"/>
        </w:rPr>
        <w:t>Předávající prohlašuje, že na předávaném majetku neváznou žádná omezení či právní povinnosti</w:t>
      </w:r>
      <w:r>
        <w:rPr>
          <w:spacing w:val="-6"/>
          <w:sz w:val="24"/>
        </w:rPr>
        <w:t> </w:t>
      </w:r>
      <w:r>
        <w:rPr>
          <w:sz w:val="24"/>
        </w:rPr>
        <w:t>jejichž</w:t>
      </w:r>
      <w:r>
        <w:rPr>
          <w:spacing w:val="-5"/>
          <w:sz w:val="24"/>
        </w:rPr>
        <w:t> </w:t>
      </w:r>
      <w:r>
        <w:rPr>
          <w:sz w:val="24"/>
        </w:rPr>
        <w:t>existence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mu</w:t>
      </w:r>
      <w:r>
        <w:rPr>
          <w:spacing w:val="-6"/>
          <w:sz w:val="24"/>
        </w:rPr>
        <w:t> </w:t>
      </w:r>
      <w:r>
        <w:rPr>
          <w:sz w:val="24"/>
        </w:rPr>
        <w:t>byla</w:t>
      </w:r>
      <w:r>
        <w:rPr>
          <w:spacing w:val="-5"/>
          <w:sz w:val="24"/>
        </w:rPr>
        <w:t> </w:t>
      </w:r>
      <w:r>
        <w:rPr>
          <w:sz w:val="24"/>
        </w:rPr>
        <w:t>známa.</w:t>
      </w:r>
      <w:r>
        <w:rPr>
          <w:spacing w:val="-4"/>
          <w:sz w:val="24"/>
        </w:rPr>
        <w:t> </w:t>
      </w:r>
      <w:r>
        <w:rPr>
          <w:sz w:val="24"/>
        </w:rPr>
        <w:t>Předávaný</w:t>
      </w:r>
      <w:r>
        <w:rPr>
          <w:spacing w:val="-5"/>
          <w:sz w:val="24"/>
        </w:rPr>
        <w:t> </w:t>
      </w:r>
      <w:r>
        <w:rPr>
          <w:sz w:val="24"/>
        </w:rPr>
        <w:t>majetek</w:t>
      </w:r>
      <w:r>
        <w:rPr>
          <w:spacing w:val="-5"/>
          <w:sz w:val="24"/>
        </w:rPr>
        <w:t> </w:t>
      </w:r>
      <w:r>
        <w:rPr>
          <w:sz w:val="24"/>
        </w:rPr>
        <w:t>je</w:t>
      </w:r>
      <w:r>
        <w:rPr>
          <w:spacing w:val="-5"/>
          <w:sz w:val="24"/>
        </w:rPr>
        <w:t> </w:t>
      </w:r>
      <w:r>
        <w:rPr>
          <w:sz w:val="24"/>
        </w:rPr>
        <w:t>ve</w:t>
      </w:r>
      <w:r>
        <w:rPr>
          <w:spacing w:val="-7"/>
          <w:sz w:val="24"/>
        </w:rPr>
        <w:t> </w:t>
      </w:r>
      <w:r>
        <w:rPr>
          <w:sz w:val="24"/>
        </w:rPr>
        <w:t>stavu,</w:t>
      </w:r>
      <w:r>
        <w:rPr>
          <w:spacing w:val="-6"/>
          <w:sz w:val="24"/>
        </w:rPr>
        <w:t> </w:t>
      </w:r>
      <w:r>
        <w:rPr>
          <w:sz w:val="24"/>
        </w:rPr>
        <w:t>takový,</w:t>
      </w:r>
      <w:r>
        <w:rPr>
          <w:spacing w:val="-5"/>
          <w:sz w:val="24"/>
        </w:rPr>
        <w:t> </w:t>
      </w:r>
      <w:r>
        <w:rPr>
          <w:sz w:val="24"/>
        </w:rPr>
        <w:t>jaký je.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08" w:footer="0" w:top="1180" w:bottom="280" w:left="1160" w:right="480"/>
        </w:sectPr>
      </w:pPr>
    </w:p>
    <w:p>
      <w:pPr>
        <w:pStyle w:val="ListParagraph"/>
        <w:numPr>
          <w:ilvl w:val="0"/>
          <w:numId w:val="3"/>
        </w:numPr>
        <w:tabs>
          <w:tab w:pos="977" w:val="left" w:leader="none"/>
        </w:tabs>
        <w:spacing w:line="240" w:lineRule="auto" w:before="90" w:after="0"/>
        <w:ind w:left="976" w:right="940" w:hanging="360"/>
        <w:jc w:val="left"/>
        <w:rPr>
          <w:sz w:val="24"/>
        </w:rPr>
      </w:pPr>
      <w:r>
        <w:rPr>
          <w:sz w:val="24"/>
        </w:rPr>
        <w:t>Přejímající prohlašuje, že je mu stav předávaného majetku znám, a že jej ve stavu, v jakém se nachází,</w:t>
      </w:r>
      <w:r>
        <w:rPr>
          <w:spacing w:val="-1"/>
          <w:sz w:val="24"/>
        </w:rPr>
        <w:t> </w:t>
      </w:r>
      <w:r>
        <w:rPr>
          <w:sz w:val="24"/>
        </w:rPr>
        <w:t>přijímá.</w:t>
      </w:r>
    </w:p>
    <w:p>
      <w:pPr>
        <w:pStyle w:val="ListParagraph"/>
        <w:numPr>
          <w:ilvl w:val="0"/>
          <w:numId w:val="3"/>
        </w:numPr>
        <w:tabs>
          <w:tab w:pos="977" w:val="left" w:leader="none"/>
        </w:tabs>
        <w:spacing w:line="240" w:lineRule="auto" w:before="120" w:after="0"/>
        <w:ind w:left="976" w:right="0" w:hanging="361"/>
        <w:jc w:val="left"/>
        <w:rPr>
          <w:sz w:val="24"/>
        </w:rPr>
      </w:pPr>
      <w:r>
        <w:rPr>
          <w:sz w:val="24"/>
        </w:rPr>
        <w:t>Přejímající převezme předávaný majetek v místě sídla předávajícího v Lounech, a</w:t>
      </w:r>
      <w:r>
        <w:rPr>
          <w:spacing w:val="46"/>
          <w:sz w:val="24"/>
        </w:rPr>
        <w:t> </w:t>
      </w:r>
      <w:r>
        <w:rPr>
          <w:sz w:val="24"/>
        </w:rPr>
        <w:t>to</w:t>
      </w:r>
    </w:p>
    <w:p>
      <w:pPr>
        <w:pStyle w:val="BodyText"/>
        <w:spacing w:before="1"/>
      </w:pPr>
      <w:r>
        <w:rPr/>
        <w:t>nejpozději do 1 měsíce od podpisu této smlouvy.</w:t>
      </w:r>
    </w:p>
    <w:p>
      <w:pPr>
        <w:pStyle w:val="ListParagraph"/>
        <w:numPr>
          <w:ilvl w:val="0"/>
          <w:numId w:val="3"/>
        </w:numPr>
        <w:tabs>
          <w:tab w:pos="977" w:val="left" w:leader="none"/>
        </w:tabs>
        <w:spacing w:line="240" w:lineRule="auto" w:before="119" w:after="0"/>
        <w:ind w:left="976" w:right="0" w:hanging="361"/>
        <w:jc w:val="left"/>
        <w:rPr>
          <w:sz w:val="24"/>
        </w:rPr>
      </w:pPr>
      <w:r>
        <w:rPr>
          <w:sz w:val="24"/>
        </w:rPr>
        <w:t>O převzetí majetku bude sepsán předávací</w:t>
      </w:r>
      <w:r>
        <w:rPr>
          <w:spacing w:val="-4"/>
          <w:sz w:val="24"/>
        </w:rPr>
        <w:t> </w:t>
      </w:r>
      <w:r>
        <w:rPr>
          <w:sz w:val="24"/>
        </w:rPr>
        <w:t>protokol.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ind w:right="1357"/>
      </w:pPr>
      <w:r>
        <w:rPr/>
        <w:t>Čl. IV</w:t>
      </w:r>
    </w:p>
    <w:p>
      <w:pPr>
        <w:pStyle w:val="ListParagraph"/>
        <w:numPr>
          <w:ilvl w:val="0"/>
          <w:numId w:val="4"/>
        </w:numPr>
        <w:tabs>
          <w:tab w:pos="977" w:val="left" w:leader="none"/>
        </w:tabs>
        <w:spacing w:line="240" w:lineRule="auto" w:before="121" w:after="0"/>
        <w:ind w:left="976" w:right="0" w:hanging="361"/>
        <w:jc w:val="both"/>
        <w:rPr>
          <w:sz w:val="24"/>
        </w:rPr>
      </w:pPr>
      <w:r>
        <w:rPr>
          <w:sz w:val="24"/>
        </w:rPr>
        <w:t>Tato smlouva je uzavřena a nabývá platnosti dnem podpisu poslední smluvní</w:t>
      </w:r>
      <w:r>
        <w:rPr>
          <w:spacing w:val="-13"/>
          <w:sz w:val="24"/>
        </w:rPr>
        <w:t> </w:t>
      </w:r>
      <w:r>
        <w:rPr>
          <w:sz w:val="24"/>
        </w:rPr>
        <w:t>stranou.</w:t>
      </w:r>
    </w:p>
    <w:p>
      <w:pPr>
        <w:pStyle w:val="ListParagraph"/>
        <w:numPr>
          <w:ilvl w:val="0"/>
          <w:numId w:val="4"/>
        </w:numPr>
        <w:tabs>
          <w:tab w:pos="977" w:val="left" w:leader="none"/>
        </w:tabs>
        <w:spacing w:line="240" w:lineRule="auto" w:before="119" w:after="0"/>
        <w:ind w:left="976" w:right="934" w:hanging="360"/>
        <w:jc w:val="both"/>
        <w:rPr>
          <w:sz w:val="24"/>
        </w:rPr>
      </w:pPr>
      <w:r>
        <w:rPr>
          <w:sz w:val="24"/>
        </w:rPr>
        <w:t>Tato smlouva nabývá účinnosti dnem jejího uveřejnění v registru smluv. Předávající zašle tuto</w:t>
      </w:r>
      <w:r>
        <w:rPr>
          <w:spacing w:val="-12"/>
          <w:sz w:val="24"/>
        </w:rPr>
        <w:t> </w:t>
      </w:r>
      <w:r>
        <w:rPr>
          <w:sz w:val="24"/>
        </w:rPr>
        <w:t>smlouvu</w:t>
      </w:r>
      <w:r>
        <w:rPr>
          <w:spacing w:val="-13"/>
          <w:sz w:val="24"/>
        </w:rPr>
        <w:t> </w:t>
      </w:r>
      <w:r>
        <w:rPr>
          <w:sz w:val="24"/>
        </w:rPr>
        <w:t>správci</w:t>
      </w:r>
      <w:r>
        <w:rPr>
          <w:spacing w:val="-12"/>
          <w:sz w:val="24"/>
        </w:rPr>
        <w:t> </w:t>
      </w:r>
      <w:r>
        <w:rPr>
          <w:sz w:val="24"/>
        </w:rPr>
        <w:t>registru</w:t>
      </w:r>
      <w:r>
        <w:rPr>
          <w:spacing w:val="-12"/>
          <w:sz w:val="24"/>
        </w:rPr>
        <w:t> </w:t>
      </w:r>
      <w:r>
        <w:rPr>
          <w:sz w:val="24"/>
        </w:rPr>
        <w:t>smluv</w:t>
      </w:r>
      <w:r>
        <w:rPr>
          <w:spacing w:val="-12"/>
          <w:sz w:val="24"/>
        </w:rPr>
        <w:t> </w:t>
      </w:r>
      <w:r>
        <w:rPr>
          <w:sz w:val="24"/>
        </w:rPr>
        <w:t>k</w:t>
      </w:r>
      <w:r>
        <w:rPr>
          <w:spacing w:val="-12"/>
          <w:sz w:val="24"/>
        </w:rPr>
        <w:t> </w:t>
      </w:r>
      <w:r>
        <w:rPr>
          <w:sz w:val="24"/>
        </w:rPr>
        <w:t>uveřejnění</w:t>
      </w:r>
      <w:r>
        <w:rPr>
          <w:spacing w:val="-11"/>
          <w:sz w:val="24"/>
        </w:rPr>
        <w:t> </w:t>
      </w:r>
      <w:r>
        <w:rPr>
          <w:sz w:val="24"/>
        </w:rPr>
        <w:t>bez</w:t>
      </w:r>
      <w:r>
        <w:rPr>
          <w:spacing w:val="-13"/>
          <w:sz w:val="24"/>
        </w:rPr>
        <w:t> </w:t>
      </w:r>
      <w:r>
        <w:rPr>
          <w:sz w:val="24"/>
        </w:rPr>
        <w:t>zbytečného</w:t>
      </w:r>
      <w:r>
        <w:rPr>
          <w:spacing w:val="-11"/>
          <w:sz w:val="24"/>
        </w:rPr>
        <w:t> </w:t>
      </w:r>
      <w:r>
        <w:rPr>
          <w:sz w:val="24"/>
        </w:rPr>
        <w:t>odkladu</w:t>
      </w:r>
      <w:r>
        <w:rPr>
          <w:spacing w:val="-12"/>
          <w:sz w:val="24"/>
        </w:rPr>
        <w:t> </w:t>
      </w:r>
      <w:r>
        <w:rPr>
          <w:sz w:val="24"/>
        </w:rPr>
        <w:t>po</w:t>
      </w:r>
      <w:r>
        <w:rPr>
          <w:spacing w:val="-12"/>
          <w:sz w:val="24"/>
        </w:rPr>
        <w:t> </w:t>
      </w:r>
      <w:r>
        <w:rPr>
          <w:sz w:val="24"/>
        </w:rPr>
        <w:t>jejím</w:t>
      </w:r>
      <w:r>
        <w:rPr>
          <w:spacing w:val="-12"/>
          <w:sz w:val="24"/>
        </w:rPr>
        <w:t> </w:t>
      </w:r>
      <w:r>
        <w:rPr>
          <w:sz w:val="24"/>
        </w:rPr>
        <w:t>podpisu oběma smluvnímu</w:t>
      </w:r>
      <w:r>
        <w:rPr>
          <w:spacing w:val="-3"/>
          <w:sz w:val="24"/>
        </w:rPr>
        <w:t> </w:t>
      </w:r>
      <w:r>
        <w:rPr>
          <w:sz w:val="24"/>
        </w:rPr>
        <w:t>stranami.</w:t>
      </w:r>
    </w:p>
    <w:p>
      <w:pPr>
        <w:pStyle w:val="ListParagraph"/>
        <w:numPr>
          <w:ilvl w:val="0"/>
          <w:numId w:val="4"/>
        </w:numPr>
        <w:tabs>
          <w:tab w:pos="977" w:val="left" w:leader="none"/>
        </w:tabs>
        <w:spacing w:line="240" w:lineRule="auto" w:before="121" w:after="0"/>
        <w:ind w:left="976" w:right="934" w:hanging="360"/>
        <w:jc w:val="both"/>
        <w:rPr>
          <w:sz w:val="24"/>
        </w:rPr>
      </w:pPr>
      <w:r>
        <w:rPr>
          <w:sz w:val="24"/>
        </w:rPr>
        <w:t>Tato smlouva je vyhotovena ve 2 stejnopisech s platností originálu, z nichž každá smluvní strana obdrží po 1</w:t>
      </w:r>
      <w:r>
        <w:rPr>
          <w:spacing w:val="-1"/>
          <w:sz w:val="24"/>
        </w:rPr>
        <w:t> </w:t>
      </w:r>
      <w:r>
        <w:rPr>
          <w:sz w:val="24"/>
        </w:rPr>
        <w:t>vyhotoveních.</w:t>
      </w:r>
    </w:p>
    <w:p>
      <w:pPr>
        <w:pStyle w:val="ListParagraph"/>
        <w:numPr>
          <w:ilvl w:val="0"/>
          <w:numId w:val="4"/>
        </w:numPr>
        <w:tabs>
          <w:tab w:pos="977" w:val="left" w:leader="none"/>
        </w:tabs>
        <w:spacing w:line="240" w:lineRule="auto" w:before="120" w:after="0"/>
        <w:ind w:left="976" w:right="937" w:hanging="360"/>
        <w:jc w:val="both"/>
        <w:rPr>
          <w:sz w:val="24"/>
        </w:rPr>
      </w:pPr>
      <w:r>
        <w:rPr>
          <w:sz w:val="24"/>
        </w:rPr>
        <w:t>Tuto</w:t>
      </w:r>
      <w:r>
        <w:rPr>
          <w:spacing w:val="-8"/>
          <w:sz w:val="24"/>
        </w:rPr>
        <w:t> </w:t>
      </w:r>
      <w:r>
        <w:rPr>
          <w:sz w:val="24"/>
        </w:rPr>
        <w:t>smlouvu</w:t>
      </w:r>
      <w:r>
        <w:rPr>
          <w:spacing w:val="-7"/>
          <w:sz w:val="24"/>
        </w:rPr>
        <w:t> </w:t>
      </w:r>
      <w:r>
        <w:rPr>
          <w:sz w:val="24"/>
        </w:rPr>
        <w:t>lze</w:t>
      </w:r>
      <w:r>
        <w:rPr>
          <w:spacing w:val="-5"/>
          <w:sz w:val="24"/>
        </w:rPr>
        <w:t> </w:t>
      </w:r>
      <w:r>
        <w:rPr>
          <w:sz w:val="24"/>
        </w:rPr>
        <w:t>měnit</w:t>
      </w:r>
      <w:r>
        <w:rPr>
          <w:spacing w:val="-8"/>
          <w:sz w:val="24"/>
        </w:rPr>
        <w:t> </w:t>
      </w:r>
      <w:r>
        <w:rPr>
          <w:sz w:val="24"/>
        </w:rPr>
        <w:t>či</w:t>
      </w:r>
      <w:r>
        <w:rPr>
          <w:spacing w:val="-8"/>
          <w:sz w:val="24"/>
        </w:rPr>
        <w:t> </w:t>
      </w:r>
      <w:r>
        <w:rPr>
          <w:sz w:val="24"/>
        </w:rPr>
        <w:t>doplňovat</w:t>
      </w:r>
      <w:r>
        <w:rPr>
          <w:spacing w:val="-8"/>
          <w:sz w:val="24"/>
        </w:rPr>
        <w:t> </w:t>
      </w:r>
      <w:r>
        <w:rPr>
          <w:sz w:val="24"/>
        </w:rPr>
        <w:t>pouze</w:t>
      </w:r>
      <w:r>
        <w:rPr>
          <w:spacing w:val="-6"/>
          <w:sz w:val="24"/>
        </w:rPr>
        <w:t> </w:t>
      </w:r>
      <w:r>
        <w:rPr>
          <w:sz w:val="24"/>
        </w:rPr>
        <w:t>formou</w:t>
      </w:r>
      <w:r>
        <w:rPr>
          <w:spacing w:val="-4"/>
          <w:sz w:val="24"/>
        </w:rPr>
        <w:t> </w:t>
      </w:r>
      <w:r>
        <w:rPr>
          <w:sz w:val="24"/>
        </w:rPr>
        <w:t>oboustranně</w:t>
      </w:r>
      <w:r>
        <w:rPr>
          <w:spacing w:val="-7"/>
          <w:sz w:val="24"/>
        </w:rPr>
        <w:t> </w:t>
      </w:r>
      <w:r>
        <w:rPr>
          <w:sz w:val="24"/>
        </w:rPr>
        <w:t>podepsaných</w:t>
      </w:r>
      <w:r>
        <w:rPr>
          <w:spacing w:val="-9"/>
          <w:sz w:val="24"/>
        </w:rPr>
        <w:t> </w:t>
      </w:r>
      <w:r>
        <w:rPr>
          <w:sz w:val="24"/>
        </w:rPr>
        <w:t>písemných dodatků.</w:t>
      </w:r>
    </w:p>
    <w:p>
      <w:pPr>
        <w:pStyle w:val="ListParagraph"/>
        <w:numPr>
          <w:ilvl w:val="0"/>
          <w:numId w:val="4"/>
        </w:numPr>
        <w:tabs>
          <w:tab w:pos="977" w:val="left" w:leader="none"/>
        </w:tabs>
        <w:spacing w:line="240" w:lineRule="auto" w:before="120" w:after="0"/>
        <w:ind w:left="976" w:right="933" w:hanging="360"/>
        <w:jc w:val="both"/>
        <w:rPr>
          <w:sz w:val="24"/>
        </w:rPr>
      </w:pPr>
      <w:r>
        <w:rPr>
          <w:sz w:val="24"/>
        </w:rPr>
        <w:t>Tato</w:t>
      </w:r>
      <w:r>
        <w:rPr>
          <w:spacing w:val="-10"/>
          <w:sz w:val="24"/>
        </w:rPr>
        <w:t> </w:t>
      </w:r>
      <w:r>
        <w:rPr>
          <w:sz w:val="24"/>
        </w:rPr>
        <w:t>smlouva</w:t>
      </w:r>
      <w:r>
        <w:rPr>
          <w:spacing w:val="-8"/>
          <w:sz w:val="24"/>
        </w:rPr>
        <w:t> </w:t>
      </w:r>
      <w:r>
        <w:rPr>
          <w:sz w:val="24"/>
        </w:rPr>
        <w:t>nevyžaduje,</w:t>
      </w:r>
      <w:r>
        <w:rPr>
          <w:spacing w:val="-11"/>
          <w:sz w:val="24"/>
        </w:rPr>
        <w:t> </w:t>
      </w:r>
      <w:r>
        <w:rPr>
          <w:sz w:val="24"/>
        </w:rPr>
        <w:t>v</w:t>
      </w:r>
      <w:r>
        <w:rPr>
          <w:spacing w:val="-8"/>
          <w:sz w:val="24"/>
        </w:rPr>
        <w:t> </w:t>
      </w:r>
      <w:r>
        <w:rPr>
          <w:sz w:val="24"/>
        </w:rPr>
        <w:t>souladu</w:t>
      </w:r>
      <w:r>
        <w:rPr>
          <w:spacing w:val="-9"/>
          <w:sz w:val="24"/>
        </w:rPr>
        <w:t> </w:t>
      </w:r>
      <w:r>
        <w:rPr>
          <w:sz w:val="24"/>
        </w:rPr>
        <w:t>s</w:t>
      </w:r>
      <w:r>
        <w:rPr>
          <w:spacing w:val="-8"/>
          <w:sz w:val="24"/>
        </w:rPr>
        <w:t> </w:t>
      </w:r>
      <w:r>
        <w:rPr>
          <w:sz w:val="24"/>
        </w:rPr>
        <w:t>§</w:t>
      </w:r>
      <w:r>
        <w:rPr>
          <w:spacing w:val="-8"/>
          <w:sz w:val="24"/>
        </w:rPr>
        <w:t> </w:t>
      </w:r>
      <w:r>
        <w:rPr>
          <w:sz w:val="24"/>
        </w:rPr>
        <w:t>17</w:t>
      </w:r>
      <w:r>
        <w:rPr>
          <w:spacing w:val="-8"/>
          <w:sz w:val="24"/>
        </w:rPr>
        <w:t> </w:t>
      </w:r>
      <w:r>
        <w:rPr>
          <w:sz w:val="24"/>
        </w:rPr>
        <w:t>odst.</w:t>
      </w:r>
      <w:r>
        <w:rPr>
          <w:spacing w:val="-9"/>
          <w:sz w:val="24"/>
        </w:rPr>
        <w:t> </w:t>
      </w:r>
      <w:r>
        <w:rPr>
          <w:sz w:val="24"/>
        </w:rPr>
        <w:t>4</w:t>
      </w:r>
      <w:r>
        <w:rPr>
          <w:spacing w:val="-8"/>
          <w:sz w:val="24"/>
        </w:rPr>
        <w:t> </w:t>
      </w:r>
      <w:r>
        <w:rPr>
          <w:sz w:val="24"/>
        </w:rPr>
        <w:t>vyhlášky</w:t>
      </w:r>
      <w:r>
        <w:rPr>
          <w:spacing w:val="-8"/>
          <w:sz w:val="24"/>
        </w:rPr>
        <w:t> </w:t>
      </w:r>
      <w:r>
        <w:rPr>
          <w:sz w:val="24"/>
        </w:rPr>
        <w:t>Ministerstva</w:t>
      </w:r>
      <w:r>
        <w:rPr>
          <w:spacing w:val="-8"/>
          <w:sz w:val="24"/>
        </w:rPr>
        <w:t> </w:t>
      </w:r>
      <w:r>
        <w:rPr>
          <w:sz w:val="24"/>
        </w:rPr>
        <w:t>financí</w:t>
      </w:r>
      <w:r>
        <w:rPr>
          <w:spacing w:val="-6"/>
          <w:sz w:val="24"/>
        </w:rPr>
        <w:t> </w:t>
      </w:r>
      <w:r>
        <w:rPr>
          <w:sz w:val="24"/>
        </w:rPr>
        <w:t>č.</w:t>
      </w:r>
      <w:r>
        <w:rPr>
          <w:spacing w:val="-8"/>
          <w:sz w:val="24"/>
        </w:rPr>
        <w:t> </w:t>
      </w:r>
      <w:r>
        <w:rPr>
          <w:sz w:val="24"/>
        </w:rPr>
        <w:t>62/2001 Sb., o hospodaření organizačních složek státu a státních organizací s majetkem státu, schválení ze strany Ministerstva</w:t>
      </w:r>
      <w:r>
        <w:rPr>
          <w:spacing w:val="-3"/>
          <w:sz w:val="24"/>
        </w:rPr>
        <w:t> </w:t>
      </w:r>
      <w:r>
        <w:rPr>
          <w:sz w:val="24"/>
        </w:rPr>
        <w:t>financí.</w:t>
      </w:r>
    </w:p>
    <w:p>
      <w:pPr>
        <w:pStyle w:val="ListParagraph"/>
        <w:numPr>
          <w:ilvl w:val="0"/>
          <w:numId w:val="4"/>
        </w:numPr>
        <w:tabs>
          <w:tab w:pos="977" w:val="left" w:leader="none"/>
        </w:tabs>
        <w:spacing w:line="240" w:lineRule="auto" w:before="119" w:after="0"/>
        <w:ind w:left="976" w:right="937" w:hanging="360"/>
        <w:jc w:val="both"/>
        <w:rPr>
          <w:sz w:val="24"/>
        </w:rPr>
      </w:pPr>
      <w:r>
        <w:rPr>
          <w:sz w:val="24"/>
        </w:rPr>
        <w:t>Smluvní strany prohlašují, že tuto smlouvu uzavřely svobodně a vážně. Na důkaz toho připojují své</w:t>
      </w:r>
      <w:r>
        <w:rPr>
          <w:spacing w:val="-2"/>
          <w:sz w:val="24"/>
        </w:rPr>
        <w:t> </w:t>
      </w:r>
      <w:r>
        <w:rPr>
          <w:sz w:val="24"/>
        </w:rPr>
        <w:t>podpisy.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5212" w:val="left" w:leader="none"/>
        </w:tabs>
        <w:spacing w:before="219"/>
        <w:ind w:left="256"/>
      </w:pPr>
      <w:r>
        <w:rPr/>
        <w:t>V</w:t>
      </w:r>
      <w:r>
        <w:rPr>
          <w:spacing w:val="-1"/>
        </w:rPr>
        <w:t> </w:t>
      </w:r>
      <w:r>
        <w:rPr/>
        <w:t>Lounech</w:t>
      </w:r>
      <w:r>
        <w:rPr>
          <w:spacing w:val="-1"/>
        </w:rPr>
        <w:t> </w:t>
      </w:r>
      <w:r>
        <w:rPr/>
        <w:t>dne</w:t>
        <w:tab/>
        <w:t>V Mostě dne</w:t>
      </w:r>
    </w:p>
    <w:p>
      <w:pPr>
        <w:pStyle w:val="BodyText"/>
        <w:spacing w:before="6"/>
        <w:ind w:left="0"/>
        <w:rPr>
          <w:sz w:val="23"/>
        </w:rPr>
      </w:pPr>
      <w:r>
        <w:rPr/>
        <w:pict>
          <v:rect style="position:absolute;margin-left:73.080498pt;margin-top:15.198097pt;width:433.4089pt;height:98.8477pt;mso-position-horizontal-relative:page;mso-position-vertical-relative:paragraph;z-index:-2516582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12" w:val="left" w:leader="none"/>
        </w:tabs>
        <w:spacing w:before="29"/>
        <w:ind w:left="256" w:right="2305"/>
      </w:pPr>
      <w:r>
        <w:rPr/>
        <w:t>Mgr. Ing.</w:t>
      </w:r>
      <w:r>
        <w:rPr>
          <w:spacing w:val="-4"/>
        </w:rPr>
        <w:t> </w:t>
      </w:r>
      <w:r>
        <w:rPr/>
        <w:t>Jan</w:t>
      </w:r>
      <w:r>
        <w:rPr>
          <w:spacing w:val="-3"/>
        </w:rPr>
        <w:t> </w:t>
      </w:r>
      <w:r>
        <w:rPr/>
        <w:t>Jouza</w:t>
        <w:tab/>
        <w:t>Mgr. Jana Kropáčková předseda Okresního soudu</w:t>
      </w:r>
      <w:r>
        <w:rPr>
          <w:spacing w:val="-8"/>
        </w:rPr>
        <w:t> </w:t>
      </w:r>
      <w:r>
        <w:rPr/>
        <w:t>v</w:t>
      </w:r>
      <w:r>
        <w:rPr>
          <w:spacing w:val="-2"/>
        </w:rPr>
        <w:t> </w:t>
      </w:r>
      <w:r>
        <w:rPr/>
        <w:t>Lounech</w:t>
        <w:tab/>
        <w:t>ředitelka Základní školy</w:t>
      </w:r>
      <w:r>
        <w:rPr>
          <w:spacing w:val="-8"/>
        </w:rPr>
        <w:t> </w:t>
      </w:r>
      <w:r>
        <w:rPr/>
        <w:t>Most</w:t>
      </w:r>
    </w:p>
    <w:sectPr>
      <w:pgSz w:w="11910" w:h="16840"/>
      <w:pgMar w:header="708" w:footer="0" w:top="1180" w:bottom="280" w:left="116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Garamond">
    <w:altName w:val="Garamond"/>
    <w:charset w:val="EE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4.98999pt;margin-top:34.378185pt;width:80.650pt;height:15.5pt;mso-position-horizontal-relative:page;mso-position-vertical-relative:page;z-index:-25252761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50 Spr 229/2025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976" w:hanging="360"/>
        <w:jc w:val="left"/>
      </w:pPr>
      <w:rPr>
        <w:rFonts w:hint="default" w:ascii="Garamond" w:hAnsi="Garamond" w:eastAsia="Garamond" w:cs="Garamond"/>
        <w:spacing w:val="-3"/>
        <w:w w:val="100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837" w:hanging="360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765" w:hanging="360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694" w:hanging="360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623" w:hanging="360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551" w:hanging="360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480" w:hanging="360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409" w:hanging="360"/>
      </w:pPr>
      <w:rPr>
        <w:rFonts w:hint="default"/>
        <w:lang w:val="cs-CZ" w:eastAsia="cs-CZ" w:bidi="cs-CZ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76" w:hanging="360"/>
        <w:jc w:val="left"/>
      </w:pPr>
      <w:rPr>
        <w:rFonts w:hint="default" w:ascii="Garamond" w:hAnsi="Garamond" w:eastAsia="Garamond" w:cs="Garamond"/>
        <w:spacing w:val="-17"/>
        <w:w w:val="100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837" w:hanging="360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765" w:hanging="360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694" w:hanging="360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623" w:hanging="360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551" w:hanging="360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480" w:hanging="360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409" w:hanging="360"/>
      </w:pPr>
      <w:rPr>
        <w:rFonts w:hint="default"/>
        <w:lang w:val="cs-CZ" w:eastAsia="cs-CZ" w:bidi="cs-CZ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76" w:hanging="360"/>
        <w:jc w:val="left"/>
      </w:pPr>
      <w:rPr>
        <w:rFonts w:hint="default" w:ascii="Garamond" w:hAnsi="Garamond" w:eastAsia="Garamond" w:cs="Garamond"/>
        <w:spacing w:val="-3"/>
        <w:w w:val="100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837" w:hanging="360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765" w:hanging="360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694" w:hanging="360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623" w:hanging="360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551" w:hanging="360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480" w:hanging="360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409" w:hanging="360"/>
      </w:pPr>
      <w:rPr>
        <w:rFonts w:hint="default"/>
        <w:lang w:val="cs-CZ" w:eastAsia="cs-CZ" w:bidi="cs-CZ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76" w:hanging="360"/>
        <w:jc w:val="left"/>
      </w:pPr>
      <w:rPr>
        <w:rFonts w:hint="default" w:ascii="Garamond" w:hAnsi="Garamond" w:eastAsia="Garamond" w:cs="Garamond"/>
        <w:spacing w:val="-3"/>
        <w:w w:val="100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837" w:hanging="360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765" w:hanging="360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694" w:hanging="360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623" w:hanging="360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551" w:hanging="360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480" w:hanging="360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409" w:hanging="360"/>
      </w:pPr>
      <w:rPr>
        <w:rFonts w:hint="default"/>
        <w:lang w:val="cs-CZ" w:eastAsia="cs-CZ" w:bidi="cs-CZ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cs-CZ" w:eastAsia="cs-CZ" w:bidi="cs-CZ"/>
    </w:rPr>
  </w:style>
  <w:style w:styleId="BodyText" w:type="paragraph">
    <w:name w:val="Body Text"/>
    <w:basedOn w:val="Normal"/>
    <w:uiPriority w:val="1"/>
    <w:qFormat/>
    <w:pPr>
      <w:ind w:left="976"/>
    </w:pPr>
    <w:rPr>
      <w:rFonts w:ascii="Garamond" w:hAnsi="Garamond" w:eastAsia="Garamond" w:cs="Garamond"/>
      <w:sz w:val="24"/>
      <w:szCs w:val="24"/>
      <w:lang w:val="cs-CZ" w:eastAsia="cs-CZ" w:bidi="cs-CZ"/>
    </w:rPr>
  </w:style>
  <w:style w:styleId="Heading1" w:type="paragraph">
    <w:name w:val="Heading 1"/>
    <w:basedOn w:val="Normal"/>
    <w:uiPriority w:val="1"/>
    <w:qFormat/>
    <w:pPr>
      <w:spacing w:before="218"/>
      <w:ind w:left="678" w:right="1355"/>
      <w:jc w:val="center"/>
      <w:outlineLvl w:val="1"/>
    </w:pPr>
    <w:rPr>
      <w:rFonts w:ascii="Garamond" w:hAnsi="Garamond" w:eastAsia="Garamond" w:cs="Garamond"/>
      <w:b/>
      <w:bCs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spacing w:before="119"/>
      <w:ind w:left="976" w:hanging="360"/>
      <w:jc w:val="both"/>
    </w:pPr>
    <w:rPr>
      <w:rFonts w:ascii="Garamond" w:hAnsi="Garamond" w:eastAsia="Garamond" w:cs="Garamond"/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spacing w:before="118" w:line="183" w:lineRule="exact"/>
    </w:pPr>
    <w:rPr>
      <w:rFonts w:ascii="Garamond" w:hAnsi="Garamond" w:eastAsia="Garamond" w:cs="Garamond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mambrozova</dc:creator>
  <dcterms:created xsi:type="dcterms:W3CDTF">2025-09-17T10:58:41Z</dcterms:created>
  <dcterms:modified xsi:type="dcterms:W3CDTF">2025-09-17T10:58:41Z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2025-09-17T00:00:00Z</vt:filetime>
  </property>
</Properties>
</file>