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ollkorn" w:cs="Vollkorn" w:eastAsia="Vollkorn" w:hAnsi="Vollkorn"/>
          <w:b w:val="1"/>
          <w:sz w:val="22"/>
          <w:szCs w:val="22"/>
        </w:rPr>
      </w:pPr>
      <w:r w:rsidDel="00000000" w:rsidR="00000000" w:rsidRPr="00000000">
        <w:rPr>
          <w:rFonts w:ascii="Vollkorn" w:cs="Vollkorn" w:eastAsia="Vollkorn" w:hAnsi="Vollkorn"/>
          <w:b w:val="1"/>
          <w:sz w:val="22"/>
          <w:szCs w:val="22"/>
          <w:rtl w:val="0"/>
        </w:rPr>
        <w:t xml:space="preserve">SMLOUVA O POSKYTOVÁNÍ PRÁVNÍCH SLUŽEB</w:t>
      </w:r>
    </w:p>
    <w:p w:rsidR="00000000" w:rsidDel="00000000" w:rsidP="00000000" w:rsidRDefault="00000000" w:rsidRPr="00000000" w14:paraId="00000002">
      <w:pPr>
        <w:rPr>
          <w:rFonts w:ascii="Vollkorn" w:cs="Vollkorn" w:eastAsia="Vollkorn" w:hAnsi="Vollkor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Vollkorn" w:cs="Vollkorn" w:eastAsia="Vollkorn" w:hAnsi="Vollkorn"/>
          <w:sz w:val="22"/>
          <w:szCs w:val="22"/>
        </w:rPr>
      </w:pPr>
      <w:r w:rsidDel="00000000" w:rsidR="00000000" w:rsidRPr="00000000">
        <w:rPr>
          <w:rFonts w:ascii="Vollkorn" w:cs="Vollkorn" w:eastAsia="Vollkorn" w:hAnsi="Vollkorn"/>
          <w:sz w:val="22"/>
          <w:szCs w:val="22"/>
          <w:rtl w:val="0"/>
        </w:rPr>
        <w:t xml:space="preserve">Tato smlouva o poskytování právních služeb (dále jen „</w:t>
      </w:r>
      <w:r w:rsidDel="00000000" w:rsidR="00000000" w:rsidRPr="00000000">
        <w:rPr>
          <w:rFonts w:ascii="Vollkorn" w:cs="Vollkorn" w:eastAsia="Vollkorn" w:hAnsi="Vollkorn"/>
          <w:b w:val="1"/>
          <w:sz w:val="22"/>
          <w:szCs w:val="22"/>
          <w:rtl w:val="0"/>
        </w:rPr>
        <w:t xml:space="preserve">Smlouva</w:t>
      </w:r>
      <w:r w:rsidDel="00000000" w:rsidR="00000000" w:rsidRPr="00000000">
        <w:rPr>
          <w:rFonts w:ascii="Vollkorn" w:cs="Vollkorn" w:eastAsia="Vollkorn" w:hAnsi="Vollkorn"/>
          <w:sz w:val="22"/>
          <w:szCs w:val="22"/>
          <w:rtl w:val="0"/>
        </w:rPr>
        <w:t xml:space="preserve">“) byla uzavřena v souladu s ustanoveními zákona č. 85/1996 Sb., o advokacii, níže uvedeného dne, měsíce a roku mezi následujícími smluvními stranami (dále jen „</w:t>
      </w:r>
      <w:r w:rsidDel="00000000" w:rsidR="00000000" w:rsidRPr="00000000">
        <w:rPr>
          <w:rFonts w:ascii="Vollkorn" w:cs="Vollkorn" w:eastAsia="Vollkorn" w:hAnsi="Vollkorn"/>
          <w:b w:val="1"/>
          <w:sz w:val="22"/>
          <w:szCs w:val="22"/>
          <w:rtl w:val="0"/>
        </w:rPr>
        <w:t xml:space="preserve">Smlouva</w:t>
      </w:r>
      <w:r w:rsidDel="00000000" w:rsidR="00000000" w:rsidRPr="00000000">
        <w:rPr>
          <w:rFonts w:ascii="Vollkorn" w:cs="Vollkorn" w:eastAsia="Vollkorn" w:hAnsi="Vollkorn"/>
          <w:sz w:val="22"/>
          <w:szCs w:val="22"/>
          <w:rtl w:val="0"/>
        </w:rPr>
        <w:t xml:space="preserve">“):</w:t>
      </w:r>
    </w:p>
    <w:p w:rsidR="00000000" w:rsidDel="00000000" w:rsidP="00000000" w:rsidRDefault="00000000" w:rsidRPr="00000000" w14:paraId="00000004">
      <w:pPr>
        <w:rPr>
          <w:rFonts w:ascii="Vollkorn" w:cs="Vollkorn" w:eastAsia="Vollkorn" w:hAnsi="Vollkor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Vollkorn" w:cs="Vollkorn" w:eastAsia="Vollkorn" w:hAnsi="Vollkor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Gymnázium, Praha 5, Na Zatlance 11</w:t>
      </w:r>
    </w:p>
    <w:p w:rsidR="00000000" w:rsidDel="00000000" w:rsidP="00000000" w:rsidRDefault="00000000" w:rsidRPr="00000000" w14:paraId="00000006">
      <w:pPr>
        <w:ind w:left="567" w:firstLine="0"/>
        <w:rPr>
          <w:rFonts w:ascii="Vollkorn" w:cs="Vollkorn" w:eastAsia="Vollkorn" w:hAnsi="Vollkorn"/>
          <w:sz w:val="22"/>
          <w:szCs w:val="22"/>
        </w:rPr>
      </w:pPr>
      <w:r w:rsidDel="00000000" w:rsidR="00000000" w:rsidRPr="00000000">
        <w:rPr>
          <w:rFonts w:ascii="Vollkorn" w:cs="Vollkorn" w:eastAsia="Vollkorn" w:hAnsi="Vollkorn"/>
          <w:sz w:val="22"/>
          <w:szCs w:val="22"/>
          <w:rtl w:val="0"/>
        </w:rPr>
        <w:t xml:space="preserve">IČO:</w:t>
        <w:tab/>
        <w:tab/>
        <w:t xml:space="preserve">61385271</w:t>
      </w:r>
    </w:p>
    <w:p w:rsidR="00000000" w:rsidDel="00000000" w:rsidP="00000000" w:rsidRDefault="00000000" w:rsidRPr="00000000" w14:paraId="00000007">
      <w:pPr>
        <w:ind w:left="567" w:firstLine="0"/>
        <w:rPr>
          <w:rFonts w:ascii="Vollkorn" w:cs="Vollkorn" w:eastAsia="Vollkorn" w:hAnsi="Vollkorn"/>
          <w:sz w:val="22"/>
          <w:szCs w:val="22"/>
        </w:rPr>
      </w:pPr>
      <w:r w:rsidDel="00000000" w:rsidR="00000000" w:rsidRPr="00000000">
        <w:rPr>
          <w:rFonts w:ascii="Vollkorn" w:cs="Vollkorn" w:eastAsia="Vollkorn" w:hAnsi="Vollkorn"/>
          <w:sz w:val="22"/>
          <w:szCs w:val="22"/>
          <w:rtl w:val="0"/>
        </w:rPr>
        <w:t xml:space="preserve">DIČ:</w:t>
        <w:tab/>
        <w:tab/>
        <w:t xml:space="preserve">CZ61385271</w:t>
      </w:r>
    </w:p>
    <w:p w:rsidR="00000000" w:rsidDel="00000000" w:rsidP="00000000" w:rsidRDefault="00000000" w:rsidRPr="00000000" w14:paraId="00000008">
      <w:pPr>
        <w:ind w:left="567" w:firstLine="0"/>
        <w:rPr>
          <w:rFonts w:ascii="Vollkorn" w:cs="Vollkorn" w:eastAsia="Vollkorn" w:hAnsi="Vollkorn"/>
          <w:sz w:val="22"/>
          <w:szCs w:val="22"/>
        </w:rPr>
      </w:pPr>
      <w:r w:rsidDel="00000000" w:rsidR="00000000" w:rsidRPr="00000000">
        <w:rPr>
          <w:rFonts w:ascii="Vollkorn" w:cs="Vollkorn" w:eastAsia="Vollkorn" w:hAnsi="Vollkorn"/>
          <w:sz w:val="22"/>
          <w:szCs w:val="22"/>
          <w:rtl w:val="0"/>
        </w:rPr>
        <w:t xml:space="preserve">se sídlem:</w:t>
        <w:tab/>
        <w:t xml:space="preserve">Na Zatlance 1330/11, 150 00 Praha 5</w:t>
      </w:r>
    </w:p>
    <w:p w:rsidR="00000000" w:rsidDel="00000000" w:rsidP="00000000" w:rsidRDefault="00000000" w:rsidRPr="00000000" w14:paraId="00000009">
      <w:pPr>
        <w:ind w:left="567" w:firstLine="0"/>
        <w:rPr>
          <w:rFonts w:ascii="Vollkorn" w:cs="Vollkorn" w:eastAsia="Vollkorn" w:hAnsi="Vollkor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567" w:firstLine="0"/>
        <w:rPr>
          <w:rFonts w:ascii="Vollkorn" w:cs="Vollkorn" w:eastAsia="Vollkorn" w:hAnsi="Vollkorn"/>
          <w:sz w:val="22"/>
          <w:szCs w:val="22"/>
        </w:rPr>
      </w:pPr>
      <w:r w:rsidDel="00000000" w:rsidR="00000000" w:rsidRPr="00000000">
        <w:rPr>
          <w:rFonts w:ascii="Vollkorn" w:cs="Vollkorn" w:eastAsia="Vollkorn" w:hAnsi="Vollkorn"/>
          <w:sz w:val="22"/>
          <w:szCs w:val="22"/>
          <w:rtl w:val="0"/>
        </w:rPr>
        <w:t xml:space="preserve">(dále jen „</w:t>
      </w:r>
      <w:r w:rsidDel="00000000" w:rsidR="00000000" w:rsidRPr="00000000">
        <w:rPr>
          <w:rFonts w:ascii="Vollkorn" w:cs="Vollkorn" w:eastAsia="Vollkorn" w:hAnsi="Vollkorn"/>
          <w:b w:val="1"/>
          <w:sz w:val="22"/>
          <w:szCs w:val="22"/>
          <w:rtl w:val="0"/>
        </w:rPr>
        <w:t xml:space="preserve">Klient</w:t>
      </w:r>
      <w:r w:rsidDel="00000000" w:rsidR="00000000" w:rsidRPr="00000000">
        <w:rPr>
          <w:rFonts w:ascii="Vollkorn" w:cs="Vollkorn" w:eastAsia="Vollkorn" w:hAnsi="Vollkorn"/>
          <w:sz w:val="22"/>
          <w:szCs w:val="22"/>
          <w:rtl w:val="0"/>
        </w:rPr>
        <w:t xml:space="preserve">“)</w:t>
      </w:r>
    </w:p>
    <w:p w:rsidR="00000000" w:rsidDel="00000000" w:rsidP="00000000" w:rsidRDefault="00000000" w:rsidRPr="00000000" w14:paraId="0000000B">
      <w:pPr>
        <w:rPr>
          <w:rFonts w:ascii="Vollkorn" w:cs="Vollkorn" w:eastAsia="Vollkorn" w:hAnsi="Vollkor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Vollkorn" w:cs="Vollkorn" w:eastAsia="Vollkorn" w:hAnsi="Vollkor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ME:LEGAL s.r.o., advokátní kancelář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 </w:t>
        <w:tab/>
        <w:tab/>
        <w:t xml:space="preserve">180 21 956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DIČ:</w:t>
        <w:tab/>
        <w:tab/>
        <w:t xml:space="preserve">CZ18021956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sídlem:</w:t>
        <w:tab/>
        <w:t xml:space="preserve">Jakubská 647/2, Staré Město, 110 00 Praha 1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zapsaná v obchodním rejstříku vedeném Městským soudem v Praze pod sp. zn. C 380280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„</w:t>
      </w:r>
      <w:r w:rsidDel="00000000" w:rsidR="00000000" w:rsidRPr="00000000">
        <w:rPr>
          <w:rFonts w:ascii="Vollkorn" w:cs="Vollkorn" w:eastAsia="Vollkorn" w:hAnsi="Vollkor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Advokátní kancelář</w:t>
      </w: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“; Klient a Advokátní kancelář společně dále jen „</w:t>
      </w:r>
      <w:r w:rsidDel="00000000" w:rsidR="00000000" w:rsidRPr="00000000">
        <w:rPr>
          <w:rFonts w:ascii="Vollkorn" w:cs="Vollkorn" w:eastAsia="Vollkorn" w:hAnsi="Vollkor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</w:t>
      </w: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nebo „</w:t>
      </w:r>
      <w:r w:rsidDel="00000000" w:rsidR="00000000" w:rsidRPr="00000000">
        <w:rPr>
          <w:rFonts w:ascii="Vollkorn" w:cs="Vollkorn" w:eastAsia="Vollkorn" w:hAnsi="Vollkor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Strany</w:t>
      </w: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Vollkorn" w:cs="Vollkorn" w:eastAsia="Vollkorn" w:hAnsi="Vollkor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PŘEDMĚT SMLOUVY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základě této Smlouvy se Advokátní kancelář zavazuje poskytnout Klientovi právní služby, které Advokátní kancelář poskytuje v rámci svého nezávislého povolání advokáta za úplatu. Právními službami se rozumí zejména konzultace, právní stanoviska a posouzení, včetně udělování právních porad dle potřeb Klienta, a dále případné zastupování před soudy a jinými orgány, sepisování listin, účast při jednání apod., Advokátní kancelář může též na základě dohody s Klientem zajistit i vzdělávání zaměstnanců Klienta v právní oblasti. Na základě této Smlouvy poskytne Advokátní kancelář Klientovi služby v maximálním rozsahu 50 hodin.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Poskytnutí právních služeb pro Klienta bude výhradně realizováno jen v souladu s pokyny Klienta, a to písemnými, e-mailovými, telefonickými či ústními, v sídle Advokátní kanceláře, popřípadě v sídle Klienta, případně podle požadavku Klienta i v sídle třetích osob.</w:t>
      </w:r>
    </w:p>
    <w:p w:rsidR="00000000" w:rsidDel="00000000" w:rsidP="00000000" w:rsidRDefault="00000000" w:rsidRPr="00000000" w14:paraId="0000001B">
      <w:pPr>
        <w:rPr>
          <w:rFonts w:ascii="Vollkorn" w:cs="Vollkorn" w:eastAsia="Vollkorn" w:hAnsi="Vollkor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Předmětem této Smlouvy a obsahem jejího mandátu jsou zejména veškeré úkony činěné ve shora popsaných věcech podle jednotlivých pokynů Klienta zejména, nikoliv však výlučně, v oblasti problematiky práva občanského, obchodního, správního.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Vollkorn" w:cs="Vollkorn" w:eastAsia="Vollkorn" w:hAnsi="Vollkor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PRÁVA A POVINNOSTI KLIENTA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Klient je vždy povinen u Advokátní kanceláře formou e-mailové komunikace objednat realizaci konkrétních právních služeb s uvedením všech nezbytných údajů, které Advokátní kancelář bude potřebovat pro poskytnutí právních služeb.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Klient je povinen bez zbytečného odkladu informovat Advokátní kancelář o všech skutečnostech rozhodných pro poskytování právních služeb ve sjednaném rozsahu a poskytovat mu při tom potřebnou součinnost, podklady a informace.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Klient je povinen zúčastnit se jednání společně s příslušným advokátem Advokátní kanceláře, je-li jeho účast Advokátní kanceláří nebo třetí osobou požadována.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Klient je povinen zaplatit Advokátní kanceláři na základě jejího vyúčtování smluvní odměnu ve výši dohodnuté touto Smlouvou.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Klient zmocňuje Advokátní kancelář, aby jej při poskytování právních služeb ve sjednaném předmětu této Smlouvy zastupovala, a zavazuje se vystavit příslušnému advokátovi Advokátní kanceláře v případě potřeby odpovídající písemnou plnou moc. Na žádost Advokátní kanceláře Klient v případě potřeby vystaví odpovídající plnou moc jako přímým zástupcům též spolupracovníkům Advokátní kanceláře.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Vollkorn" w:cs="Vollkorn" w:eastAsia="Vollkorn" w:hAnsi="Vollkor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PRÁVA A POVINNOSTI ADVOKÁTNÍ KANCELÁŘE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Advokátní kancelář je oprávněna a povinna chránit a prosazovat práva a oprávněné zájmy Klienta, řídit se jeho pokyny, využívat důsledně všechny zákonné prostředky a v jejich rámci uplatnit v zájmu Klienta vše, co podle svého přesvědčení pokládá za prospěšné. Pokyny Klienta není vázána, jsou-li v rozporu se zákonem nebo stavovským předpisem.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Advokátní kancelář je povinna zachovávat mlčenlivost o všech skutečnostech, o nichž se dozvěděla v souvislosti s poskytováním právních služeb Klientovi. Tato povinnost se vztahuje i na osoby, které Advokátní kancelář pověří k dalšímu zastoupení ve věci.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Advokátní kancelář se zavazuje předávat Klientovi bez zbytečného odkladu veškeré zprávy týkající se předmětu této Smlouvy.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Vollkorn" w:cs="Vollkorn" w:eastAsia="Vollkorn" w:hAnsi="Vollkor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ODMĚNA ZA POSKYTOVÁNÍ PRÁVNÍCH SLUŽEB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poskytování právních služeb s přihlédnutím k jejich předpokládané věcné a časové náročnosti se sjednává smluvní odměna ve výši 3.000 Kč bez DPH za 1 hodinu právní služby (dále jen „</w:t>
      </w:r>
      <w:r w:rsidDel="00000000" w:rsidR="00000000" w:rsidRPr="00000000">
        <w:rPr>
          <w:rFonts w:ascii="Vollkorn" w:cs="Vollkorn" w:eastAsia="Vollkorn" w:hAnsi="Vollkor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Odměna</w:t>
      </w: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“). Advokátní kancelář účtuje Odměnu za každou započatou ¼ hodinu poskytování právní služby. Vyúčtování Odměny je Advokátní kancelář oprávněna předložit Klientovi vždy jednou měsíčně, a to za podmínek stanovených tímto čl. 4 Smlouvy.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 částce Odměny bude vždy připočtena daň z přidané hodnoty ve výši stanovené příslušnými právními předpisy ke dni uskutečnění zdanitelného plnění.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Advokátní kancelář je oprávněna účtovat Odměnu vždy nejdříve ke dni skončení příslušné veřejné zakázky malého rozsahu objednané Klientem, a to fakturou zaslanou na e-mailovou adresu Klienta, která bude splňovat veškeré náležitosti daňového dokladu. Doba splatnosti jednotlivých faktur Advokátní kanceláře bude činit čtrnáct (14) dnů.</w:t>
      </w:r>
    </w:p>
    <w:p w:rsidR="00000000" w:rsidDel="00000000" w:rsidP="00000000" w:rsidRDefault="00000000" w:rsidRPr="00000000" w14:paraId="0000003A">
      <w:pPr>
        <w:rPr>
          <w:rFonts w:ascii="Vollkorn" w:cs="Vollkorn" w:eastAsia="Vollkorn" w:hAnsi="Vollkor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Advokátní kancelář není oprávněna bez písemného souhlasu Klienta zahájit poskytování právních služeb a zejména tyto služby vyfakturovat. Za písemný souhlas se v této souvislosti považuje i souhlas formou e-mailu.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Vollkorn" w:cs="Vollkorn" w:eastAsia="Vollkorn" w:hAnsi="Vollkor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ZÁVĚREČNÁ USTANOVENÍ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se uzavírá na dobu neurčitou.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se řídí právem České republiky.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sjednaly možnost ukončení této Smlouvy písemnou výpovědí ze strany Klienta, a to bez udání důvodu. Výpovědní doba je sjednána v délce trvání tří (3) měsíců a běží ode dne doručení výpovědi do dispozice Advokátní kanceláře.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Jakékoliv změny a doplňky této Smlouvy jsou možné pouze písemnou formou.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sepsána ve dvou (2) vyhotoveních, přičemž každá Smluvní strana obdrží jedno (1) vyhotovení.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ollkorn" w:cs="Vollkorn" w:eastAsia="Vollkorn" w:hAnsi="Vollkor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 Praze dne ___. ___. 2025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 Praze dne ___. ___. 2025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 </w:t>
            </w:r>
            <w:r w:rsidDel="00000000" w:rsidR="00000000" w:rsidRPr="00000000">
              <w:rPr>
                <w:rFonts w:ascii="Vollkorn" w:cs="Vollkorn" w:eastAsia="Vollkorn" w:hAnsi="Vollkor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Klienta: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Gymnázium, Praha 5, Na Zatlance 11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Mgr. Dagmar Škorpíková, ředitelka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 </w:t>
            </w:r>
            <w:r w:rsidDel="00000000" w:rsidR="00000000" w:rsidRPr="00000000">
              <w:rPr>
                <w:rFonts w:ascii="Vollkorn" w:cs="Vollkorn" w:eastAsia="Vollkorn" w:hAnsi="Vollkor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Advokátní kancelář: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ME:LEGAL s.r.o., advokátní kancelář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Mgr. Eliška Valíčková, jednatel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ollkorn" w:cs="Vollkorn" w:eastAsia="Vollkorn" w:hAnsi="Vollkor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Vollkorn" w:cs="Vollkorn" w:eastAsia="Vollkorn" w:hAnsi="Vollkor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417" w:right="1417" w:header="454" w:footer="9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Vollkor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gtree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Figtree SemiBold" w:cs="Figtree SemiBold" w:eastAsia="Figtree SemiBold" w:hAnsi="Figtree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–</w:t>
    </w:r>
    <w:r w:rsidDel="00000000" w:rsidR="00000000" w:rsidRPr="00000000">
      <w:rPr>
        <w:rFonts w:ascii="Figtree SemiBold" w:cs="Figtree SemiBold" w:eastAsia="Figtree SemiBold" w:hAnsi="Figtree SemiBold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Figtree SemiBold" w:cs="Figtree SemiBold" w:eastAsia="Figtree SemiBold" w:hAnsi="Figtree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Figtree SemiBold" w:cs="Figtree SemiBold" w:eastAsia="Figtree SemiBold" w:hAnsi="Figtree SemiBold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Figtree SemiBold" w:cs="Figtree SemiBold" w:eastAsia="Figtree SemiBold" w:hAnsi="Figtree SemiBol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–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-701673</wp:posOffset>
          </wp:positionH>
          <wp:positionV relativeFrom="paragraph">
            <wp:posOffset>0</wp:posOffset>
          </wp:positionV>
          <wp:extent cx="7001640" cy="52416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1640" cy="5241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3402"/>
        <w:tab w:val="right" w:leader="none" w:pos="6804"/>
      </w:tabs>
      <w:spacing w:after="0" w:before="0" w:line="240" w:lineRule="auto"/>
      <w:ind w:left="0" w:right="3968" w:firstLine="0"/>
      <w:jc w:val="left"/>
      <w:rPr>
        <w:rFonts w:ascii="Figtree SemiBold" w:cs="Figtree SemiBold" w:eastAsia="Figtree SemiBold" w:hAnsi="Figtree SemiBold"/>
        <w:b w:val="0"/>
        <w:i w:val="0"/>
        <w:smallCaps w:val="1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Figtree SemiBold" w:cs="Figtree SemiBold" w:eastAsia="Figtree SemiBold" w:hAnsi="Figtree SemiBold"/>
        <w:b w:val="0"/>
        <w:i w:val="0"/>
        <w:smallCaps w:val="1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align>right</wp:align>
          </wp:positionH>
          <wp:positionV relativeFrom="page">
            <wp:posOffset>180340</wp:posOffset>
          </wp:positionV>
          <wp:extent cx="2079000" cy="2808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9000" cy="280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440" w:hanging="720"/>
      </w:pPr>
      <w:rPr/>
    </w:lvl>
    <w:lvl w:ilvl="3">
      <w:start w:val="1"/>
      <w:numFmt w:val="decimal"/>
      <w:lvlText w:val="%1.%2.%3.%4"/>
      <w:lvlJc w:val="left"/>
      <w:pPr>
        <w:ind w:left="1800" w:hanging="720"/>
      </w:pPr>
      <w:rPr/>
    </w:lvl>
    <w:lvl w:ilvl="4">
      <w:start w:val="1"/>
      <w:numFmt w:val="decimal"/>
      <w:lvlText w:val="%1.%2.%3.%4.%5"/>
      <w:lvlJc w:val="left"/>
      <w:pPr>
        <w:ind w:left="2520" w:hanging="1080"/>
      </w:pPr>
      <w:rPr/>
    </w:lvl>
    <w:lvl w:ilvl="5">
      <w:start w:val="1"/>
      <w:numFmt w:val="decimal"/>
      <w:lvlText w:val="%1.%2.%3.%4.%5.%6"/>
      <w:lvlJc w:val="left"/>
      <w:pPr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ind w:left="4680" w:hanging="1800"/>
      </w:pPr>
      <w:rPr/>
    </w:lvl>
  </w:abstractNum>
  <w:abstractNum w:abstractNumId="4">
    <w:lvl w:ilvl="0">
      <w:start w:val="2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440" w:hanging="720"/>
      </w:pPr>
      <w:rPr/>
    </w:lvl>
    <w:lvl w:ilvl="3">
      <w:start w:val="1"/>
      <w:numFmt w:val="decimal"/>
      <w:lvlText w:val="%1.%2.%3.%4"/>
      <w:lvlJc w:val="left"/>
      <w:pPr>
        <w:ind w:left="1800" w:hanging="720"/>
      </w:pPr>
      <w:rPr/>
    </w:lvl>
    <w:lvl w:ilvl="4">
      <w:start w:val="1"/>
      <w:numFmt w:val="decimal"/>
      <w:lvlText w:val="%1.%2.%3.%4.%5"/>
      <w:lvlJc w:val="left"/>
      <w:pPr>
        <w:ind w:left="2520" w:hanging="1080"/>
      </w:pPr>
      <w:rPr/>
    </w:lvl>
    <w:lvl w:ilvl="5">
      <w:start w:val="1"/>
      <w:numFmt w:val="decimal"/>
      <w:lvlText w:val="%1.%2.%3.%4.%5.%6"/>
      <w:lvlJc w:val="left"/>
      <w:pPr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ind w:left="4680" w:hanging="1800"/>
      </w:pPr>
      <w:rPr/>
    </w:lvl>
  </w:abstractNum>
  <w:abstractNum w:abstractNumId="5">
    <w:lvl w:ilvl="0">
      <w:start w:val="3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440" w:hanging="360"/>
      </w:pPr>
      <w:rPr/>
    </w:lvl>
    <w:lvl w:ilvl="2">
      <w:start w:val="1"/>
      <w:numFmt w:val="decimal"/>
      <w:lvlText w:val="%1.%2.%3"/>
      <w:lvlJc w:val="left"/>
      <w:pPr>
        <w:ind w:left="2880" w:hanging="720"/>
      </w:pPr>
      <w:rPr/>
    </w:lvl>
    <w:lvl w:ilvl="3">
      <w:start w:val="1"/>
      <w:numFmt w:val="decimal"/>
      <w:lvlText w:val="%1.%2.%3.%4"/>
      <w:lvlJc w:val="left"/>
      <w:pPr>
        <w:ind w:left="3960" w:hanging="720"/>
      </w:pPr>
      <w:rPr/>
    </w:lvl>
    <w:lvl w:ilvl="4">
      <w:start w:val="1"/>
      <w:numFmt w:val="decimal"/>
      <w:lvlText w:val="%1.%2.%3.%4.%5"/>
      <w:lvlJc w:val="left"/>
      <w:pPr>
        <w:ind w:left="5400" w:hanging="1080"/>
      </w:pPr>
      <w:rPr/>
    </w:lvl>
    <w:lvl w:ilvl="5">
      <w:start w:val="1"/>
      <w:numFmt w:val="decimal"/>
      <w:lvlText w:val="%1.%2.%3.%4.%5.%6"/>
      <w:lvlJc w:val="left"/>
      <w:pPr>
        <w:ind w:left="6480" w:hanging="1080"/>
      </w:pPr>
      <w:rPr/>
    </w:lvl>
    <w:lvl w:ilvl="6">
      <w:start w:val="1"/>
      <w:numFmt w:val="decimal"/>
      <w:lvlText w:val="%1.%2.%3.%4.%5.%6.%7"/>
      <w:lvlJc w:val="left"/>
      <w:pPr>
        <w:ind w:left="7920" w:hanging="1440"/>
      </w:pPr>
      <w:rPr/>
    </w:lvl>
    <w:lvl w:ilvl="7">
      <w:start w:val="1"/>
      <w:numFmt w:val="decimal"/>
      <w:lvlText w:val="%1.%2.%3.%4.%5.%6.%7.%8"/>
      <w:lvlJc w:val="left"/>
      <w:pPr>
        <w:ind w:left="9000" w:hanging="1440"/>
      </w:pPr>
      <w:rPr/>
    </w:lvl>
    <w:lvl w:ilvl="8">
      <w:start w:val="1"/>
      <w:numFmt w:val="decimal"/>
      <w:lvlText w:val="%1.%2.%3.%4.%5.%6.%7.%8.%9"/>
      <w:lvlJc w:val="left"/>
      <w:pPr>
        <w:ind w:left="10440" w:hanging="1800"/>
      </w:pPr>
      <w:rPr/>
    </w:lvl>
  </w:abstractNum>
  <w:abstractNum w:abstractNumId="6">
    <w:lvl w:ilvl="0">
      <w:start w:val="4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440" w:hanging="720"/>
      </w:pPr>
      <w:rPr/>
    </w:lvl>
    <w:lvl w:ilvl="3">
      <w:start w:val="1"/>
      <w:numFmt w:val="decimal"/>
      <w:lvlText w:val="%1.%2.%3.%4"/>
      <w:lvlJc w:val="left"/>
      <w:pPr>
        <w:ind w:left="1800" w:hanging="720"/>
      </w:pPr>
      <w:rPr/>
    </w:lvl>
    <w:lvl w:ilvl="4">
      <w:start w:val="1"/>
      <w:numFmt w:val="decimal"/>
      <w:lvlText w:val="%1.%2.%3.%4.%5"/>
      <w:lvlJc w:val="left"/>
      <w:pPr>
        <w:ind w:left="2520" w:hanging="1080"/>
      </w:pPr>
      <w:rPr/>
    </w:lvl>
    <w:lvl w:ilvl="5">
      <w:start w:val="1"/>
      <w:numFmt w:val="decimal"/>
      <w:lvlText w:val="%1.%2.%3.%4.%5.%6"/>
      <w:lvlJc w:val="left"/>
      <w:pPr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ind w:left="4680" w:hanging="1800"/>
      </w:pPr>
      <w:rPr/>
    </w:lvl>
  </w:abstractNum>
  <w:abstractNum w:abstractNumId="7">
    <w:lvl w:ilvl="0">
      <w:start w:val="5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440" w:hanging="720"/>
      </w:pPr>
      <w:rPr/>
    </w:lvl>
    <w:lvl w:ilvl="3">
      <w:start w:val="1"/>
      <w:numFmt w:val="decimal"/>
      <w:lvlText w:val="%1.%2.%3.%4"/>
      <w:lvlJc w:val="left"/>
      <w:pPr>
        <w:ind w:left="1800" w:hanging="720"/>
      </w:pPr>
      <w:rPr/>
    </w:lvl>
    <w:lvl w:ilvl="4">
      <w:start w:val="1"/>
      <w:numFmt w:val="decimal"/>
      <w:lvlText w:val="%1.%2.%3.%4.%5"/>
      <w:lvlJc w:val="left"/>
      <w:pPr>
        <w:ind w:left="2520" w:hanging="1080"/>
      </w:pPr>
      <w:rPr/>
    </w:lvl>
    <w:lvl w:ilvl="5">
      <w:start w:val="1"/>
      <w:numFmt w:val="decimal"/>
      <w:lvlText w:val="%1.%2.%3.%4.%5.%6"/>
      <w:lvlJc w:val="left"/>
      <w:pPr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ind w:left="468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79" w:before="396" w:lineRule="auto"/>
      <w:ind w:left="851" w:hanging="851"/>
    </w:pPr>
    <w:rPr>
      <w:rFonts w:ascii="Figtree SemiBold" w:cs="Figtree SemiBold" w:eastAsia="Figtree SemiBold" w:hAnsi="Figtree SemiBold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70" w:before="352" w:lineRule="auto"/>
      <w:ind w:left="851" w:hanging="851"/>
    </w:pPr>
    <w:rPr>
      <w:rFonts w:ascii="Figtree SemiBold" w:cs="Figtree SemiBold" w:eastAsia="Figtree SemiBold" w:hAnsi="Figtree SemiBol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62" w:before="308" w:lineRule="auto"/>
      <w:ind w:left="851" w:hanging="851"/>
    </w:pPr>
    <w:rPr>
      <w:rFonts w:ascii="Figtree SemiBold" w:cs="Figtree SemiBold" w:eastAsia="Figtree SemiBold" w:hAnsi="Figtree SemiBol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53" w:before="264" w:lineRule="auto"/>
      <w:ind w:left="851" w:hanging="851"/>
    </w:pPr>
    <w:rPr>
      <w:rFonts w:ascii="Figtree SemiBold" w:cs="Figtree SemiBold" w:eastAsia="Figtree SemiBold" w:hAnsi="Figtree SemiBold"/>
    </w:rPr>
  </w:style>
  <w:style w:type="paragraph" w:styleId="Heading5">
    <w:name w:val="heading 5"/>
    <w:basedOn w:val="Normal"/>
    <w:next w:val="Normal"/>
    <w:pPr>
      <w:keepNext w:val="1"/>
      <w:keepLines w:val="1"/>
      <w:spacing w:after="48" w:before="242" w:lineRule="auto"/>
      <w:ind w:left="851" w:hanging="851"/>
    </w:pPr>
    <w:rPr>
      <w:rFonts w:ascii="Figtree SemiBold" w:cs="Figtree SemiBold" w:eastAsia="Figtree SemiBold" w:hAnsi="Figtree SemiBold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1152" w:hanging="1152"/>
    </w:pPr>
    <w:rPr>
      <w:rFonts w:ascii="Figtree SemiBold" w:cs="Figtree SemiBold" w:eastAsia="Figtree SemiBold" w:hAnsi="Figtree SemiBold"/>
      <w:i w:val="1"/>
      <w:smallCaps w:val="1"/>
      <w:color w:val="005a72"/>
    </w:rPr>
  </w:style>
  <w:style w:type="paragraph" w:styleId="Title">
    <w:name w:val="Title"/>
    <w:basedOn w:val="Normal"/>
    <w:next w:val="Normal"/>
    <w:pPr/>
    <w:rPr>
      <w:rFonts w:ascii="Figtree SemiBold" w:cs="Figtree SemiBold" w:eastAsia="Figtree SemiBold" w:hAnsi="Figtree SemiBold"/>
      <w:smallCaps w:val="1"/>
      <w:sz w:val="48"/>
      <w:szCs w:val="48"/>
    </w:rPr>
  </w:style>
  <w:style w:type="paragraph" w:styleId="Subtitle">
    <w:name w:val="Subtitle"/>
    <w:basedOn w:val="Normal"/>
    <w:next w:val="Normal"/>
    <w:pPr>
      <w:spacing w:after="308" w:lineRule="auto"/>
    </w:pPr>
    <w:rPr>
      <w:rFonts w:ascii="Figtree SemiBold" w:cs="Figtree SemiBold" w:eastAsia="Figtree SemiBold" w:hAnsi="Figtree SemiBold"/>
      <w:smallCaps w:val="1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ollkorn-regular.ttf"/><Relationship Id="rId2" Type="http://schemas.openxmlformats.org/officeDocument/2006/relationships/font" Target="fonts/Vollkorn-bold.ttf"/><Relationship Id="rId3" Type="http://schemas.openxmlformats.org/officeDocument/2006/relationships/font" Target="fonts/Vollkorn-italic.ttf"/><Relationship Id="rId4" Type="http://schemas.openxmlformats.org/officeDocument/2006/relationships/font" Target="fonts/Vollkorn-boldItalic.ttf"/><Relationship Id="rId5" Type="http://schemas.openxmlformats.org/officeDocument/2006/relationships/font" Target="fonts/FigtreeSemiBold-regular.ttf"/><Relationship Id="rId6" Type="http://schemas.openxmlformats.org/officeDocument/2006/relationships/font" Target="fonts/FigtreeSemiBold-bold.ttf"/><Relationship Id="rId7" Type="http://schemas.openxmlformats.org/officeDocument/2006/relationships/font" Target="fonts/FigtreeSemiBold-italic.ttf"/><Relationship Id="rId8" Type="http://schemas.openxmlformats.org/officeDocument/2006/relationships/font" Target="fonts/FigtreeSemiBol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0x010100B0C84297C595334BA594708460BF8226</vt:lpwstr>
  </property>
  <property fmtid="{D5CDD505-2E9C-101B-9397-08002B2CF9AE}" pid="3" name="MediaServiceImageTags">
    <vt:lpwstr>MediaServiceImageTags</vt:lpwstr>
  </property>
</Properties>
</file>