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EF2F2" w14:textId="77777777" w:rsidR="00001748" w:rsidRDefault="00001748">
      <w:pPr>
        <w:spacing w:before="9" w:after="9" w:line="240" w:lineRule="exact"/>
        <w:rPr>
          <w:sz w:val="19"/>
          <w:szCs w:val="19"/>
        </w:rPr>
      </w:pPr>
    </w:p>
    <w:p w14:paraId="765AF997" w14:textId="77777777" w:rsidR="00001748" w:rsidRDefault="00001748">
      <w:pPr>
        <w:spacing w:line="1" w:lineRule="exact"/>
        <w:sectPr w:rsidR="00001748">
          <w:footerReference w:type="even" r:id="rId7"/>
          <w:footerReference w:type="default" r:id="rId8"/>
          <w:pgSz w:w="11900" w:h="16840"/>
          <w:pgMar w:top="829" w:right="1046" w:bottom="908" w:left="1019" w:header="0" w:footer="3" w:gutter="0"/>
          <w:pgNumType w:start="1"/>
          <w:cols w:space="720"/>
          <w:noEndnote/>
          <w:docGrid w:linePitch="360"/>
        </w:sectPr>
      </w:pPr>
    </w:p>
    <w:p w14:paraId="1B26013B" w14:textId="77777777" w:rsidR="00001748" w:rsidRDefault="00000000">
      <w:pPr>
        <w:pStyle w:val="Heading110"/>
        <w:keepNext/>
        <w:keepLines/>
      </w:pPr>
      <w:bookmarkStart w:id="0" w:name="bookmark0"/>
      <w:r>
        <w:rPr>
          <w:rStyle w:val="Heading11"/>
          <w:b/>
          <w:bCs/>
        </w:rPr>
        <w:lastRenderedPageBreak/>
        <w:t>&amp; UniCredit Bank</w:t>
      </w:r>
      <w:bookmarkEnd w:id="0"/>
    </w:p>
    <w:p w14:paraId="1C09F327" w14:textId="77777777" w:rsidR="00001748" w:rsidRDefault="00000000">
      <w:pPr>
        <w:pStyle w:val="Heading310"/>
        <w:keepNext/>
        <w:keepLines/>
        <w:spacing w:before="0"/>
        <w:ind w:right="300"/>
        <w:jc w:val="right"/>
      </w:pPr>
      <w:bookmarkStart w:id="1" w:name="bookmark2"/>
      <w:r>
        <w:rPr>
          <w:rStyle w:val="Heading31"/>
          <w:b/>
          <w:bCs/>
          <w:u w:val="single"/>
        </w:rPr>
        <w:t>50025</w:t>
      </w:r>
      <w:bookmarkEnd w:id="1"/>
    </w:p>
    <w:p w14:paraId="44C1D3EB" w14:textId="77777777" w:rsidR="00001748" w:rsidRDefault="00000000">
      <w:pPr>
        <w:pStyle w:val="Bodytext30"/>
      </w:pPr>
      <w:r>
        <w:rPr>
          <w:rStyle w:val="Bodytext3"/>
        </w:rPr>
        <w:t>ČÍSLO DOHODY</w:t>
      </w:r>
    </w:p>
    <w:p w14:paraId="5AEBB36A" w14:textId="77777777" w:rsidR="00001748" w:rsidRDefault="00000000">
      <w:pPr>
        <w:pStyle w:val="Heading210"/>
        <w:keepNext/>
        <w:keepLines/>
      </w:pPr>
      <w:bookmarkStart w:id="2" w:name="bookmark4"/>
      <w:r>
        <w:rPr>
          <w:rStyle w:val="Heading21"/>
          <w:b/>
          <w:bCs/>
        </w:rPr>
        <w:t>Dohoda o výpůjčce EFT/POS terminálu pro přijímání platebních karet</w:t>
      </w:r>
      <w:bookmarkEnd w:id="2"/>
    </w:p>
    <w:p w14:paraId="1F4EC991" w14:textId="77777777" w:rsidR="00001748" w:rsidRDefault="00000000">
      <w:pPr>
        <w:pStyle w:val="Bodytext10"/>
        <w:spacing w:after="200" w:line="252" w:lineRule="auto"/>
      </w:pPr>
      <w:r>
        <w:rPr>
          <w:rStyle w:val="Bodytext1"/>
        </w:rPr>
        <w:t>uzavřená mezi</w:t>
      </w:r>
    </w:p>
    <w:p w14:paraId="2C979445" w14:textId="77777777" w:rsidR="00001748" w:rsidRDefault="00000000">
      <w:pPr>
        <w:pStyle w:val="Bodytext10"/>
        <w:spacing w:after="100" w:line="252" w:lineRule="auto"/>
      </w:pPr>
      <w:r>
        <w:rPr>
          <w:rStyle w:val="Bodytext1"/>
          <w:b/>
          <w:bCs/>
        </w:rPr>
        <w:t xml:space="preserve">UniCredit Bank Czech Republic and Slovakia, a.s., se sídlem Želetavská 1525/1, Praha 4 - Michle, PSČ 140 92, IČO: 64948242, </w:t>
      </w:r>
      <w:r>
        <w:rPr>
          <w:rStyle w:val="Bodytext1"/>
        </w:rPr>
        <w:t>zapsaná v obchodním rejstříku vedeném Městským soudem v Praze, oddíl B, vložka 3608 (dále jen „Banka“) a</w:t>
      </w:r>
    </w:p>
    <w:p w14:paraId="4E1FF7AD" w14:textId="77777777" w:rsidR="00001748" w:rsidRDefault="00000000">
      <w:pPr>
        <w:pStyle w:val="Bodytext10"/>
      </w:pPr>
      <w:r>
        <w:rPr>
          <w:rStyle w:val="Bodytext1"/>
          <w:b/>
          <w:bCs/>
        </w:rPr>
        <w:t xml:space="preserve">Obchodní firma: </w:t>
      </w:r>
      <w:r>
        <w:rPr>
          <w:rStyle w:val="Bodytext1"/>
        </w:rPr>
        <w:t>Nemocnice Havířov, příspěvková organizace</w:t>
      </w:r>
    </w:p>
    <w:p w14:paraId="3B6D952B" w14:textId="77777777" w:rsidR="00001748" w:rsidRDefault="00000000">
      <w:pPr>
        <w:pStyle w:val="Bodytext10"/>
        <w:tabs>
          <w:tab w:val="left" w:pos="1865"/>
        </w:tabs>
      </w:pPr>
      <w:r>
        <w:rPr>
          <w:rStyle w:val="Bodytext1"/>
          <w:b/>
          <w:bCs/>
        </w:rPr>
        <w:t>Sídlo:</w:t>
      </w:r>
      <w:r>
        <w:rPr>
          <w:rStyle w:val="Bodytext1"/>
          <w:b/>
          <w:bCs/>
        </w:rPr>
        <w:tab/>
      </w:r>
      <w:r>
        <w:rPr>
          <w:rStyle w:val="Bodytext1"/>
        </w:rPr>
        <w:t>Dělnická 1132/24, 736 01, Havířov, Město</w:t>
      </w:r>
    </w:p>
    <w:p w14:paraId="76006CFB" w14:textId="77777777" w:rsidR="00001748" w:rsidRDefault="00000000">
      <w:pPr>
        <w:pStyle w:val="Bodytext10"/>
        <w:tabs>
          <w:tab w:val="left" w:pos="1865"/>
        </w:tabs>
      </w:pPr>
      <w:r>
        <w:rPr>
          <w:rStyle w:val="Bodytext1"/>
          <w:b/>
          <w:bCs/>
        </w:rPr>
        <w:t>IČO:</w:t>
      </w:r>
      <w:r>
        <w:rPr>
          <w:rStyle w:val="Bodytext1"/>
          <w:b/>
          <w:bCs/>
        </w:rPr>
        <w:tab/>
      </w:r>
      <w:r>
        <w:rPr>
          <w:rStyle w:val="Bodytext1"/>
        </w:rPr>
        <w:t>00844896</w:t>
      </w:r>
    </w:p>
    <w:p w14:paraId="0961DBA3" w14:textId="77777777" w:rsidR="00001748" w:rsidRDefault="00000000">
      <w:pPr>
        <w:pStyle w:val="Bodytext10"/>
        <w:tabs>
          <w:tab w:val="left" w:pos="1865"/>
        </w:tabs>
      </w:pPr>
      <w:r>
        <w:rPr>
          <w:rStyle w:val="Bodytext1"/>
          <w:b/>
          <w:bCs/>
        </w:rPr>
        <w:t>Zapsáno v:</w:t>
      </w:r>
      <w:r>
        <w:rPr>
          <w:rStyle w:val="Bodytext1"/>
          <w:b/>
          <w:bCs/>
        </w:rPr>
        <w:tab/>
      </w:r>
      <w:r>
        <w:rPr>
          <w:rStyle w:val="Bodytext1"/>
        </w:rPr>
        <w:t xml:space="preserve">Obchodním rejstříku, spisová značka </w:t>
      </w:r>
      <w:proofErr w:type="spellStart"/>
      <w:r>
        <w:rPr>
          <w:rStyle w:val="Bodytext1"/>
        </w:rPr>
        <w:t>Pr</w:t>
      </w:r>
      <w:proofErr w:type="spellEnd"/>
      <w:r>
        <w:rPr>
          <w:rStyle w:val="Bodytext1"/>
        </w:rPr>
        <w:t xml:space="preserve"> 899 vedená u Krajského soudu v Ostravě</w:t>
      </w:r>
    </w:p>
    <w:p w14:paraId="0A33B8D6" w14:textId="0DF53EF4" w:rsidR="00001748" w:rsidRDefault="00000000">
      <w:pPr>
        <w:pStyle w:val="Bodytext10"/>
        <w:tabs>
          <w:tab w:val="left" w:pos="1865"/>
        </w:tabs>
      </w:pPr>
      <w:r>
        <w:rPr>
          <w:rStyle w:val="Bodytext1"/>
          <w:b/>
          <w:bCs/>
        </w:rPr>
        <w:t>Zastoupena:</w:t>
      </w:r>
      <w:r>
        <w:rPr>
          <w:rStyle w:val="Bodytext1"/>
          <w:b/>
          <w:bCs/>
        </w:rPr>
        <w:tab/>
      </w:r>
    </w:p>
    <w:p w14:paraId="7D469B31" w14:textId="77777777" w:rsidR="00001748" w:rsidRDefault="00000000">
      <w:pPr>
        <w:pStyle w:val="Bodytext10"/>
        <w:pBdr>
          <w:bottom w:val="single" w:sz="4" w:space="0" w:color="auto"/>
        </w:pBdr>
        <w:spacing w:after="240"/>
      </w:pPr>
      <w:r>
        <w:rPr>
          <w:rStyle w:val="Bodytext1"/>
        </w:rPr>
        <w:t>(dále jen „Smluvní partner“)</w:t>
      </w:r>
    </w:p>
    <w:p w14:paraId="18BCA283" w14:textId="77777777" w:rsidR="00001748" w:rsidRDefault="00000000">
      <w:pPr>
        <w:pStyle w:val="Heading410"/>
        <w:keepNext/>
        <w:keepLines/>
        <w:numPr>
          <w:ilvl w:val="0"/>
          <w:numId w:val="1"/>
        </w:numPr>
        <w:tabs>
          <w:tab w:val="left" w:pos="412"/>
        </w:tabs>
        <w:spacing w:line="252" w:lineRule="auto"/>
      </w:pPr>
      <w:bookmarkStart w:id="3" w:name="bookmark6"/>
      <w:r>
        <w:rPr>
          <w:rStyle w:val="Heading41"/>
          <w:b/>
          <w:bCs/>
        </w:rPr>
        <w:t>Předmět smlouvy</w:t>
      </w:r>
      <w:bookmarkEnd w:id="3"/>
    </w:p>
    <w:p w14:paraId="17B32ADF" w14:textId="77777777" w:rsidR="00001748" w:rsidRDefault="00000000">
      <w:pPr>
        <w:pStyle w:val="Bodytext10"/>
        <w:numPr>
          <w:ilvl w:val="1"/>
          <w:numId w:val="1"/>
        </w:numPr>
        <w:tabs>
          <w:tab w:val="left" w:pos="412"/>
        </w:tabs>
        <w:spacing w:line="252" w:lineRule="auto"/>
        <w:ind w:left="440" w:hanging="440"/>
        <w:jc w:val="both"/>
      </w:pPr>
      <w:r>
        <w:rPr>
          <w:rStyle w:val="Bodytext1"/>
        </w:rPr>
        <w:t>Banka a Smluvní partner uzavřeli současně s touto Dohodou Smlouvu o přijímání platebních karet (dále jen „Smlouva o přijímání karet").</w:t>
      </w:r>
    </w:p>
    <w:p w14:paraId="4F807817" w14:textId="77777777" w:rsidR="00001748" w:rsidRDefault="00000000">
      <w:pPr>
        <w:pStyle w:val="Bodytext10"/>
        <w:numPr>
          <w:ilvl w:val="1"/>
          <w:numId w:val="1"/>
        </w:numPr>
        <w:tabs>
          <w:tab w:val="left" w:pos="414"/>
        </w:tabs>
        <w:ind w:left="440" w:hanging="440"/>
        <w:jc w:val="both"/>
      </w:pPr>
      <w:r>
        <w:rPr>
          <w:rStyle w:val="Bodytext1"/>
        </w:rPr>
        <w:t>Banka na základě této dohody poskytne formou výpůjčky Smluvnímu partnerovi k bezplatnému dočasnému užívání EFT/POS terminál/y (dále jen „terminály“) za účelem přijímání plateb bankovními kartami elektronickou cestou.</w:t>
      </w:r>
    </w:p>
    <w:p w14:paraId="0E8BE459" w14:textId="77777777" w:rsidR="00001748" w:rsidRDefault="00000000">
      <w:pPr>
        <w:pStyle w:val="Bodytext10"/>
        <w:numPr>
          <w:ilvl w:val="1"/>
          <w:numId w:val="1"/>
        </w:numPr>
        <w:tabs>
          <w:tab w:val="left" w:pos="414"/>
        </w:tabs>
        <w:ind w:left="440" w:hanging="440"/>
        <w:jc w:val="both"/>
      </w:pPr>
      <w:r>
        <w:rPr>
          <w:rStyle w:val="Bodytext1"/>
        </w:rPr>
        <w:t>Specifikace vypůjčených terminálů bude uvedena v Protokolech o předání, instalaci a ověření provozní způsobilosti EFT/POS terminálu na přijímání platebních karet, které budou nedílnou součástí této dohody.</w:t>
      </w:r>
    </w:p>
    <w:p w14:paraId="27C3E394" w14:textId="77777777" w:rsidR="00001748" w:rsidRDefault="00000000">
      <w:pPr>
        <w:pStyle w:val="Bodytext10"/>
        <w:numPr>
          <w:ilvl w:val="1"/>
          <w:numId w:val="1"/>
        </w:numPr>
        <w:tabs>
          <w:tab w:val="left" w:pos="414"/>
        </w:tabs>
        <w:spacing w:after="200"/>
        <w:ind w:left="440" w:hanging="440"/>
        <w:jc w:val="both"/>
      </w:pPr>
      <w:r>
        <w:rPr>
          <w:rStyle w:val="Bodytext1"/>
        </w:rPr>
        <w:t>Celkový počet vypůjčených terminálů je dán počtem nainstalovaných terminálů podle podepsaných instalačních protokolů.</w:t>
      </w:r>
    </w:p>
    <w:p w14:paraId="20FE75EA" w14:textId="77777777" w:rsidR="00001748" w:rsidRDefault="00000000">
      <w:pPr>
        <w:pStyle w:val="Heading410"/>
        <w:keepNext/>
        <w:keepLines/>
        <w:numPr>
          <w:ilvl w:val="0"/>
          <w:numId w:val="1"/>
        </w:numPr>
        <w:tabs>
          <w:tab w:val="left" w:pos="412"/>
        </w:tabs>
      </w:pPr>
      <w:bookmarkStart w:id="4" w:name="bookmark8"/>
      <w:r>
        <w:rPr>
          <w:rStyle w:val="Heading41"/>
          <w:b/>
          <w:bCs/>
        </w:rPr>
        <w:t>Instalace terminálů</w:t>
      </w:r>
      <w:bookmarkEnd w:id="4"/>
    </w:p>
    <w:p w14:paraId="5CFE60FB" w14:textId="77777777" w:rsidR="00001748" w:rsidRDefault="00000000">
      <w:pPr>
        <w:pStyle w:val="Bodytext10"/>
        <w:numPr>
          <w:ilvl w:val="1"/>
          <w:numId w:val="1"/>
        </w:numPr>
        <w:tabs>
          <w:tab w:val="left" w:pos="414"/>
        </w:tabs>
        <w:ind w:left="440" w:hanging="440"/>
        <w:jc w:val="both"/>
      </w:pPr>
      <w:r>
        <w:rPr>
          <w:rStyle w:val="Bodytext1"/>
        </w:rPr>
        <w:t xml:space="preserve">. Smluvní partner před instalací sdělí bance podrobnosti ohledně připravení provozovny na instalaci terminálu podle </w:t>
      </w:r>
      <w:r>
        <w:rPr>
          <w:rStyle w:val="Bodytext1"/>
          <w:b/>
          <w:bCs/>
        </w:rPr>
        <w:t xml:space="preserve">Přílohy č. 1 </w:t>
      </w:r>
      <w:r>
        <w:rPr>
          <w:rStyle w:val="Bodytext1"/>
        </w:rPr>
        <w:t>této Dohody a domluví s Bankou závazný termín instalace.</w:t>
      </w:r>
    </w:p>
    <w:p w14:paraId="25DB6842" w14:textId="77777777" w:rsidR="00001748" w:rsidRDefault="00000000">
      <w:pPr>
        <w:pStyle w:val="Bodytext10"/>
        <w:numPr>
          <w:ilvl w:val="1"/>
          <w:numId w:val="1"/>
        </w:numPr>
        <w:tabs>
          <w:tab w:val="left" w:pos="428"/>
        </w:tabs>
        <w:spacing w:after="200"/>
        <w:ind w:left="440" w:hanging="440"/>
        <w:jc w:val="both"/>
      </w:pPr>
      <w:r>
        <w:rPr>
          <w:rStyle w:val="Bodytext1"/>
        </w:rPr>
        <w:t>V případě, že Smluvní partner nedodrží sjednaný termín pro instalaci, popř. se ukáže, že infrastruktura provozovny není v souladu s popisem poskytnutým bance podle čl. 2.1, bude Smluvní partner povinen uhradit bance jako úhradu nákladů marného výjezdu techniků smluvní pokutu ve výši 1 400 Kč.</w:t>
      </w:r>
    </w:p>
    <w:p w14:paraId="6D3B751B" w14:textId="77777777" w:rsidR="00001748" w:rsidRDefault="00000000">
      <w:pPr>
        <w:pStyle w:val="Heading410"/>
        <w:keepNext/>
        <w:keepLines/>
        <w:numPr>
          <w:ilvl w:val="0"/>
          <w:numId w:val="1"/>
        </w:numPr>
        <w:tabs>
          <w:tab w:val="left" w:pos="412"/>
        </w:tabs>
      </w:pPr>
      <w:bookmarkStart w:id="5" w:name="bookmark10"/>
      <w:r>
        <w:rPr>
          <w:rStyle w:val="Heading41"/>
          <w:b/>
          <w:bCs/>
        </w:rPr>
        <w:t>Úhrada nákladů</w:t>
      </w:r>
      <w:bookmarkEnd w:id="5"/>
    </w:p>
    <w:p w14:paraId="1D087171" w14:textId="77777777" w:rsidR="00001748" w:rsidRDefault="00000000">
      <w:pPr>
        <w:pStyle w:val="Bodytext10"/>
        <w:numPr>
          <w:ilvl w:val="1"/>
          <w:numId w:val="1"/>
        </w:numPr>
        <w:tabs>
          <w:tab w:val="left" w:pos="412"/>
        </w:tabs>
        <w:ind w:left="440" w:hanging="440"/>
        <w:jc w:val="both"/>
      </w:pPr>
      <w:r>
        <w:rPr>
          <w:rStyle w:val="Bodytext1"/>
        </w:rPr>
        <w:t>Veškeré náklady spojené s komunikačními poplatky souvisejícími s přijímáním bezhotovostních plateb prostřednictvím platebních karet na terminálech nese Smluvní partner.</w:t>
      </w:r>
    </w:p>
    <w:p w14:paraId="67F4AD6D" w14:textId="77777777" w:rsidR="00001748" w:rsidRDefault="00000000">
      <w:pPr>
        <w:pStyle w:val="Bodytext10"/>
        <w:numPr>
          <w:ilvl w:val="1"/>
          <w:numId w:val="1"/>
        </w:numPr>
        <w:tabs>
          <w:tab w:val="left" w:pos="421"/>
        </w:tabs>
        <w:ind w:left="440" w:hanging="440"/>
        <w:jc w:val="both"/>
      </w:pPr>
      <w:r>
        <w:rPr>
          <w:rStyle w:val="Bodytext1"/>
        </w:rPr>
        <w:t>Smluvní partner nese ze svého obvyklé náklady spojené s užíváním terminálu, kterými se zejména rozumí nákup spotřebního materiálu (papírové kotoučky do tiskárny, nákup čisticích karet) apod.</w:t>
      </w:r>
    </w:p>
    <w:p w14:paraId="30AE2356" w14:textId="77777777" w:rsidR="00001748" w:rsidRDefault="00000000">
      <w:pPr>
        <w:pStyle w:val="Bodytext10"/>
        <w:numPr>
          <w:ilvl w:val="1"/>
          <w:numId w:val="1"/>
        </w:numPr>
        <w:tabs>
          <w:tab w:val="left" w:pos="421"/>
        </w:tabs>
        <w:ind w:left="440" w:hanging="440"/>
        <w:jc w:val="both"/>
      </w:pPr>
      <w:r>
        <w:rPr>
          <w:rStyle w:val="Bodytext1"/>
        </w:rPr>
        <w:t>Banka Smluvnímu partnerovi hradí náklady spojené s běžnou údržbou vypůjčených terminálů. Telefonická podpora je bezplatně zajišťována v režimu 24/7. Údržba zahrnující výjezd technika na místo se provádí následující pracovní den po nahlášení závady, za předpokladu, že závada byla nahlášena do 17:00. Závady nahlášené později budou řešeny nejpozději 2. pracovní den následující po dni nahlášení závady.</w:t>
      </w:r>
    </w:p>
    <w:p w14:paraId="238E73EF" w14:textId="77777777" w:rsidR="00001748" w:rsidRDefault="00000000">
      <w:pPr>
        <w:pStyle w:val="Bodytext10"/>
        <w:numPr>
          <w:ilvl w:val="1"/>
          <w:numId w:val="1"/>
        </w:numPr>
        <w:tabs>
          <w:tab w:val="left" w:pos="421"/>
        </w:tabs>
        <w:ind w:left="440" w:hanging="440"/>
        <w:jc w:val="both"/>
      </w:pPr>
      <w:r>
        <w:rPr>
          <w:rStyle w:val="Bodytext1"/>
        </w:rPr>
        <w:t>Smluvní partner je povinen uhradit vzniklé servisní náklady v případě, že bude provádět neoprávněné zásahy do kabelové instalace pro terminály nebo neohlášené zásahy na vnitřních instalacích, mající za následek nefunkčnost terminálů. Smluvní partner rovněž nese odpovědnost za servisní náklady na opravu mechanického poškození terminálů, případně poškození vzniklého v důsledku nedostatečné údržby, kterou byl povinen zajistit.</w:t>
      </w:r>
    </w:p>
    <w:p w14:paraId="2B025B90" w14:textId="77777777" w:rsidR="00001748" w:rsidRDefault="00000000">
      <w:pPr>
        <w:pStyle w:val="Bodytext10"/>
        <w:numPr>
          <w:ilvl w:val="1"/>
          <w:numId w:val="1"/>
        </w:numPr>
        <w:tabs>
          <w:tab w:val="left" w:pos="421"/>
        </w:tabs>
        <w:spacing w:after="200"/>
        <w:ind w:left="440" w:hanging="440"/>
        <w:jc w:val="both"/>
      </w:pPr>
      <w:r>
        <w:rPr>
          <w:rStyle w:val="Bodytext1"/>
        </w:rPr>
        <w:t>Převzetím terminálu Smluvní partner odpovídá za veškerou škodu na tomto vzniklou, bez ohledu na to, z jakých příčin k tomu došlo.</w:t>
      </w:r>
    </w:p>
    <w:p w14:paraId="147F5E95" w14:textId="77777777" w:rsidR="00001748" w:rsidRDefault="00000000">
      <w:pPr>
        <w:pStyle w:val="Heading410"/>
        <w:keepNext/>
        <w:keepLines/>
        <w:numPr>
          <w:ilvl w:val="0"/>
          <w:numId w:val="1"/>
        </w:numPr>
        <w:tabs>
          <w:tab w:val="left" w:pos="412"/>
        </w:tabs>
      </w:pPr>
      <w:bookmarkStart w:id="6" w:name="bookmark12"/>
      <w:r>
        <w:rPr>
          <w:rStyle w:val="Heading41"/>
          <w:b/>
          <w:bCs/>
        </w:rPr>
        <w:t>Povinnosti Smluvního partnera</w:t>
      </w:r>
      <w:bookmarkEnd w:id="6"/>
    </w:p>
    <w:p w14:paraId="755C479A" w14:textId="77777777" w:rsidR="00001748" w:rsidRDefault="00000000">
      <w:pPr>
        <w:pStyle w:val="Bodytext10"/>
        <w:numPr>
          <w:ilvl w:val="1"/>
          <w:numId w:val="1"/>
        </w:numPr>
        <w:tabs>
          <w:tab w:val="left" w:pos="478"/>
        </w:tabs>
        <w:ind w:left="440" w:hanging="440"/>
        <w:jc w:val="both"/>
      </w:pPr>
      <w:r>
        <w:rPr>
          <w:rStyle w:val="Bodytext1"/>
        </w:rPr>
        <w:t>Smluvní partner se zavazuje terminály používat pro přijímání platebních karet v rámci své podnikatelské činnosti, která je uvedena v předmětu Smlouvy o přijímání platebních karet, a v případě stacionárních terminálů na adrese obchodního místa, které je uvedeno v příslušné smluvní dokumentaci. Smluvní partner nesmí bez předchozího písemného souhlasu nebo výzvy Banky vyřadit terminál z provozu či jej provozovat na jiném místě, než je uvedeno v instalačním protokolu.</w:t>
      </w:r>
    </w:p>
    <w:p w14:paraId="0FF652B6" w14:textId="7AF1D9EA" w:rsidR="00001748" w:rsidRDefault="00001748">
      <w:pPr>
        <w:spacing w:after="1102" w:line="1" w:lineRule="exact"/>
      </w:pPr>
    </w:p>
    <w:p w14:paraId="77CFCDEE" w14:textId="77777777" w:rsidR="00001748" w:rsidRDefault="00000000">
      <w:pPr>
        <w:pStyle w:val="Bodytext10"/>
        <w:numPr>
          <w:ilvl w:val="1"/>
          <w:numId w:val="1"/>
        </w:numPr>
        <w:tabs>
          <w:tab w:val="left" w:pos="428"/>
        </w:tabs>
        <w:ind w:left="400" w:hanging="400"/>
        <w:jc w:val="both"/>
      </w:pPr>
      <w:r>
        <w:rPr>
          <w:rStyle w:val="Bodytext1"/>
        </w:rPr>
        <w:t>Smluvní partner je povinen užívat vypůjčené terminály s řádnou péčí a v souladu s účelem, ke kterému slouží, chránit je před poškozením, zničením nebo ztrátou.</w:t>
      </w:r>
    </w:p>
    <w:p w14:paraId="7A1C1E0A" w14:textId="77777777" w:rsidR="00001748" w:rsidRDefault="00000000">
      <w:pPr>
        <w:pStyle w:val="Bodytext10"/>
        <w:numPr>
          <w:ilvl w:val="1"/>
          <w:numId w:val="1"/>
        </w:numPr>
        <w:tabs>
          <w:tab w:val="left" w:pos="428"/>
        </w:tabs>
        <w:ind w:left="400" w:hanging="400"/>
        <w:jc w:val="both"/>
      </w:pPr>
      <w:r>
        <w:rPr>
          <w:rStyle w:val="Bodytext1"/>
        </w:rPr>
        <w:t xml:space="preserve">Smluvní partner se zavazuje seznámit své pracovníky, kteří budou terminál užívat, řádně s návodem na používání </w:t>
      </w:r>
      <w:r>
        <w:rPr>
          <w:rStyle w:val="Bodytext1"/>
        </w:rPr>
        <w:lastRenderedPageBreak/>
        <w:t>terminálu a bere na vědomí, že odpovídá za škodu, která vznikne jeho nesprávným používáním.</w:t>
      </w:r>
    </w:p>
    <w:p w14:paraId="23B96C22" w14:textId="77777777" w:rsidR="00001748" w:rsidRDefault="00000000">
      <w:pPr>
        <w:pStyle w:val="Bodytext10"/>
        <w:numPr>
          <w:ilvl w:val="1"/>
          <w:numId w:val="1"/>
        </w:numPr>
        <w:tabs>
          <w:tab w:val="left" w:pos="435"/>
        </w:tabs>
        <w:ind w:left="400" w:hanging="400"/>
        <w:jc w:val="both"/>
      </w:pPr>
      <w:r>
        <w:rPr>
          <w:rStyle w:val="Bodytext1"/>
        </w:rPr>
        <w:t>Smluvní partner je povinen zajistit údržbu vypůjčených terminálů. Vzniklé závady na terminálech dle této dohody se Smluvní partner zavazuje hlásit buď písemně, faxem nebo telefonicky s následným písemným (faxovým) potvrzením zaslaným bez zbytečného odkladu po zjištění závady, nejpozději však následující pracovní den. Kontaktní údaje pro nahlášení vzniklé závady jsou uvedeny na terminálu a v Pokynech pro obchodníky. O neopravitelných závadách na terminálech se Smluvní partner zavazuje písemně uvědomit Banku bez zbytečného odkladu.</w:t>
      </w:r>
    </w:p>
    <w:p w14:paraId="1B7609A1" w14:textId="77777777" w:rsidR="00001748" w:rsidRDefault="00000000">
      <w:pPr>
        <w:pStyle w:val="Bodytext10"/>
        <w:numPr>
          <w:ilvl w:val="1"/>
          <w:numId w:val="1"/>
        </w:numPr>
        <w:tabs>
          <w:tab w:val="left" w:pos="435"/>
        </w:tabs>
        <w:ind w:left="400" w:hanging="400"/>
        <w:jc w:val="both"/>
      </w:pPr>
      <w:r>
        <w:rPr>
          <w:rStyle w:val="Bodytext1"/>
        </w:rPr>
        <w:t>Pokud za trvání Smlouvy o přijímání platebních karet Smluvní partner v některé ze svých provozoven nevykazuje na terminálu ani průměrný měsíční obrat ve výši 30 000 Kč, je Banka oprávněna Smluvního partnera vyzvat, aby příslušný terminál vrátil. Banka toto své oprávnění může uplatnit nejdříve šest měsíců od data instalace příslušného terminálu na adrese sídla firmy. Smluvní partner je povinen do 10 dnů od obdržení písemného vyzvání terminál bance vrátit.</w:t>
      </w:r>
    </w:p>
    <w:p w14:paraId="1A5C1E96" w14:textId="77777777" w:rsidR="00001748" w:rsidRDefault="00000000">
      <w:pPr>
        <w:pStyle w:val="Bodytext10"/>
        <w:numPr>
          <w:ilvl w:val="1"/>
          <w:numId w:val="1"/>
        </w:numPr>
        <w:tabs>
          <w:tab w:val="left" w:pos="435"/>
        </w:tabs>
        <w:ind w:left="400" w:hanging="400"/>
        <w:jc w:val="both"/>
      </w:pPr>
      <w:r>
        <w:rPr>
          <w:rStyle w:val="Bodytext1"/>
        </w:rPr>
        <w:t>Smluvní partner je povinen na základě písemné žádosti bance umožnit přístup k vypůjčenému terminálu za účelem kontroly způsobu jeho užívání.</w:t>
      </w:r>
    </w:p>
    <w:p w14:paraId="5B0E23B4" w14:textId="77777777" w:rsidR="00001748" w:rsidRDefault="00000000">
      <w:pPr>
        <w:pStyle w:val="Bodytext10"/>
        <w:numPr>
          <w:ilvl w:val="1"/>
          <w:numId w:val="1"/>
        </w:numPr>
        <w:tabs>
          <w:tab w:val="left" w:pos="435"/>
        </w:tabs>
        <w:ind w:left="400" w:hanging="400"/>
        <w:jc w:val="both"/>
      </w:pPr>
      <w:r>
        <w:rPr>
          <w:rStyle w:val="Bodytext1"/>
        </w:rPr>
        <w:t>Smluvní partner se zavazuje převzít terminál a jeho převzetí potvrdit podpisem instalačního protokolu. Převzetí je platné i v případě, že jej učinila jakákoliv osoba přítomná na obchodním místě, ledaže by pracovník servisní společnosti musel vědět, že k tomuto není oprávněna.</w:t>
      </w:r>
    </w:p>
    <w:p w14:paraId="487C879B" w14:textId="77777777" w:rsidR="00001748" w:rsidRDefault="00000000">
      <w:pPr>
        <w:pStyle w:val="Bodytext10"/>
        <w:numPr>
          <w:ilvl w:val="1"/>
          <w:numId w:val="1"/>
        </w:numPr>
        <w:tabs>
          <w:tab w:val="left" w:pos="428"/>
        </w:tabs>
        <w:jc w:val="both"/>
      </w:pPr>
      <w:r>
        <w:rPr>
          <w:rStyle w:val="Bodytext1"/>
        </w:rPr>
        <w:t>Smluvní partner nesmí provádět žádné úpravy nebo zásahy do terminálu.</w:t>
      </w:r>
    </w:p>
    <w:p w14:paraId="6C6B2FA1" w14:textId="77777777" w:rsidR="00001748" w:rsidRDefault="00000000">
      <w:pPr>
        <w:pStyle w:val="Bodytext10"/>
        <w:numPr>
          <w:ilvl w:val="1"/>
          <w:numId w:val="1"/>
        </w:numPr>
        <w:tabs>
          <w:tab w:val="left" w:pos="428"/>
        </w:tabs>
        <w:spacing w:after="200"/>
        <w:jc w:val="both"/>
      </w:pPr>
      <w:r>
        <w:rPr>
          <w:rStyle w:val="Bodytext1"/>
        </w:rPr>
        <w:t>Smluvní partner se zavazuje nezastavit terminál nebo jej nezatížit žádnými právy třetích osob.</w:t>
      </w:r>
    </w:p>
    <w:p w14:paraId="670F2A06" w14:textId="77777777" w:rsidR="00001748" w:rsidRDefault="00000000">
      <w:pPr>
        <w:pStyle w:val="Heading410"/>
        <w:keepNext/>
        <w:keepLines/>
        <w:numPr>
          <w:ilvl w:val="0"/>
          <w:numId w:val="1"/>
        </w:numPr>
        <w:tabs>
          <w:tab w:val="left" w:pos="425"/>
        </w:tabs>
        <w:jc w:val="both"/>
      </w:pPr>
      <w:bookmarkStart w:id="7" w:name="bookmark14"/>
      <w:r>
        <w:rPr>
          <w:rStyle w:val="Heading41"/>
          <w:b/>
          <w:bCs/>
        </w:rPr>
        <w:t>Povinnosti Banky</w:t>
      </w:r>
      <w:bookmarkEnd w:id="7"/>
    </w:p>
    <w:p w14:paraId="4BCC0FCE" w14:textId="77777777" w:rsidR="00001748" w:rsidRDefault="00000000">
      <w:pPr>
        <w:pStyle w:val="Bodytext10"/>
        <w:numPr>
          <w:ilvl w:val="1"/>
          <w:numId w:val="1"/>
        </w:numPr>
        <w:tabs>
          <w:tab w:val="left" w:pos="428"/>
        </w:tabs>
        <w:ind w:left="400" w:hanging="400"/>
        <w:jc w:val="both"/>
      </w:pPr>
      <w:r>
        <w:rPr>
          <w:rStyle w:val="Bodytext1"/>
        </w:rPr>
        <w:t>Banka se zavazuje zapůjčit Smluvnímu partnerovi terminál, který bude ve stavu způsobilém k řádnému užívání v České republice.</w:t>
      </w:r>
    </w:p>
    <w:p w14:paraId="6E8733B1" w14:textId="77777777" w:rsidR="00001748" w:rsidRDefault="00000000">
      <w:pPr>
        <w:pStyle w:val="Bodytext10"/>
        <w:numPr>
          <w:ilvl w:val="1"/>
          <w:numId w:val="1"/>
        </w:numPr>
        <w:tabs>
          <w:tab w:val="left" w:pos="428"/>
        </w:tabs>
        <w:jc w:val="both"/>
      </w:pPr>
      <w:r>
        <w:rPr>
          <w:rStyle w:val="Bodytext1"/>
        </w:rPr>
        <w:t>Banka se zavazuje zajistit instalaci terminálu prostřednictvím jí určené servisní organizace.</w:t>
      </w:r>
    </w:p>
    <w:p w14:paraId="53D6EFAE" w14:textId="77777777" w:rsidR="00001748" w:rsidRDefault="00000000">
      <w:pPr>
        <w:pStyle w:val="Bodytext10"/>
        <w:numPr>
          <w:ilvl w:val="1"/>
          <w:numId w:val="1"/>
        </w:numPr>
        <w:tabs>
          <w:tab w:val="left" w:pos="428"/>
        </w:tabs>
        <w:spacing w:after="200"/>
        <w:ind w:left="400" w:hanging="400"/>
        <w:jc w:val="both"/>
      </w:pPr>
      <w:r>
        <w:rPr>
          <w:rStyle w:val="Bodytext1"/>
        </w:rPr>
        <w:t>Banka se zavazuje zajistit provádění, technického servisu na vypůjčených terminálech. Související telefonickou hotline linku a službu bude Banka zajišťovat na své náklady.</w:t>
      </w:r>
    </w:p>
    <w:p w14:paraId="77B5D314" w14:textId="77777777" w:rsidR="00001748" w:rsidRDefault="00000000">
      <w:pPr>
        <w:pStyle w:val="Heading410"/>
        <w:keepNext/>
        <w:keepLines/>
        <w:numPr>
          <w:ilvl w:val="0"/>
          <w:numId w:val="1"/>
        </w:numPr>
        <w:tabs>
          <w:tab w:val="left" w:pos="425"/>
        </w:tabs>
        <w:jc w:val="both"/>
      </w:pPr>
      <w:bookmarkStart w:id="8" w:name="bookmark16"/>
      <w:r>
        <w:rPr>
          <w:rStyle w:val="Heading41"/>
          <w:b/>
          <w:bCs/>
        </w:rPr>
        <w:t>Ukončení výpůjčky</w:t>
      </w:r>
      <w:bookmarkEnd w:id="8"/>
    </w:p>
    <w:p w14:paraId="156FA38C" w14:textId="77777777" w:rsidR="00001748" w:rsidRDefault="00000000">
      <w:pPr>
        <w:pStyle w:val="Bodytext10"/>
        <w:numPr>
          <w:ilvl w:val="1"/>
          <w:numId w:val="1"/>
        </w:numPr>
        <w:tabs>
          <w:tab w:val="left" w:pos="428"/>
        </w:tabs>
        <w:jc w:val="both"/>
      </w:pPr>
      <w:r>
        <w:rPr>
          <w:rStyle w:val="Bodytext1"/>
        </w:rPr>
        <w:t>Tato dohoda zanikne současně se Smlouvou o přijímání platebních karet.</w:t>
      </w:r>
    </w:p>
    <w:p w14:paraId="76E2004E" w14:textId="77777777" w:rsidR="00001748" w:rsidRDefault="00000000">
      <w:pPr>
        <w:pStyle w:val="Bodytext10"/>
        <w:numPr>
          <w:ilvl w:val="1"/>
          <w:numId w:val="1"/>
        </w:numPr>
        <w:tabs>
          <w:tab w:val="left" w:pos="428"/>
        </w:tabs>
        <w:ind w:left="400" w:hanging="400"/>
        <w:jc w:val="both"/>
      </w:pPr>
      <w:r>
        <w:rPr>
          <w:rStyle w:val="Bodytext1"/>
        </w:rPr>
        <w:t>Banka je oprávněna požadovat vrácení terminálu, užívá-li jej Smluvní partner takovým způsobem, že bance vzniká škoda nebo že jí tímto škoda hrozí.</w:t>
      </w:r>
    </w:p>
    <w:p w14:paraId="5732B75B" w14:textId="77777777" w:rsidR="00001748" w:rsidRDefault="00000000">
      <w:pPr>
        <w:pStyle w:val="Bodytext10"/>
        <w:numPr>
          <w:ilvl w:val="1"/>
          <w:numId w:val="1"/>
        </w:numPr>
        <w:tabs>
          <w:tab w:val="left" w:pos="428"/>
        </w:tabs>
        <w:ind w:left="400" w:hanging="400"/>
        <w:jc w:val="both"/>
      </w:pPr>
      <w:r>
        <w:rPr>
          <w:rStyle w:val="Bodytext1"/>
        </w:rPr>
        <w:t>Banka je oprávněna od této dohody odstoupit v případě, že Smluvní partner porušuje své povinnosti stanovené v čl. 4.</w:t>
      </w:r>
    </w:p>
    <w:p w14:paraId="4FB1042F" w14:textId="77777777" w:rsidR="00001748" w:rsidRDefault="00000000">
      <w:pPr>
        <w:pStyle w:val="Bodytext10"/>
        <w:numPr>
          <w:ilvl w:val="1"/>
          <w:numId w:val="1"/>
        </w:numPr>
        <w:tabs>
          <w:tab w:val="left" w:pos="428"/>
        </w:tabs>
        <w:jc w:val="both"/>
      </w:pPr>
      <w:r>
        <w:rPr>
          <w:rStyle w:val="Bodytext1"/>
        </w:rPr>
        <w:t>Banka i Smluvní partner mají právo ukončit výpůjčku třeba jen jednoho nebo několika terminálů.</w:t>
      </w:r>
    </w:p>
    <w:p w14:paraId="54FA6F04" w14:textId="77777777" w:rsidR="00001748" w:rsidRDefault="00000000">
      <w:pPr>
        <w:pStyle w:val="Bodytext10"/>
        <w:numPr>
          <w:ilvl w:val="1"/>
          <w:numId w:val="1"/>
        </w:numPr>
        <w:tabs>
          <w:tab w:val="left" w:pos="428"/>
        </w:tabs>
        <w:spacing w:after="200"/>
        <w:ind w:left="400" w:hanging="400"/>
        <w:jc w:val="both"/>
      </w:pPr>
      <w:r>
        <w:rPr>
          <w:rStyle w:val="Bodytext1"/>
        </w:rPr>
        <w:t>Výpůjčka konkrétního terminálu je ukončena v okamžiku sepsaní předávacího protokolu, je-li vracený terminál bez závad, popř. v okamžiku zaplacení smluvní pokuty podle čl. 7.3 v případě zničení, ztráty nebo odcizení terminálu.</w:t>
      </w:r>
    </w:p>
    <w:p w14:paraId="2681D488" w14:textId="77777777" w:rsidR="00001748" w:rsidRDefault="00000000">
      <w:pPr>
        <w:pStyle w:val="Heading410"/>
        <w:keepNext/>
        <w:keepLines/>
        <w:numPr>
          <w:ilvl w:val="0"/>
          <w:numId w:val="1"/>
        </w:numPr>
        <w:tabs>
          <w:tab w:val="left" w:pos="425"/>
        </w:tabs>
        <w:jc w:val="both"/>
      </w:pPr>
      <w:bookmarkStart w:id="9" w:name="bookmark18"/>
      <w:r>
        <w:rPr>
          <w:rStyle w:val="Heading41"/>
          <w:b/>
          <w:bCs/>
        </w:rPr>
        <w:t>Vrácení/odinstalace terminálu</w:t>
      </w:r>
      <w:bookmarkEnd w:id="9"/>
    </w:p>
    <w:p w14:paraId="5DC32458" w14:textId="77777777" w:rsidR="00001748" w:rsidRDefault="00000000">
      <w:pPr>
        <w:pStyle w:val="Bodytext10"/>
        <w:numPr>
          <w:ilvl w:val="1"/>
          <w:numId w:val="1"/>
        </w:numPr>
        <w:tabs>
          <w:tab w:val="left" w:pos="428"/>
        </w:tabs>
        <w:ind w:left="400" w:hanging="400"/>
        <w:jc w:val="both"/>
      </w:pPr>
      <w:r>
        <w:rPr>
          <w:rStyle w:val="Bodytext1"/>
        </w:rPr>
        <w:t>Při ukončení výpůjčky je Smluvní partner povinen vrátit terminál bance v původním stavu, s přihlédnutím k obvyklému opotřebení, a to nejpozději následující pracovní den po dni skončení platnosti této dohody.</w:t>
      </w:r>
    </w:p>
    <w:p w14:paraId="225633FD" w14:textId="77777777" w:rsidR="00001748" w:rsidRDefault="00000000">
      <w:pPr>
        <w:pStyle w:val="Bodytext10"/>
        <w:numPr>
          <w:ilvl w:val="1"/>
          <w:numId w:val="1"/>
        </w:numPr>
        <w:tabs>
          <w:tab w:val="left" w:pos="428"/>
        </w:tabs>
        <w:ind w:left="400" w:hanging="400"/>
        <w:jc w:val="both"/>
      </w:pPr>
      <w:r>
        <w:rPr>
          <w:rStyle w:val="Bodytext1"/>
        </w:rPr>
        <w:t>V případě prodlení s vrácením terminálu zavazuje se Smluvní partner zaplatit bance smluvní pokutu ve výši 120 Kč za každý započatý den prodlení.</w:t>
      </w:r>
    </w:p>
    <w:p w14:paraId="60153997" w14:textId="77777777" w:rsidR="00001748" w:rsidRDefault="00000000">
      <w:pPr>
        <w:pStyle w:val="Bodytext10"/>
        <w:numPr>
          <w:ilvl w:val="1"/>
          <w:numId w:val="1"/>
        </w:numPr>
        <w:tabs>
          <w:tab w:val="left" w:pos="428"/>
        </w:tabs>
        <w:ind w:left="400" w:hanging="400"/>
        <w:jc w:val="both"/>
      </w:pPr>
      <w:r>
        <w:rPr>
          <w:rStyle w:val="Bodytext1"/>
        </w:rPr>
        <w:t>V případě zničení, ztráty nebo odcizení terminálu se Smluvní partner zavazuje zaplatit bance smluvní pokutu ve výši 9 000 Kč. Stejnou výši pokuty je Smluvní partner povinen uhradit bance i v případě, že je v prodlení s navrácením terminálu delším než 30 dní od písemného vyzvání Bankou.</w:t>
      </w:r>
    </w:p>
    <w:p w14:paraId="294F370A" w14:textId="77777777" w:rsidR="00001748" w:rsidRDefault="00000000">
      <w:pPr>
        <w:pStyle w:val="Bodytext10"/>
        <w:numPr>
          <w:ilvl w:val="1"/>
          <w:numId w:val="1"/>
        </w:numPr>
        <w:tabs>
          <w:tab w:val="left" w:pos="428"/>
        </w:tabs>
        <w:ind w:left="400" w:hanging="400"/>
        <w:jc w:val="both"/>
      </w:pPr>
      <w:r>
        <w:rPr>
          <w:rStyle w:val="Bodytext1"/>
        </w:rPr>
        <w:t>V případě, že Smluvní partner ukončí svoji podnikatelskou činnost na obchodním místě, kde je terminál nainstalován či nastane jakákoliv jiná situace, ze které vyplyne, že vypůjčené terminály již nebude pravidelně využívat, je Smluvní partner povinen bez zbytečného odkladu tuto skutečnost sdělit Bance. V případě, že klient Bance tuto skutečnost neohlásí ani po výzvě Banky nevrátí zapůjčené zařízení, je Banka oprávněna požadovat po Smluvním partnerovi smluvní pokutu ve výši 9 000 Kč/terminál.</w:t>
      </w:r>
    </w:p>
    <w:p w14:paraId="5EFF44A9" w14:textId="77777777" w:rsidR="00001748" w:rsidRDefault="00000000">
      <w:pPr>
        <w:pStyle w:val="Bodytext10"/>
        <w:numPr>
          <w:ilvl w:val="1"/>
          <w:numId w:val="1"/>
        </w:numPr>
        <w:tabs>
          <w:tab w:val="left" w:pos="428"/>
        </w:tabs>
        <w:ind w:left="400" w:hanging="400"/>
        <w:jc w:val="both"/>
      </w:pPr>
      <w:r>
        <w:rPr>
          <w:rStyle w:val="Bodytext1"/>
        </w:rPr>
        <w:t xml:space="preserve">Vrácení terminálů Smluvním partnerem probíhá podle dohody Banky se Smluvním partnerem buď odinstalací terminálu u Smluvního partnera prostřednictvím servisní organizace Banky, nebo vrácením terminálu se všemi jeho součástmi v pobočkách Banky. </w:t>
      </w:r>
      <w:proofErr w:type="spellStart"/>
      <w:r>
        <w:rPr>
          <w:rStyle w:val="Bodytext1"/>
        </w:rPr>
        <w:t>Odinstalační</w:t>
      </w:r>
      <w:proofErr w:type="spellEnd"/>
      <w:r>
        <w:rPr>
          <w:rStyle w:val="Bodytext1"/>
        </w:rPr>
        <w:t xml:space="preserve"> náklady při odinstalací servisní organizací hradí Banka, pokud není dohodnuto jinak.</w:t>
      </w:r>
    </w:p>
    <w:p w14:paraId="01F9F2EC" w14:textId="77777777" w:rsidR="00001748" w:rsidRDefault="00000000">
      <w:pPr>
        <w:pStyle w:val="Bodytext10"/>
        <w:numPr>
          <w:ilvl w:val="1"/>
          <w:numId w:val="1"/>
        </w:numPr>
        <w:tabs>
          <w:tab w:val="left" w:pos="428"/>
        </w:tabs>
        <w:spacing w:after="200"/>
        <w:jc w:val="both"/>
      </w:pPr>
      <w:r>
        <w:rPr>
          <w:rStyle w:val="Bodytext1"/>
        </w:rPr>
        <w:t>O vrácení terminálu bude sepsán předávací protokol podepsaný zástupcem Smluvního partnera a Banky.</w:t>
      </w:r>
    </w:p>
    <w:p w14:paraId="6CE8EDF2" w14:textId="77777777" w:rsidR="00001748" w:rsidRDefault="00000000">
      <w:pPr>
        <w:pStyle w:val="Heading410"/>
        <w:keepNext/>
        <w:keepLines/>
        <w:numPr>
          <w:ilvl w:val="0"/>
          <w:numId w:val="1"/>
        </w:numPr>
        <w:tabs>
          <w:tab w:val="left" w:pos="425"/>
        </w:tabs>
        <w:jc w:val="both"/>
      </w:pPr>
      <w:bookmarkStart w:id="10" w:name="bookmark20"/>
      <w:r>
        <w:rPr>
          <w:rStyle w:val="Heading41"/>
          <w:b/>
          <w:bCs/>
        </w:rPr>
        <w:t>Závěrečná ustanovení</w:t>
      </w:r>
      <w:bookmarkEnd w:id="10"/>
    </w:p>
    <w:p w14:paraId="3EFD4F2F" w14:textId="77777777" w:rsidR="00001748" w:rsidRDefault="00000000">
      <w:pPr>
        <w:pStyle w:val="Bodytext10"/>
        <w:numPr>
          <w:ilvl w:val="1"/>
          <w:numId w:val="1"/>
        </w:numPr>
        <w:tabs>
          <w:tab w:val="left" w:pos="428"/>
        </w:tabs>
        <w:jc w:val="both"/>
      </w:pPr>
      <w:r>
        <w:rPr>
          <w:rStyle w:val="Bodytext1"/>
        </w:rPr>
        <w:t>Tato dohoda je vyhotovena ve dvou stejnopisech, z nichž každá strana si ponechá po jednom vyhotovení.</w:t>
      </w:r>
    </w:p>
    <w:p w14:paraId="16D388A1" w14:textId="77777777" w:rsidR="00001748" w:rsidRDefault="00000000">
      <w:pPr>
        <w:pStyle w:val="Bodytext10"/>
        <w:numPr>
          <w:ilvl w:val="1"/>
          <w:numId w:val="1"/>
        </w:numPr>
        <w:tabs>
          <w:tab w:val="left" w:pos="428"/>
        </w:tabs>
        <w:jc w:val="both"/>
      </w:pPr>
      <w:r>
        <w:rPr>
          <w:rStyle w:val="Bodytext1"/>
        </w:rPr>
        <w:t>Tato dohoda nabývá platnosti dnem podpisu oběma smluvními stranami.</w:t>
      </w:r>
    </w:p>
    <w:p w14:paraId="4C2D5810" w14:textId="77777777" w:rsidR="00001748" w:rsidRDefault="00000000">
      <w:pPr>
        <w:pStyle w:val="Bodytext10"/>
        <w:numPr>
          <w:ilvl w:val="1"/>
          <w:numId w:val="1"/>
        </w:numPr>
        <w:tabs>
          <w:tab w:val="left" w:pos="428"/>
        </w:tabs>
        <w:spacing w:after="100"/>
        <w:ind w:left="400" w:hanging="400"/>
        <w:jc w:val="both"/>
      </w:pPr>
      <w:r>
        <w:rPr>
          <w:rStyle w:val="Bodytext1"/>
        </w:rPr>
        <w:t>Tato dohoda je účinná s ohledem na jednotlivé zapůjčené terminály dnem instalace zapůjčeného zařízení blíže specifikovaného v Protokolu o předání, instalaci a ověření provozní způsobilosti EFT/POS terminálu na přijímání platebních karet.</w:t>
      </w:r>
    </w:p>
    <w:p w14:paraId="240C19CF" w14:textId="2B41ECCE" w:rsidR="00001748" w:rsidRDefault="00001748">
      <w:pPr>
        <w:pStyle w:val="Bodytext20"/>
        <w:spacing w:after="200" w:line="240" w:lineRule="auto"/>
        <w:jc w:val="both"/>
      </w:pPr>
    </w:p>
    <w:p w14:paraId="7F46DB76" w14:textId="77777777" w:rsidR="00001748" w:rsidRDefault="00000000">
      <w:pPr>
        <w:pStyle w:val="Bodytext10"/>
        <w:numPr>
          <w:ilvl w:val="1"/>
          <w:numId w:val="1"/>
        </w:numPr>
        <w:tabs>
          <w:tab w:val="left" w:pos="502"/>
        </w:tabs>
      </w:pPr>
      <w:r>
        <w:rPr>
          <w:rStyle w:val="Bodytext1"/>
        </w:rPr>
        <w:t>Tato dohoda je nedílnou součástí Smlouvy o přijímání platebních karet.</w:t>
      </w:r>
    </w:p>
    <w:p w14:paraId="5C5E36BA" w14:textId="77777777" w:rsidR="00001748" w:rsidRDefault="00000000">
      <w:pPr>
        <w:pStyle w:val="Bodytext10"/>
        <w:numPr>
          <w:ilvl w:val="1"/>
          <w:numId w:val="1"/>
        </w:numPr>
        <w:tabs>
          <w:tab w:val="left" w:pos="495"/>
        </w:tabs>
        <w:ind w:left="480" w:hanging="480"/>
      </w:pPr>
      <w:r>
        <w:rPr>
          <w:rStyle w:val="Bodytext1"/>
        </w:rPr>
        <w:t>Smluvní partner není oprávněn převést práva a povinnosti uvedené v této dohodě na jiný subjekt bez předchozí písemné dohody s Bankou.</w:t>
      </w:r>
    </w:p>
    <w:p w14:paraId="256656F6" w14:textId="77777777" w:rsidR="00001748" w:rsidRDefault="00000000">
      <w:pPr>
        <w:pStyle w:val="Bodytext10"/>
        <w:numPr>
          <w:ilvl w:val="1"/>
          <w:numId w:val="1"/>
        </w:numPr>
        <w:tabs>
          <w:tab w:val="left" w:pos="495"/>
        </w:tabs>
      </w:pPr>
      <w:r>
        <w:rPr>
          <w:rStyle w:val="Bodytext1"/>
        </w:rPr>
        <w:t>Tato dohoda nahrazuje všechny dosud platné Dohody o výpůjčce terminálů sjednané v minulosti.</w:t>
      </w:r>
    </w:p>
    <w:p w14:paraId="6222E997" w14:textId="77777777" w:rsidR="00001748" w:rsidRDefault="00000000">
      <w:pPr>
        <w:pStyle w:val="Bodytext10"/>
        <w:numPr>
          <w:ilvl w:val="1"/>
          <w:numId w:val="1"/>
        </w:numPr>
        <w:tabs>
          <w:tab w:val="left" w:pos="495"/>
        </w:tabs>
      </w:pPr>
      <w:r>
        <w:rPr>
          <w:rStyle w:val="Bodytext1"/>
        </w:rPr>
        <w:t>Dodatky k této Dohodě musí mít písemnou formu a musí být podepsány oběma smluvními stranami.</w:t>
      </w:r>
    </w:p>
    <w:p w14:paraId="706837F8" w14:textId="77777777" w:rsidR="00001748" w:rsidRDefault="00000000">
      <w:pPr>
        <w:pStyle w:val="Bodytext10"/>
        <w:numPr>
          <w:ilvl w:val="1"/>
          <w:numId w:val="1"/>
        </w:numPr>
        <w:tabs>
          <w:tab w:val="left" w:pos="495"/>
        </w:tabs>
        <w:spacing w:after="200"/>
        <w:ind w:left="480" w:hanging="480"/>
      </w:pPr>
      <w:r>
        <w:rPr>
          <w:rStyle w:val="Bodytext1"/>
        </w:rPr>
        <w:lastRenderedPageBreak/>
        <w:t>Veškerá oznámení nebo jiná korespondence, která je vyžadována nebo dohodnuta na základě této smlouvy, bude prováděna v písemné podobě na adresy uvedené v záhlaví této Dohody.</w:t>
      </w:r>
    </w:p>
    <w:p w14:paraId="45A94FFF" w14:textId="77777777" w:rsidR="00256FFB" w:rsidRDefault="00000000">
      <w:pPr>
        <w:pStyle w:val="Bodytext10"/>
        <w:spacing w:after="720"/>
        <w:rPr>
          <w:rStyle w:val="Bodytext1"/>
        </w:rPr>
      </w:pPr>
      <w:r>
        <w:rPr>
          <w:noProof/>
        </w:rPr>
        <mc:AlternateContent>
          <mc:Choice Requires="wps">
            <w:drawing>
              <wp:anchor distT="0" distB="0" distL="0" distR="0" simplePos="0" relativeHeight="251658240" behindDoc="0" locked="0" layoutInCell="1" allowOverlap="1" wp14:anchorId="3BEC712F" wp14:editId="31175376">
                <wp:simplePos x="0" y="0"/>
                <wp:positionH relativeFrom="page">
                  <wp:posOffset>3997960</wp:posOffset>
                </wp:positionH>
                <wp:positionV relativeFrom="paragraph">
                  <wp:posOffset>139700</wp:posOffset>
                </wp:positionV>
                <wp:extent cx="877570" cy="155575"/>
                <wp:effectExtent l="0" t="0" r="0" b="0"/>
                <wp:wrapNone/>
                <wp:docPr id="9" name="Shape 9"/>
                <wp:cNvGraphicFramePr/>
                <a:graphic xmlns:a="http://schemas.openxmlformats.org/drawingml/2006/main">
                  <a:graphicData uri="http://schemas.microsoft.com/office/word/2010/wordprocessingShape">
                    <wps:wsp>
                      <wps:cNvSpPr txBox="1"/>
                      <wps:spPr>
                        <a:xfrm>
                          <a:off x="0" y="0"/>
                          <a:ext cx="877570" cy="155575"/>
                        </a:xfrm>
                        <a:prstGeom prst="rect">
                          <a:avLst/>
                        </a:prstGeom>
                        <a:noFill/>
                      </wps:spPr>
                      <wps:txbx>
                        <w:txbxContent>
                          <w:p w14:paraId="776B0205" w14:textId="77777777" w:rsidR="00001748" w:rsidRDefault="00000000">
                            <w:pPr>
                              <w:pStyle w:val="Picturecaption10"/>
                            </w:pPr>
                            <w:r>
                              <w:rPr>
                                <w:rStyle w:val="Picturecaption1"/>
                              </w:rPr>
                              <w:t>V Havířově dne</w:t>
                            </w:r>
                          </w:p>
                        </w:txbxContent>
                      </wps:txbx>
                      <wps:bodyPr lIns="0" tIns="0" rIns="0" bIns="0"/>
                    </wps:wsp>
                  </a:graphicData>
                </a:graphic>
              </wp:anchor>
            </w:drawing>
          </mc:Choice>
          <mc:Fallback>
            <w:pict>
              <v:shapetype w14:anchorId="3BEC712F" id="_x0000_t202" coordsize="21600,21600" o:spt="202" path="m,l,21600r21600,l21600,xe">
                <v:stroke joinstyle="miter"/>
                <v:path gradientshapeok="t" o:connecttype="rect"/>
              </v:shapetype>
              <v:shape id="Shape 9" o:spid="_x0000_s1026" type="#_x0000_t202" style="position:absolute;margin-left:314.8pt;margin-top:11pt;width:69.1pt;height:12.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s1bQEAANkCAAAOAAAAZHJzL2Uyb0RvYy54bWysUlFLwzAQfhf8DyHvrt2gdpS1AxkTQVSY&#10;/oAsTdZCkgtJXLt/76VrN9E38eX65S757rvvulr3WpGjcL4FU9L5LKVEGA51aw4l/Xjf3i0p8YGZ&#10;mikwoqQn4em6ur1ZdbYQC2hA1cIRJDG+6GxJmxBskSSeN0IzPwMrDBYlOM0CHt0hqR3rkF2rZJGm&#10;90kHrrYOuPAes5tzkVYDv5SCh1cpvQhElRS1hSG6Ie5jTKoVKw6O2ablowz2BxWatQabXqg2LDDy&#10;6dpfVLrlDjzIMOOgE5Cy5WKYAaeZpz+m2TXMimEWNMfbi03+/2j5y3Fn3xwJ/QP0uMBoSGd94TEZ&#10;5+ml0/GLSgnW0cLTxTbRB8IxuczzLMcKx9I8y7I8iyzJ9bF1PjwK0CSCkjrcymAWOz77cL46XYm9&#10;DGxbpWL+qiSi0O/7Ud4e6hOqVk8GvYh7nYCbwH4EEw36N2gadx0X9P08NLv+kdUXAAAA//8DAFBL&#10;AwQUAAYACAAAACEAHGbEeN4AAAAJAQAADwAAAGRycy9kb3ducmV2LnhtbEyPwU7DMBBE70j8g7VI&#10;3KhDBC4NcaqqKickRBoOHJ14m0SN1yF22/D3LCc4rnY0816+nt0gzjiF3pOG+0UCAqnxtqdWw0f1&#10;cvcEIkRD1gyeUMM3BlgX11e5yay/UInnfWwFl1DIjIYuxjGTMjQdOhMWfkTi38FPzkQ+p1bayVy4&#10;3A0yTRIlnemJFzoz4rbD5rg/OQ2bTyp3/ddb/V4eyr6qVgm9qqPWtzfz5hlExDn+heEXn9GhYKba&#10;n8gGMWhQ6UpxVEOashMHlmrJLrWGB/UIssjlf4PiBwAA//8DAFBLAQItABQABgAIAAAAIQC2gziS&#10;/gAAAOEBAAATAAAAAAAAAAAAAAAAAAAAAABbQ29udGVudF9UeXBlc10ueG1sUEsBAi0AFAAGAAgA&#10;AAAhADj9If/WAAAAlAEAAAsAAAAAAAAAAAAAAAAALwEAAF9yZWxzLy5yZWxzUEsBAi0AFAAGAAgA&#10;AAAhAFNuqzVtAQAA2QIAAA4AAAAAAAAAAAAAAAAALgIAAGRycy9lMm9Eb2MueG1sUEsBAi0AFAAG&#10;AAgAAAAhABxmxHjeAAAACQEAAA8AAAAAAAAAAAAAAAAAxwMAAGRycy9kb3ducmV2LnhtbFBLBQYA&#10;AAAABAAEAPMAAADSBAAAAAA=&#10;" filled="f" stroked="f">
                <v:textbox inset="0,0,0,0">
                  <w:txbxContent>
                    <w:p w14:paraId="776B0205" w14:textId="77777777" w:rsidR="00001748" w:rsidRDefault="00000000">
                      <w:pPr>
                        <w:pStyle w:val="Picturecaption10"/>
                      </w:pPr>
                      <w:r>
                        <w:rPr>
                          <w:rStyle w:val="Picturecaption1"/>
                        </w:rPr>
                        <w:t>V Havířově dne</w:t>
                      </w:r>
                    </w:p>
                  </w:txbxContent>
                </v:textbox>
                <w10:wrap anchorx="page"/>
              </v:shape>
            </w:pict>
          </mc:Fallback>
        </mc:AlternateContent>
      </w:r>
      <w:r>
        <w:rPr>
          <w:noProof/>
        </w:rPr>
        <mc:AlternateContent>
          <mc:Choice Requires="wps">
            <w:drawing>
              <wp:anchor distT="0" distB="0" distL="0" distR="0" simplePos="0" relativeHeight="251661312" behindDoc="0" locked="0" layoutInCell="1" allowOverlap="1" wp14:anchorId="57D6CE6E" wp14:editId="7BAACF43">
                <wp:simplePos x="0" y="0"/>
                <wp:positionH relativeFrom="page">
                  <wp:posOffset>4003040</wp:posOffset>
                </wp:positionH>
                <wp:positionV relativeFrom="paragraph">
                  <wp:posOffset>748665</wp:posOffset>
                </wp:positionV>
                <wp:extent cx="1124585" cy="155575"/>
                <wp:effectExtent l="0" t="0" r="0" b="0"/>
                <wp:wrapNone/>
                <wp:docPr id="19" name="Shape 19"/>
                <wp:cNvGraphicFramePr/>
                <a:graphic xmlns:a="http://schemas.openxmlformats.org/drawingml/2006/main">
                  <a:graphicData uri="http://schemas.microsoft.com/office/word/2010/wordprocessingShape">
                    <wps:wsp>
                      <wps:cNvSpPr txBox="1"/>
                      <wps:spPr>
                        <a:xfrm>
                          <a:off x="0" y="0"/>
                          <a:ext cx="1124585" cy="155575"/>
                        </a:xfrm>
                        <a:prstGeom prst="rect">
                          <a:avLst/>
                        </a:prstGeom>
                        <a:noFill/>
                      </wps:spPr>
                      <wps:txbx>
                        <w:txbxContent>
                          <w:p w14:paraId="466B62D1" w14:textId="77777777" w:rsidR="00001748" w:rsidRDefault="00000000">
                            <w:pPr>
                              <w:pStyle w:val="Picturecaption10"/>
                            </w:pPr>
                            <w:r>
                              <w:rPr>
                                <w:rStyle w:val="Picturecaption1"/>
                              </w:rPr>
                              <w:t>Nemocnice Havířov,</w:t>
                            </w:r>
                          </w:p>
                        </w:txbxContent>
                      </wps:txbx>
                      <wps:bodyPr lIns="0" tIns="0" rIns="0" bIns="0"/>
                    </wps:wsp>
                  </a:graphicData>
                </a:graphic>
              </wp:anchor>
            </w:drawing>
          </mc:Choice>
          <mc:Fallback>
            <w:pict>
              <v:shape w14:anchorId="57D6CE6E" id="Shape 19" o:spid="_x0000_s1027" type="#_x0000_t202" style="position:absolute;margin-left:315.2pt;margin-top:58.95pt;width:88.55pt;height:12.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KROcAEAAOECAAAOAAAAZHJzL2Uyb0RvYy54bWysUlFLwzAQfhf8DyHvru2wKmXtQMZEEBWm&#10;PyBNkzXQ5EIS1+7fe+nWbeib+HL9cpd89913XSwH3ZGdcF6BKWk2SykRhkOjzLaknx/rmwdKfGCm&#10;YR0YUdK98HRZXV8teluIObTQNcIRJDG+6G1J2xBskSSet0IzPwMrDBYlOM0CHt02aRzrkV13yTxN&#10;75IeXGMdcOE9ZleHIq1GfikFD29SehFIV1LUFsboxljHmFQLVmwds63iRxnsDyo0UwabnqhWLDDy&#10;5dQvKq24Aw8yzDjoBKRUXIwz4DRZ+mOaTcusGGdBc7w92eT/j5a/7jb23ZEwPMKAC4yG9NYXHpNx&#10;nkE6Hb+olGAdLdyfbBNDIDw+yua3+UNOCcdaluf5fR5pkvNr63x4EqBJBCV1uJbRLbZ78eFwdboS&#10;mxlYq66L+bOUiMJQD0Q1FzJraPaovns26Enc7wTcBOojmNjQx1HacedxUZfnsef5z6y+AQAA//8D&#10;AFBLAwQUAAYACAAAACEAB8D4J+AAAAALAQAADwAAAGRycy9kb3ducmV2LnhtbEyPwU7DMAyG70i8&#10;Q2QkbizZKN3WNZ0mBCckRFcOO6ZN1kZrnNJkW3l7zAmO9v/p9+d8O7meXcwYrEcJ85kAZrDx2mIr&#10;4bN6fVgBC1GhVr1HI+HbBNgWtze5yrS/Ymku+9gyKsGQKQldjEPGeWg641SY+cEgZUc/OhVpHFuu&#10;R3WlctfzhRApd8oiXejUYJ4705z2Zydhd8DyxX691x/lsbRVtRb4lp6kvL+bdhtg0UzxD4ZffVKH&#10;gpxqf0YdWC8hfRQJoRTMl2tgRKzE8glYTZtkkQAvcv7/h+IHAAD//wMAUEsBAi0AFAAGAAgAAAAh&#10;ALaDOJL+AAAA4QEAABMAAAAAAAAAAAAAAAAAAAAAAFtDb250ZW50X1R5cGVzXS54bWxQSwECLQAU&#10;AAYACAAAACEAOP0h/9YAAACUAQAACwAAAAAAAAAAAAAAAAAvAQAAX3JlbHMvLnJlbHNQSwECLQAU&#10;AAYACAAAACEANlCkTnABAADhAgAADgAAAAAAAAAAAAAAAAAuAgAAZHJzL2Uyb0RvYy54bWxQSwEC&#10;LQAUAAYACAAAACEAB8D4J+AAAAALAQAADwAAAAAAAAAAAAAAAADKAwAAZHJzL2Rvd25yZXYueG1s&#10;UEsFBgAAAAAEAAQA8wAAANcEAAAAAA==&#10;" filled="f" stroked="f">
                <v:textbox inset="0,0,0,0">
                  <w:txbxContent>
                    <w:p w14:paraId="466B62D1" w14:textId="77777777" w:rsidR="00001748" w:rsidRDefault="00000000">
                      <w:pPr>
                        <w:pStyle w:val="Picturecaption10"/>
                      </w:pPr>
                      <w:r>
                        <w:rPr>
                          <w:rStyle w:val="Picturecaption1"/>
                        </w:rPr>
                        <w:t>Nemocnice Havířov,</w:t>
                      </w:r>
                    </w:p>
                  </w:txbxContent>
                </v:textbox>
                <w10:wrap anchorx="page"/>
              </v:shape>
            </w:pict>
          </mc:Fallback>
        </mc:AlternateContent>
      </w:r>
      <w:r>
        <w:rPr>
          <w:noProof/>
        </w:rPr>
        <mc:AlternateContent>
          <mc:Choice Requires="wps">
            <w:drawing>
              <wp:anchor distT="0" distB="0" distL="0" distR="0" simplePos="0" relativeHeight="251662336" behindDoc="0" locked="0" layoutInCell="1" allowOverlap="1" wp14:anchorId="135F58E9" wp14:editId="4BE2930C">
                <wp:simplePos x="0" y="0"/>
                <wp:positionH relativeFrom="page">
                  <wp:posOffset>5247005</wp:posOffset>
                </wp:positionH>
                <wp:positionV relativeFrom="paragraph">
                  <wp:posOffset>748665</wp:posOffset>
                </wp:positionV>
                <wp:extent cx="1211580" cy="160020"/>
                <wp:effectExtent l="0" t="0" r="0" b="0"/>
                <wp:wrapNone/>
                <wp:docPr id="21" name="Shape 21"/>
                <wp:cNvGraphicFramePr/>
                <a:graphic xmlns:a="http://schemas.openxmlformats.org/drawingml/2006/main">
                  <a:graphicData uri="http://schemas.microsoft.com/office/word/2010/wordprocessingShape">
                    <wps:wsp>
                      <wps:cNvSpPr txBox="1"/>
                      <wps:spPr>
                        <a:xfrm>
                          <a:off x="0" y="0"/>
                          <a:ext cx="1211580" cy="160020"/>
                        </a:xfrm>
                        <a:prstGeom prst="rect">
                          <a:avLst/>
                        </a:prstGeom>
                        <a:noFill/>
                      </wps:spPr>
                      <wps:txbx>
                        <w:txbxContent>
                          <w:p w14:paraId="361CBA94" w14:textId="77777777" w:rsidR="00001748" w:rsidRDefault="00000000">
                            <w:pPr>
                              <w:pStyle w:val="Picturecaption10"/>
                            </w:pPr>
                            <w:proofErr w:type="spellStart"/>
                            <w:r>
                              <w:rPr>
                                <w:rStyle w:val="Picturecaption1"/>
                              </w:rPr>
                              <w:t>íspěvková</w:t>
                            </w:r>
                            <w:proofErr w:type="spellEnd"/>
                            <w:r>
                              <w:rPr>
                                <w:rStyle w:val="Picturecaption1"/>
                              </w:rPr>
                              <w:t xml:space="preserve"> organizace</w:t>
                            </w:r>
                          </w:p>
                        </w:txbxContent>
                      </wps:txbx>
                      <wps:bodyPr lIns="0" tIns="0" rIns="0" bIns="0"/>
                    </wps:wsp>
                  </a:graphicData>
                </a:graphic>
              </wp:anchor>
            </w:drawing>
          </mc:Choice>
          <mc:Fallback>
            <w:pict>
              <v:shape w14:anchorId="135F58E9" id="Shape 21" o:spid="_x0000_s1028" type="#_x0000_t202" style="position:absolute;margin-left:413.15pt;margin-top:58.95pt;width:95.4pt;height:12.6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AzcQEAAOECAAAOAAAAZHJzL2Uyb0RvYy54bWysUl1LwzAUfRf8DyHvrh/gGGXtQMZEEBXU&#10;H5CmyRpockMS1+7fexPXTfRNfLk9uTc599xzu95MeiAH4bwCU9NikVMiDIdOmX1N3992NytKfGCm&#10;YwMYUdOj8HTTXF+tR1uJEnoYOuEIkhhfjbamfQi2yjLPe6GZX4AVBosSnGYBj26fdY6NyK6HrMzz&#10;ZTaC66wDLrzH7ParSJvEL6Xg4VlKLwIZaoraQoouxTbGrFmzau+Y7RU/yWB/UKGZMtj0TLVlgZEP&#10;p35RacUdeJBhwUFnIKXiIs2A0xT5j2lee2ZFmgXN8fZsk/8/Wv50eLUvjoTpDiZcYDRktL7ymIzz&#10;TNLp+EWlBOto4fFsm5gC4fFRWRS3KyxxrBXLPC+Tr9nltXU+3AvQJIKaOlxLcosdHn3Ajnh1vhKb&#10;GdipYYj5i5SIwtRORHU1LWeZLXRHVD88GPQk7ncGbgbtCcxs6GPqd9p5XNT3c+p5+TObTwAAAP//&#10;AwBQSwMEFAAGAAgAAAAhAJWnBDzhAAAADAEAAA8AAABkcnMvZG93bnJldi54bWxMj8FOwzAMhu9I&#10;vENkJG4s6Ya6rTSdJgQnpGldOXBMG6+N1jilybby9mQnuNn6P/3+nG8m27MLjt44kpDMBDCkxmlD&#10;rYTP6v1pBcwHRVr1jlDCD3rYFPd3ucq0u1KJl0NoWSwhnykJXQhDxrlvOrTKz9yAFLOjG60KcR1b&#10;rkd1jeW253MhUm6VoXihUwO+dticDmcrYftF5Zv53tX78liaqloL+khPUj4+TNsXYAGn8AfDTT+q&#10;QxGdancm7VkvYTVPFxGNQbJcA7sRIlkmwOo4PS8S4EXO/z9R/AIAAP//AwBQSwECLQAUAAYACAAA&#10;ACEAtoM4kv4AAADhAQAAEwAAAAAAAAAAAAAAAAAAAAAAW0NvbnRlbnRfVHlwZXNdLnhtbFBLAQIt&#10;ABQABgAIAAAAIQA4/SH/1gAAAJQBAAALAAAAAAAAAAAAAAAAAC8BAABfcmVscy8ucmVsc1BLAQIt&#10;ABQABgAIAAAAIQCzPWAzcQEAAOECAAAOAAAAAAAAAAAAAAAAAC4CAABkcnMvZTJvRG9jLnhtbFBL&#10;AQItABQABgAIAAAAIQCVpwQ84QAAAAwBAAAPAAAAAAAAAAAAAAAAAMsDAABkcnMvZG93bnJldi54&#10;bWxQSwUGAAAAAAQABADzAAAA2QQAAAAA&#10;" filled="f" stroked="f">
                <v:textbox inset="0,0,0,0">
                  <w:txbxContent>
                    <w:p w14:paraId="361CBA94" w14:textId="77777777" w:rsidR="00001748" w:rsidRDefault="00000000">
                      <w:pPr>
                        <w:pStyle w:val="Picturecaption10"/>
                      </w:pPr>
                      <w:proofErr w:type="spellStart"/>
                      <w:r>
                        <w:rPr>
                          <w:rStyle w:val="Picturecaption1"/>
                        </w:rPr>
                        <w:t>íspěvková</w:t>
                      </w:r>
                      <w:proofErr w:type="spellEnd"/>
                      <w:r>
                        <w:rPr>
                          <w:rStyle w:val="Picturecaption1"/>
                        </w:rPr>
                        <w:t xml:space="preserve"> organizace</w:t>
                      </w:r>
                    </w:p>
                  </w:txbxContent>
                </v:textbox>
                <w10:wrap anchorx="page"/>
              </v:shape>
            </w:pict>
          </mc:Fallback>
        </mc:AlternateContent>
      </w:r>
      <w:r>
        <w:rPr>
          <w:rStyle w:val="Bodytext1"/>
        </w:rPr>
        <w:t xml:space="preserve">Zpracoval: </w:t>
      </w:r>
    </w:p>
    <w:p w14:paraId="6938176F" w14:textId="7F6AF797" w:rsidR="00001748" w:rsidRDefault="00000000">
      <w:pPr>
        <w:pStyle w:val="Bodytext10"/>
        <w:spacing w:after="720"/>
      </w:pPr>
      <w:r>
        <w:rPr>
          <w:rStyle w:val="Bodytext1"/>
        </w:rPr>
        <w:t xml:space="preserve">V Ostravě </w:t>
      </w:r>
      <w:proofErr w:type="spellStart"/>
      <w:r>
        <w:rPr>
          <w:rStyle w:val="Bodytext1"/>
        </w:rPr>
        <w:t>dn</w:t>
      </w:r>
      <w:proofErr w:type="spellEnd"/>
    </w:p>
    <w:p w14:paraId="27E7DE5C" w14:textId="020CD4AF" w:rsidR="00001748" w:rsidRDefault="00000000">
      <w:pPr>
        <w:pStyle w:val="Bodytext10"/>
      </w:pPr>
      <w:r>
        <w:rPr>
          <w:rStyle w:val="Bodytext1"/>
        </w:rPr>
        <w:t>UniCredit Bank/Czech Republic and Slovakia,</w:t>
      </w:r>
    </w:p>
    <w:p w14:paraId="054A2B85" w14:textId="77777777" w:rsidR="00001748" w:rsidRDefault="00000000">
      <w:pPr>
        <w:pStyle w:val="Heading310"/>
        <w:keepNext/>
        <w:keepLines/>
        <w:spacing w:before="620"/>
        <w:ind w:right="0"/>
      </w:pPr>
      <w:bookmarkStart w:id="11" w:name="bookmark22"/>
      <w:r>
        <w:rPr>
          <w:rStyle w:val="Heading31"/>
          <w:b/>
          <w:bCs/>
        </w:rPr>
        <w:t>Příloha č. 1</w:t>
      </w:r>
      <w:bookmarkEnd w:id="11"/>
    </w:p>
    <w:p w14:paraId="0974345C" w14:textId="77777777" w:rsidR="00001748" w:rsidRDefault="00000000">
      <w:pPr>
        <w:pStyle w:val="Bodytext10"/>
        <w:spacing w:after="200"/>
      </w:pPr>
      <w:r>
        <w:rPr>
          <w:rStyle w:val="Bodytext1"/>
          <w:b/>
          <w:bCs/>
        </w:rPr>
        <w:t>Požadavky Banky na připravenost obchodního místa k instalaci terminálu</w:t>
      </w:r>
    </w:p>
    <w:p w14:paraId="4A0952E3" w14:textId="77777777" w:rsidR="00001748" w:rsidRDefault="00000000">
      <w:pPr>
        <w:pStyle w:val="Bodytext10"/>
        <w:numPr>
          <w:ilvl w:val="0"/>
          <w:numId w:val="2"/>
        </w:numPr>
        <w:tabs>
          <w:tab w:val="left" w:pos="719"/>
        </w:tabs>
        <w:ind w:firstLine="380"/>
      </w:pPr>
      <w:r>
        <w:rPr>
          <w:rStyle w:val="Bodytext1"/>
          <w:b/>
          <w:bCs/>
        </w:rPr>
        <w:t xml:space="preserve">IP platební </w:t>
      </w:r>
      <w:proofErr w:type="gramStart"/>
      <w:r>
        <w:rPr>
          <w:rStyle w:val="Bodytext1"/>
          <w:b/>
          <w:bCs/>
        </w:rPr>
        <w:t>terminál - komunikující</w:t>
      </w:r>
      <w:proofErr w:type="gramEnd"/>
      <w:r>
        <w:rPr>
          <w:rStyle w:val="Bodytext1"/>
          <w:b/>
          <w:bCs/>
        </w:rPr>
        <w:t xml:space="preserve"> prostřednictvím internetové linky</w:t>
      </w:r>
    </w:p>
    <w:p w14:paraId="62BDA169" w14:textId="77777777" w:rsidR="00001748" w:rsidRDefault="00000000">
      <w:pPr>
        <w:pStyle w:val="Bodytext10"/>
        <w:numPr>
          <w:ilvl w:val="0"/>
          <w:numId w:val="3"/>
        </w:numPr>
        <w:tabs>
          <w:tab w:val="left" w:pos="724"/>
        </w:tabs>
        <w:ind w:firstLine="380"/>
      </w:pPr>
      <w:r>
        <w:rPr>
          <w:rStyle w:val="Bodytext1"/>
        </w:rPr>
        <w:t>funkční síťová zásuvka (220 V) v dosahu 1,4 metru od místa používání EFT/POS</w:t>
      </w:r>
    </w:p>
    <w:p w14:paraId="1FE615E8" w14:textId="77777777" w:rsidR="00001748" w:rsidRDefault="00000000">
      <w:pPr>
        <w:pStyle w:val="Bodytext10"/>
        <w:numPr>
          <w:ilvl w:val="0"/>
          <w:numId w:val="3"/>
        </w:numPr>
        <w:tabs>
          <w:tab w:val="left" w:pos="744"/>
        </w:tabs>
        <w:ind w:left="720" w:hanging="320"/>
      </w:pPr>
      <w:r>
        <w:rPr>
          <w:rStyle w:val="Bodytext1"/>
        </w:rPr>
        <w:t xml:space="preserve">přivedený </w:t>
      </w:r>
      <w:proofErr w:type="gramStart"/>
      <w:r>
        <w:rPr>
          <w:rStyle w:val="Bodytext1"/>
        </w:rPr>
        <w:t>UTP - Patch</w:t>
      </w:r>
      <w:proofErr w:type="gramEnd"/>
      <w:r>
        <w:rPr>
          <w:rStyle w:val="Bodytext1"/>
        </w:rPr>
        <w:t xml:space="preserve"> kabel („síťový kabel“) na místo používání platebního terminálu (pult, pokladna atd.) nebo zásuvka s internetovou konektivitou v dosahu max. 3 m (modem, switch, router apod.) - naši technici jsou vybaveni kabelem v délce max. 3 m.</w:t>
      </w:r>
    </w:p>
    <w:p w14:paraId="58E33A2C" w14:textId="77777777" w:rsidR="00001748" w:rsidRDefault="00000000">
      <w:pPr>
        <w:pStyle w:val="Bodytext10"/>
        <w:numPr>
          <w:ilvl w:val="0"/>
          <w:numId w:val="3"/>
        </w:numPr>
        <w:tabs>
          <w:tab w:val="left" w:pos="737"/>
        </w:tabs>
        <w:ind w:left="720" w:hanging="320"/>
      </w:pPr>
      <w:r>
        <w:rPr>
          <w:rStyle w:val="Bodytext1"/>
        </w:rPr>
        <w:t>povolená odchozí komunikace pro EFT POS terminál, na cílové adresy: 194.228.123.36, 194.228.123.45, 195.146.142.82, 195.146.142.98</w:t>
      </w:r>
    </w:p>
    <w:p w14:paraId="203BA279" w14:textId="77777777" w:rsidR="00001748" w:rsidRDefault="00000000">
      <w:pPr>
        <w:pStyle w:val="Bodytext10"/>
        <w:numPr>
          <w:ilvl w:val="0"/>
          <w:numId w:val="3"/>
        </w:numPr>
        <w:tabs>
          <w:tab w:val="left" w:pos="724"/>
        </w:tabs>
        <w:ind w:firstLine="380"/>
      </w:pPr>
      <w:r>
        <w:rPr>
          <w:rStyle w:val="Bodytext1"/>
        </w:rPr>
        <w:t>terminál podporuje DHCP (dynamicky přidělovanou) nebo statickou IP adresaci</w:t>
      </w:r>
    </w:p>
    <w:p w14:paraId="2AD4B26E" w14:textId="77777777" w:rsidR="00001748" w:rsidRDefault="00000000">
      <w:pPr>
        <w:pStyle w:val="Bodytext10"/>
        <w:numPr>
          <w:ilvl w:val="0"/>
          <w:numId w:val="3"/>
        </w:numPr>
        <w:tabs>
          <w:tab w:val="left" w:pos="724"/>
        </w:tabs>
        <w:ind w:firstLine="380"/>
      </w:pPr>
      <w:r>
        <w:rPr>
          <w:rStyle w:val="Bodytext1"/>
        </w:rPr>
        <w:t>terminál nevyžaduje žádné porty pro příchozí komunikaci</w:t>
      </w:r>
    </w:p>
    <w:p w14:paraId="3CCE01D3" w14:textId="77777777" w:rsidR="00001748" w:rsidRDefault="00000000">
      <w:pPr>
        <w:pStyle w:val="Bodytext10"/>
        <w:numPr>
          <w:ilvl w:val="0"/>
          <w:numId w:val="3"/>
        </w:numPr>
        <w:tabs>
          <w:tab w:val="left" w:pos="719"/>
        </w:tabs>
        <w:ind w:firstLine="380"/>
      </w:pPr>
      <w:r>
        <w:rPr>
          <w:rStyle w:val="Bodytext1"/>
        </w:rPr>
        <w:t>vybavenost provozovny pro umístění terminálu (prodejní pult, bar, pokladna apod.)</w:t>
      </w:r>
    </w:p>
    <w:p w14:paraId="4628C9A7" w14:textId="77777777" w:rsidR="00001748" w:rsidRDefault="00000000">
      <w:pPr>
        <w:pStyle w:val="Bodytext10"/>
        <w:numPr>
          <w:ilvl w:val="0"/>
          <w:numId w:val="3"/>
        </w:numPr>
        <w:tabs>
          <w:tab w:val="left" w:pos="744"/>
        </w:tabs>
        <w:spacing w:after="200"/>
        <w:ind w:left="720" w:hanging="320"/>
      </w:pPr>
      <w:r>
        <w:rPr>
          <w:rStyle w:val="Bodytext1"/>
        </w:rPr>
        <w:t>současně klient musí umožnit v čase instalace přístup do prostor provozovny pracovníkům servisní společnosti</w:t>
      </w:r>
    </w:p>
    <w:p w14:paraId="25CCE8E1" w14:textId="77777777" w:rsidR="00001748" w:rsidRDefault="00000000">
      <w:pPr>
        <w:pStyle w:val="Heading410"/>
        <w:keepNext/>
        <w:keepLines/>
        <w:numPr>
          <w:ilvl w:val="0"/>
          <w:numId w:val="2"/>
        </w:numPr>
        <w:tabs>
          <w:tab w:val="left" w:pos="719"/>
        </w:tabs>
        <w:ind w:firstLine="380"/>
      </w:pPr>
      <w:bookmarkStart w:id="12" w:name="bookmark24"/>
      <w:r>
        <w:rPr>
          <w:rStyle w:val="Heading41"/>
          <w:b/>
          <w:bCs/>
        </w:rPr>
        <w:t>GPRS platební terminál</w:t>
      </w:r>
      <w:bookmarkEnd w:id="12"/>
    </w:p>
    <w:p w14:paraId="410ED814" w14:textId="77777777" w:rsidR="00001748" w:rsidRDefault="00000000">
      <w:pPr>
        <w:pStyle w:val="Bodytext10"/>
        <w:numPr>
          <w:ilvl w:val="0"/>
          <w:numId w:val="4"/>
        </w:numPr>
        <w:tabs>
          <w:tab w:val="left" w:pos="724"/>
        </w:tabs>
        <w:ind w:firstLine="380"/>
      </w:pPr>
      <w:r>
        <w:rPr>
          <w:rStyle w:val="Bodytext1"/>
        </w:rPr>
        <w:t>dostatečný signál příslušného telekomunikačního operátora v místě instalace</w:t>
      </w:r>
    </w:p>
    <w:p w14:paraId="71845705" w14:textId="77777777" w:rsidR="00001748" w:rsidRDefault="00000000">
      <w:pPr>
        <w:pStyle w:val="Bodytext10"/>
        <w:numPr>
          <w:ilvl w:val="0"/>
          <w:numId w:val="4"/>
        </w:numPr>
        <w:tabs>
          <w:tab w:val="left" w:pos="719"/>
        </w:tabs>
        <w:ind w:firstLine="380"/>
      </w:pPr>
      <w:r>
        <w:rPr>
          <w:rStyle w:val="Bodytext1"/>
        </w:rPr>
        <w:t>potvrdit bance způsob pořízení SIM karty</w:t>
      </w:r>
    </w:p>
    <w:p w14:paraId="7D0B6043" w14:textId="77777777" w:rsidR="00001748" w:rsidRDefault="00000000">
      <w:pPr>
        <w:pStyle w:val="Bodytext10"/>
        <w:ind w:left="1460"/>
      </w:pPr>
      <w:r>
        <w:rPr>
          <w:rStyle w:val="Bodytext1"/>
        </w:rPr>
        <w:t xml:space="preserve">od Servisní organizace </w:t>
      </w:r>
      <w:proofErr w:type="spellStart"/>
      <w:r>
        <w:rPr>
          <w:rStyle w:val="Bodytext1"/>
        </w:rPr>
        <w:t>SoNet</w:t>
      </w:r>
      <w:proofErr w:type="spellEnd"/>
      <w:r>
        <w:rPr>
          <w:rStyle w:val="Bodytext1"/>
        </w:rPr>
        <w:t xml:space="preserve"> formou Smlouvy o poskytnutí SIM karty nebo</w:t>
      </w:r>
    </w:p>
    <w:p w14:paraId="3878D783" w14:textId="77777777" w:rsidR="00001748" w:rsidRDefault="00000000">
      <w:pPr>
        <w:pStyle w:val="Bodytext10"/>
        <w:ind w:left="1460"/>
      </w:pPr>
      <w:r>
        <w:rPr>
          <w:rStyle w:val="Bodytext1"/>
        </w:rPr>
        <w:t>ve vlastní režii Smluvního partnera</w:t>
      </w:r>
    </w:p>
    <w:p w14:paraId="0EF08918" w14:textId="77777777" w:rsidR="00001748" w:rsidRDefault="00000000">
      <w:pPr>
        <w:pStyle w:val="Bodytext10"/>
        <w:numPr>
          <w:ilvl w:val="0"/>
          <w:numId w:val="4"/>
        </w:numPr>
        <w:tabs>
          <w:tab w:val="left" w:pos="737"/>
        </w:tabs>
        <w:ind w:left="720" w:hanging="320"/>
      </w:pPr>
      <w:r>
        <w:rPr>
          <w:rStyle w:val="Bodytext1"/>
        </w:rPr>
        <w:t>v případě vlastní SIM karty nutno aktivovat datové služby (GPRS data) a pořídit SIM karty na paušální provoz</w:t>
      </w:r>
    </w:p>
    <w:p w14:paraId="3CC822A7" w14:textId="77777777" w:rsidR="00001748" w:rsidRDefault="00000000">
      <w:pPr>
        <w:pStyle w:val="Bodytext10"/>
        <w:numPr>
          <w:ilvl w:val="0"/>
          <w:numId w:val="4"/>
        </w:numPr>
        <w:tabs>
          <w:tab w:val="left" w:pos="724"/>
        </w:tabs>
        <w:ind w:firstLine="380"/>
      </w:pPr>
      <w:r>
        <w:rPr>
          <w:rStyle w:val="Bodytext1"/>
        </w:rPr>
        <w:t>vybavenost provozovny pro umístění terminálu (prodejní pult, bar, pokladna apod.)</w:t>
      </w:r>
    </w:p>
    <w:p w14:paraId="64E63EB3" w14:textId="77777777" w:rsidR="00001748" w:rsidRDefault="00000000">
      <w:pPr>
        <w:pStyle w:val="Bodytext10"/>
        <w:numPr>
          <w:ilvl w:val="0"/>
          <w:numId w:val="4"/>
        </w:numPr>
        <w:tabs>
          <w:tab w:val="left" w:pos="744"/>
        </w:tabs>
        <w:spacing w:after="200"/>
        <w:ind w:left="720" w:hanging="320"/>
      </w:pPr>
      <w:r>
        <w:rPr>
          <w:rStyle w:val="Bodytext1"/>
        </w:rPr>
        <w:t>současně klient musí umožnit v čase instalace přístup do prostor provozovny pracovníkům servisní společnosti</w:t>
      </w:r>
    </w:p>
    <w:p w14:paraId="700057A7" w14:textId="77777777" w:rsidR="00001748" w:rsidRDefault="00000000">
      <w:pPr>
        <w:pStyle w:val="Heading410"/>
        <w:keepNext/>
        <w:keepLines/>
        <w:numPr>
          <w:ilvl w:val="0"/>
          <w:numId w:val="2"/>
        </w:numPr>
        <w:tabs>
          <w:tab w:val="left" w:pos="719"/>
        </w:tabs>
        <w:ind w:firstLine="380"/>
      </w:pPr>
      <w:bookmarkStart w:id="13" w:name="bookmark26"/>
      <w:proofErr w:type="spellStart"/>
      <w:r>
        <w:rPr>
          <w:rStyle w:val="Heading41"/>
          <w:b/>
          <w:bCs/>
        </w:rPr>
        <w:t>WiFi</w:t>
      </w:r>
      <w:proofErr w:type="spellEnd"/>
      <w:r>
        <w:rPr>
          <w:rStyle w:val="Heading41"/>
          <w:b/>
          <w:bCs/>
        </w:rPr>
        <w:t xml:space="preserve"> platební terminál</w:t>
      </w:r>
      <w:bookmarkEnd w:id="13"/>
    </w:p>
    <w:p w14:paraId="582FA0D2" w14:textId="77777777" w:rsidR="00001748" w:rsidRDefault="00000000">
      <w:pPr>
        <w:pStyle w:val="Bodytext10"/>
        <w:numPr>
          <w:ilvl w:val="0"/>
          <w:numId w:val="5"/>
        </w:numPr>
        <w:tabs>
          <w:tab w:val="left" w:pos="724"/>
        </w:tabs>
        <w:ind w:firstLine="380"/>
      </w:pPr>
      <w:r>
        <w:rPr>
          <w:rStyle w:val="Bodytext1"/>
        </w:rPr>
        <w:t xml:space="preserve">dostatečné pokrytí </w:t>
      </w:r>
      <w:proofErr w:type="spellStart"/>
      <w:r>
        <w:rPr>
          <w:rStyle w:val="Bodytext1"/>
        </w:rPr>
        <w:t>WiFi</w:t>
      </w:r>
      <w:proofErr w:type="spellEnd"/>
      <w:r>
        <w:rPr>
          <w:rStyle w:val="Bodytext1"/>
        </w:rPr>
        <w:t xml:space="preserve"> signálem v místě akceptace karet</w:t>
      </w:r>
    </w:p>
    <w:p w14:paraId="36397B92" w14:textId="77777777" w:rsidR="00001748" w:rsidRDefault="00000000">
      <w:pPr>
        <w:pStyle w:val="Bodytext10"/>
        <w:numPr>
          <w:ilvl w:val="0"/>
          <w:numId w:val="5"/>
        </w:numPr>
        <w:tabs>
          <w:tab w:val="left" w:pos="719"/>
        </w:tabs>
        <w:ind w:firstLine="380"/>
      </w:pPr>
      <w:proofErr w:type="spellStart"/>
      <w:r>
        <w:rPr>
          <w:rStyle w:val="Bodytext1"/>
        </w:rPr>
        <w:t>WiFi</w:t>
      </w:r>
      <w:proofErr w:type="spellEnd"/>
      <w:r>
        <w:rPr>
          <w:rStyle w:val="Bodytext1"/>
        </w:rPr>
        <w:t xml:space="preserve"> síť pro platební terminál musí být vždy zabezpečená (WPA-TKIP-PSK nebo WPA2-AES-PSK)</w:t>
      </w:r>
    </w:p>
    <w:p w14:paraId="56465D5D" w14:textId="77777777" w:rsidR="00001748" w:rsidRDefault="00000000">
      <w:pPr>
        <w:pStyle w:val="Bodytext10"/>
        <w:numPr>
          <w:ilvl w:val="0"/>
          <w:numId w:val="5"/>
        </w:numPr>
        <w:tabs>
          <w:tab w:val="left" w:pos="737"/>
        </w:tabs>
        <w:ind w:left="720" w:hanging="320"/>
      </w:pPr>
      <w:r>
        <w:rPr>
          <w:rStyle w:val="Bodytext1"/>
        </w:rPr>
        <w:t xml:space="preserve">Název </w:t>
      </w:r>
      <w:proofErr w:type="spellStart"/>
      <w:r>
        <w:rPr>
          <w:rStyle w:val="Bodytext1"/>
        </w:rPr>
        <w:t>WiFi</w:t>
      </w:r>
      <w:proofErr w:type="spellEnd"/>
      <w:r>
        <w:rPr>
          <w:rStyle w:val="Bodytext1"/>
        </w:rPr>
        <w:t xml:space="preserve"> sítě a heslo nesmí obsahovat mezeru. Pro název </w:t>
      </w:r>
      <w:proofErr w:type="spellStart"/>
      <w:r>
        <w:rPr>
          <w:rStyle w:val="Bodytext1"/>
        </w:rPr>
        <w:t>WiFi</w:t>
      </w:r>
      <w:proofErr w:type="spellEnd"/>
      <w:r>
        <w:rPr>
          <w:rStyle w:val="Bodytext1"/>
        </w:rPr>
        <w:t xml:space="preserve"> sítě a heslo podporujeme pouze velká a malá písmena a číslice. Délka názvu sítě a hesla nesmí přesahovat 26 znaků.</w:t>
      </w:r>
    </w:p>
    <w:p w14:paraId="6478A401" w14:textId="77777777" w:rsidR="00001748" w:rsidRDefault="00000000">
      <w:pPr>
        <w:pStyle w:val="Bodytext10"/>
        <w:numPr>
          <w:ilvl w:val="0"/>
          <w:numId w:val="5"/>
        </w:numPr>
        <w:tabs>
          <w:tab w:val="left" w:pos="724"/>
        </w:tabs>
        <w:ind w:firstLine="380"/>
      </w:pPr>
      <w:r>
        <w:rPr>
          <w:rStyle w:val="Bodytext1"/>
        </w:rPr>
        <w:t>terminál podporuje DHCP (dynamicky přidělovanou) nebo statickou IP adresaci</w:t>
      </w:r>
    </w:p>
    <w:p w14:paraId="0338B7CC" w14:textId="77777777" w:rsidR="00001748" w:rsidRDefault="00000000">
      <w:pPr>
        <w:pStyle w:val="Bodytext10"/>
        <w:numPr>
          <w:ilvl w:val="0"/>
          <w:numId w:val="5"/>
        </w:numPr>
        <w:tabs>
          <w:tab w:val="left" w:pos="744"/>
        </w:tabs>
        <w:ind w:left="720" w:hanging="320"/>
      </w:pPr>
      <w:r>
        <w:rPr>
          <w:rStyle w:val="Bodytext1"/>
        </w:rPr>
        <w:t>povolená odchozí komunikace pro EFT POS terminál, na cílové adresy: 194.228.123.36, 194.228.123.45, 195.146.142.82, 195.146.142.98</w:t>
      </w:r>
    </w:p>
    <w:p w14:paraId="31EFC322" w14:textId="77777777" w:rsidR="00001748" w:rsidRDefault="00000000">
      <w:pPr>
        <w:pStyle w:val="Bodytext10"/>
        <w:numPr>
          <w:ilvl w:val="0"/>
          <w:numId w:val="5"/>
        </w:numPr>
        <w:tabs>
          <w:tab w:val="left" w:pos="719"/>
        </w:tabs>
        <w:ind w:firstLine="380"/>
      </w:pPr>
      <w:r>
        <w:rPr>
          <w:rStyle w:val="Bodytext1"/>
        </w:rPr>
        <w:t>terminál nevyžaduje žádné porty pro příchozí komunikaci</w:t>
      </w:r>
    </w:p>
    <w:p w14:paraId="561DC7C5" w14:textId="77777777" w:rsidR="00001748" w:rsidRDefault="00000000">
      <w:pPr>
        <w:pStyle w:val="Bodytext10"/>
        <w:numPr>
          <w:ilvl w:val="0"/>
          <w:numId w:val="5"/>
        </w:numPr>
        <w:tabs>
          <w:tab w:val="left" w:pos="724"/>
        </w:tabs>
        <w:ind w:firstLine="380"/>
      </w:pPr>
      <w:r>
        <w:rPr>
          <w:rStyle w:val="Bodytext1"/>
        </w:rPr>
        <w:t>vybavenost provozovny pro umístění terminálu (prodejní pult, bar, pokladna apod.)</w:t>
      </w:r>
    </w:p>
    <w:p w14:paraId="4F85A7EF" w14:textId="77777777" w:rsidR="00001748" w:rsidRDefault="00000000">
      <w:pPr>
        <w:pStyle w:val="Bodytext10"/>
        <w:numPr>
          <w:ilvl w:val="0"/>
          <w:numId w:val="5"/>
        </w:numPr>
        <w:tabs>
          <w:tab w:val="left" w:pos="737"/>
        </w:tabs>
        <w:spacing w:after="1740"/>
        <w:ind w:left="720" w:hanging="320"/>
      </w:pPr>
      <w:r>
        <w:rPr>
          <w:rStyle w:val="Bodytext1"/>
        </w:rPr>
        <w:t>současně klient musí umožnit v čase instalace přístup do prostor provozovny pracovníkům servisní společnosti</w:t>
      </w:r>
    </w:p>
    <w:p w14:paraId="691A7A23" w14:textId="77777777" w:rsidR="00001748" w:rsidRDefault="00001748">
      <w:pPr>
        <w:spacing w:line="159" w:lineRule="exact"/>
        <w:rPr>
          <w:sz w:val="13"/>
          <w:szCs w:val="13"/>
        </w:rPr>
      </w:pPr>
    </w:p>
    <w:p w14:paraId="3A48826E" w14:textId="276A9025" w:rsidR="00001748" w:rsidRDefault="00001748">
      <w:pPr>
        <w:spacing w:line="1" w:lineRule="exact"/>
      </w:pPr>
    </w:p>
    <w:p w14:paraId="0AC07760" w14:textId="77777777" w:rsidR="00001748" w:rsidRDefault="00001748">
      <w:pPr>
        <w:spacing w:line="1" w:lineRule="exact"/>
      </w:pPr>
    </w:p>
    <w:sectPr w:rsidR="00001748">
      <w:pgSz w:w="11900" w:h="16840"/>
      <w:pgMar w:top="932" w:right="1063" w:bottom="767" w:left="93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BB86" w14:textId="77777777" w:rsidR="006511E9" w:rsidRDefault="006511E9">
      <w:r>
        <w:separator/>
      </w:r>
    </w:p>
  </w:endnote>
  <w:endnote w:type="continuationSeparator" w:id="0">
    <w:p w14:paraId="55D51152" w14:textId="77777777" w:rsidR="006511E9" w:rsidRDefault="0065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4F2D" w14:textId="77777777" w:rsidR="00001748" w:rsidRDefault="0000174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90BD" w14:textId="77777777" w:rsidR="00001748" w:rsidRDefault="00000000">
    <w:pPr>
      <w:spacing w:line="1" w:lineRule="exact"/>
    </w:pPr>
    <w:r>
      <w:rPr>
        <w:noProof/>
      </w:rPr>
      <mc:AlternateContent>
        <mc:Choice Requires="wps">
          <w:drawing>
            <wp:anchor distT="0" distB="0" distL="0" distR="0" simplePos="0" relativeHeight="62914690" behindDoc="1" locked="0" layoutInCell="1" allowOverlap="1" wp14:anchorId="1114808A" wp14:editId="5A93E953">
              <wp:simplePos x="0" y="0"/>
              <wp:positionH relativeFrom="page">
                <wp:posOffset>6556375</wp:posOffset>
              </wp:positionH>
              <wp:positionV relativeFrom="page">
                <wp:posOffset>10180955</wp:posOffset>
              </wp:positionV>
              <wp:extent cx="15557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155575" cy="91440"/>
                      </a:xfrm>
                      <a:prstGeom prst="rect">
                        <a:avLst/>
                      </a:prstGeom>
                      <a:noFill/>
                    </wps:spPr>
                    <wps:txbx>
                      <w:txbxContent>
                        <w:p w14:paraId="39183AE3" w14:textId="77777777" w:rsidR="00001748"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/3</w:t>
                          </w:r>
                        </w:p>
                      </w:txbxContent>
                    </wps:txbx>
                    <wps:bodyPr wrap="none" lIns="0" tIns="0" rIns="0" bIns="0">
                      <a:spAutoFit/>
                    </wps:bodyPr>
                  </wps:wsp>
                </a:graphicData>
              </a:graphic>
            </wp:anchor>
          </w:drawing>
        </mc:Choice>
        <mc:Fallback>
          <w:pict>
            <v:shapetype w14:anchorId="1114808A" id="_x0000_t202" coordsize="21600,21600" o:spt="202" path="m,l,21600r21600,l21600,xe">
              <v:stroke joinstyle="miter"/>
              <v:path gradientshapeok="t" o:connecttype="rect"/>
            </v:shapetype>
            <v:shape id="Shape 1" o:spid="_x0000_s1029" type="#_x0000_t202" style="position:absolute;margin-left:516.25pt;margin-top:801.65pt;width:12.2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ygggEAAP4CAAAOAAAAZHJzL2Uyb0RvYy54bWysUttOwzAMfUfiH6K8s27TxqVaN4GmISQE&#10;SIMPyNJkrdTEUZyt3d/jhG5D8IZ4cRw7OT4+9mzRmYbtlccabMFHgyFnykooa7st+Mf76uqWMwzC&#10;lqIBqwp+UMgX88uLWetyNYYKmlJ5RiAW89YVvArB5VmGslJG4ACcspTU4I0IdPXbrPSiJXTTZOPh&#10;8DprwZfOg1SIFF1+Jfk84WutZHjVGlVgTcGJW0jWJ7uJNpvPRL71wlW17GmIP7AworZU9AS1FEGw&#10;na9/QZlaekDQYSDBZKB1LVXqgboZDX90s66EU6kXEgfdSSb8P1j5sl+7N89C9wAdDTAK0jrMkYKx&#10;n057E09iyihPEh5OsqkuMBk/TafTmylnklJ3o8kkqZqd/zqP4VGBYdEpuKehJK3E/hkD1aOnxyex&#10;lIVV3TQxfiYSvdBtup7dBsoDkW5pbgW3tFicNU+WZIkjPjr+6Gx6J4Kju98FKpDqRtQvqL4YiZzo&#10;9AsRp/j9nl6d13b+CQAA//8DAFBLAwQUAAYACAAAACEA1m195t8AAAAPAQAADwAAAGRycy9kb3du&#10;cmV2LnhtbEyPzU7DMBCE70i8g7VI3KjdRm2qEKdClbhwoyAkbm68jSP8E9lumrw9mxPcdnZHs9/U&#10;h8lZNmJMffAS1isBDH0bdO87CZ8fr097YCkrr5UNHiXMmODQ3N/VqtLh5t9xPOWOUYhPlZJgch4q&#10;zlNr0Km0CgN6ul1CdCqTjB3XUd0o3Fm+EWLHneo9fTBqwKPB9ud0dRLK6SvgkPCI35exjaaf9/Zt&#10;lvLxYXp5BpZxyn9mWPAJHRpiOoer14lZ0qLYbMlL004UBbDFI7YlFTwvu3VZAm9q/r9H8wsAAP//&#10;AwBQSwECLQAUAAYACAAAACEAtoM4kv4AAADhAQAAEwAAAAAAAAAAAAAAAAAAAAAAW0NvbnRlbnRf&#10;VHlwZXNdLnhtbFBLAQItABQABgAIAAAAIQA4/SH/1gAAAJQBAAALAAAAAAAAAAAAAAAAAC8BAABf&#10;cmVscy8ucmVsc1BLAQItABQABgAIAAAAIQC0pXygggEAAP4CAAAOAAAAAAAAAAAAAAAAAC4CAABk&#10;cnMvZTJvRG9jLnhtbFBLAQItABQABgAIAAAAIQDWbX3m3wAAAA8BAAAPAAAAAAAAAAAAAAAAANwD&#10;AABkcnMvZG93bnJldi54bWxQSwUGAAAAAAQABADzAAAA6AQAAAAA&#10;" filled="f" stroked="f">
              <v:textbox style="mso-fit-shape-to-text:t" inset="0,0,0,0">
                <w:txbxContent>
                  <w:p w14:paraId="39183AE3" w14:textId="77777777" w:rsidR="00001748"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CF9BE" w14:textId="77777777" w:rsidR="006511E9" w:rsidRDefault="006511E9"/>
  </w:footnote>
  <w:footnote w:type="continuationSeparator" w:id="0">
    <w:p w14:paraId="6BC9DA91" w14:textId="77777777" w:rsidR="006511E9" w:rsidRDefault="006511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B16F6"/>
    <w:multiLevelType w:val="multilevel"/>
    <w:tmpl w:val="0F42B5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DB2F51"/>
    <w:multiLevelType w:val="multilevel"/>
    <w:tmpl w:val="FA1469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435D3C"/>
    <w:multiLevelType w:val="multilevel"/>
    <w:tmpl w:val="20A009F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DB7D9A"/>
    <w:multiLevelType w:val="multilevel"/>
    <w:tmpl w:val="EFCC1D7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E9755D"/>
    <w:multiLevelType w:val="multilevel"/>
    <w:tmpl w:val="76CE51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4813767">
    <w:abstractNumId w:val="3"/>
  </w:num>
  <w:num w:numId="2" w16cid:durableId="683091518">
    <w:abstractNumId w:val="2"/>
  </w:num>
  <w:num w:numId="3" w16cid:durableId="1829402952">
    <w:abstractNumId w:val="0"/>
  </w:num>
  <w:num w:numId="4" w16cid:durableId="603343084">
    <w:abstractNumId w:val="1"/>
  </w:num>
  <w:num w:numId="5" w16cid:durableId="909774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748"/>
    <w:rsid w:val="00001748"/>
    <w:rsid w:val="00256FFB"/>
    <w:rsid w:val="006511E9"/>
    <w:rsid w:val="009077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6C33"/>
  <w15:docId w15:val="{A8490506-6CA5-41F6-83D5-4AE4666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9"/>
      <w:szCs w:val="19"/>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42"/>
      <w:szCs w:val="42"/>
      <w:u w:val="none"/>
    </w:rPr>
  </w:style>
  <w:style w:type="character" w:customStyle="1" w:styleId="Heading31">
    <w:name w:val="Heading #3|1_"/>
    <w:basedOn w:val="Standardnpsmoodstavce"/>
    <w:link w:val="Heading310"/>
    <w:rPr>
      <w:rFonts w:ascii="Arial" w:eastAsia="Arial" w:hAnsi="Arial" w:cs="Arial"/>
      <w:b/>
      <w:bCs/>
      <w:i w:val="0"/>
      <w:iCs w:val="0"/>
      <w:smallCaps w:val="0"/>
      <w:strike w:val="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6"/>
      <w:szCs w:val="16"/>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8"/>
      <w:szCs w:val="28"/>
      <w:u w:val="singl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19"/>
      <w:szCs w:val="19"/>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1"/>
      <w:szCs w:val="11"/>
      <w:u w:val="none"/>
    </w:rPr>
  </w:style>
  <w:style w:type="paragraph" w:customStyle="1" w:styleId="Headerorfooter20">
    <w:name w:val="Header or footer|2"/>
    <w:basedOn w:val="Normln"/>
    <w:link w:val="Headerorfooter2"/>
    <w:rPr>
      <w:sz w:val="20"/>
      <w:szCs w:val="20"/>
    </w:rPr>
  </w:style>
  <w:style w:type="paragraph" w:customStyle="1" w:styleId="Picturecaption10">
    <w:name w:val="Picture caption|1"/>
    <w:basedOn w:val="Normln"/>
    <w:link w:val="Picturecaption1"/>
    <w:rPr>
      <w:rFonts w:ascii="Arial" w:eastAsia="Arial" w:hAnsi="Arial" w:cs="Arial"/>
      <w:sz w:val="19"/>
      <w:szCs w:val="19"/>
    </w:rPr>
  </w:style>
  <w:style w:type="paragraph" w:customStyle="1" w:styleId="Heading110">
    <w:name w:val="Heading #1|1"/>
    <w:basedOn w:val="Normln"/>
    <w:link w:val="Heading11"/>
    <w:pPr>
      <w:spacing w:after="100"/>
      <w:ind w:firstLine="160"/>
      <w:outlineLvl w:val="0"/>
    </w:pPr>
    <w:rPr>
      <w:rFonts w:ascii="Arial" w:eastAsia="Arial" w:hAnsi="Arial" w:cs="Arial"/>
      <w:b/>
      <w:bCs/>
      <w:sz w:val="42"/>
      <w:szCs w:val="42"/>
    </w:rPr>
  </w:style>
  <w:style w:type="paragraph" w:customStyle="1" w:styleId="Heading310">
    <w:name w:val="Heading #3|1"/>
    <w:basedOn w:val="Normln"/>
    <w:link w:val="Heading31"/>
    <w:pPr>
      <w:spacing w:before="310"/>
      <w:ind w:right="150"/>
      <w:outlineLvl w:val="2"/>
    </w:pPr>
    <w:rPr>
      <w:rFonts w:ascii="Arial" w:eastAsia="Arial" w:hAnsi="Arial" w:cs="Arial"/>
      <w:b/>
      <w:bCs/>
    </w:rPr>
  </w:style>
  <w:style w:type="paragraph" w:customStyle="1" w:styleId="Bodytext30">
    <w:name w:val="Body text|3"/>
    <w:basedOn w:val="Normln"/>
    <w:link w:val="Bodytext3"/>
    <w:pPr>
      <w:ind w:right="300"/>
      <w:jc w:val="right"/>
    </w:pPr>
    <w:rPr>
      <w:rFonts w:ascii="Arial" w:eastAsia="Arial" w:hAnsi="Arial" w:cs="Arial"/>
      <w:sz w:val="16"/>
      <w:szCs w:val="16"/>
    </w:rPr>
  </w:style>
  <w:style w:type="paragraph" w:customStyle="1" w:styleId="Heading210">
    <w:name w:val="Heading #2|1"/>
    <w:basedOn w:val="Normln"/>
    <w:link w:val="Heading21"/>
    <w:pPr>
      <w:spacing w:after="320"/>
      <w:outlineLvl w:val="1"/>
    </w:pPr>
    <w:rPr>
      <w:rFonts w:ascii="Arial" w:eastAsia="Arial" w:hAnsi="Arial" w:cs="Arial"/>
      <w:b/>
      <w:bCs/>
      <w:sz w:val="28"/>
      <w:szCs w:val="28"/>
      <w:u w:val="single"/>
    </w:rPr>
  </w:style>
  <w:style w:type="paragraph" w:customStyle="1" w:styleId="Bodytext10">
    <w:name w:val="Body text|1"/>
    <w:basedOn w:val="Normln"/>
    <w:link w:val="Bodytext1"/>
    <w:rPr>
      <w:rFonts w:ascii="Arial" w:eastAsia="Arial" w:hAnsi="Arial" w:cs="Arial"/>
      <w:sz w:val="19"/>
      <w:szCs w:val="19"/>
    </w:rPr>
  </w:style>
  <w:style w:type="paragraph" w:customStyle="1" w:styleId="Heading410">
    <w:name w:val="Heading #4|1"/>
    <w:basedOn w:val="Normln"/>
    <w:link w:val="Heading41"/>
    <w:pPr>
      <w:outlineLvl w:val="3"/>
    </w:pPr>
    <w:rPr>
      <w:rFonts w:ascii="Arial" w:eastAsia="Arial" w:hAnsi="Arial" w:cs="Arial"/>
      <w:b/>
      <w:bCs/>
      <w:sz w:val="19"/>
      <w:szCs w:val="19"/>
    </w:rPr>
  </w:style>
  <w:style w:type="paragraph" w:customStyle="1" w:styleId="Bodytext20">
    <w:name w:val="Body text|2"/>
    <w:basedOn w:val="Normln"/>
    <w:link w:val="Bodytext2"/>
    <w:pPr>
      <w:spacing w:after="50" w:line="211" w:lineRule="auto"/>
    </w:pPr>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1683</Words>
  <Characters>9931</Characters>
  <Application>Microsoft Office Word</Application>
  <DocSecurity>0</DocSecurity>
  <Lines>82</Lines>
  <Paragraphs>23</Paragraphs>
  <ScaleCrop>false</ScaleCrop>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2025-09-15T13:13:00Z</dcterms:created>
  <dcterms:modified xsi:type="dcterms:W3CDTF">2025-09-15T13:13:00Z</dcterms:modified>
</cp:coreProperties>
</file>