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9BA2D" w14:textId="14C4A703" w:rsidR="00B133AA" w:rsidRDefault="00C16DE6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</w:t>
      </w:r>
    </w:p>
    <w:p w14:paraId="3A3823AB" w14:textId="77777777" w:rsidR="00711AF8" w:rsidRDefault="00711AF8">
      <w:pPr>
        <w:pStyle w:val="Default"/>
        <w:rPr>
          <w:rFonts w:ascii="Arial" w:hAnsi="Arial" w:cs="Arial"/>
          <w:sz w:val="20"/>
          <w:szCs w:val="20"/>
        </w:rPr>
      </w:pPr>
    </w:p>
    <w:p w14:paraId="16BD305D" w14:textId="77777777" w:rsidR="00711AF8" w:rsidRDefault="00711AF8">
      <w:pPr>
        <w:pStyle w:val="Default"/>
        <w:rPr>
          <w:rFonts w:ascii="Arial" w:hAnsi="Arial" w:cs="Arial"/>
          <w:sz w:val="20"/>
          <w:szCs w:val="20"/>
        </w:rPr>
      </w:pPr>
    </w:p>
    <w:p w14:paraId="72F52012" w14:textId="71524AB5" w:rsidR="00B133AA" w:rsidRPr="008145D4" w:rsidRDefault="008145D4" w:rsidP="008145D4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SMLOUVA O DÍLO č. S0</w:t>
      </w:r>
      <w:r w:rsidR="002812A6">
        <w:rPr>
          <w:rFonts w:ascii="Arial" w:hAnsi="Arial" w:cs="Arial"/>
          <w:b/>
          <w:bCs/>
        </w:rPr>
        <w:t>1-</w:t>
      </w:r>
      <w:r w:rsidR="00971A6E">
        <w:rPr>
          <w:rFonts w:ascii="Arial" w:hAnsi="Arial" w:cs="Arial"/>
          <w:b/>
          <w:bCs/>
        </w:rPr>
        <w:t>146</w:t>
      </w:r>
      <w:r>
        <w:rPr>
          <w:rFonts w:ascii="Arial" w:hAnsi="Arial" w:cs="Arial"/>
          <w:b/>
          <w:bCs/>
        </w:rPr>
        <w:t>-</w:t>
      </w:r>
      <w:r w:rsidR="002431C4">
        <w:rPr>
          <w:rFonts w:ascii="Arial" w:hAnsi="Arial" w:cs="Arial"/>
          <w:b/>
          <w:bCs/>
        </w:rPr>
        <w:t>2</w:t>
      </w:r>
      <w:r w:rsidR="00971A6E">
        <w:rPr>
          <w:rFonts w:ascii="Arial" w:hAnsi="Arial" w:cs="Arial"/>
          <w:b/>
          <w:bCs/>
        </w:rPr>
        <w:t>5</w:t>
      </w:r>
    </w:p>
    <w:p w14:paraId="40DC4CE6" w14:textId="77777777" w:rsidR="00B133AA" w:rsidRDefault="001950D9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Smluvní strany </w:t>
      </w:r>
    </w:p>
    <w:p w14:paraId="5E7EDEDB" w14:textId="77777777" w:rsidR="002812A6" w:rsidRPr="002812A6" w:rsidRDefault="002812A6" w:rsidP="002812A6">
      <w:pPr>
        <w:pStyle w:val="Bezmezer"/>
        <w:jc w:val="both"/>
        <w:rPr>
          <w:b/>
        </w:rPr>
      </w:pPr>
    </w:p>
    <w:p w14:paraId="65C38DE3" w14:textId="77777777" w:rsidR="00971A6E" w:rsidRDefault="00971A6E" w:rsidP="008707EE">
      <w:pPr>
        <w:pStyle w:val="identifikace"/>
        <w:spacing w:after="0"/>
        <w:rPr>
          <w:rFonts w:ascii="Arial" w:hAnsi="Arial"/>
          <w:b/>
          <w:sz w:val="22"/>
          <w:szCs w:val="20"/>
        </w:rPr>
      </w:pPr>
      <w:r w:rsidRPr="00971A6E">
        <w:rPr>
          <w:rFonts w:ascii="Arial" w:hAnsi="Arial"/>
          <w:b/>
          <w:sz w:val="22"/>
          <w:szCs w:val="20"/>
        </w:rPr>
        <w:t>Zdravotnická zařízení Ministerstva spravedlnosti</w:t>
      </w:r>
    </w:p>
    <w:p w14:paraId="42BF4363" w14:textId="56967998" w:rsidR="008707EE" w:rsidRPr="00D371BC" w:rsidRDefault="002431C4" w:rsidP="008707EE">
      <w:pPr>
        <w:pStyle w:val="identifikace"/>
        <w:spacing w:after="0"/>
        <w:rPr>
          <w:rStyle w:val="platne1"/>
          <w:rFonts w:ascii="Tahoma" w:hAnsi="Tahoma" w:cs="Tahoma"/>
          <w:sz w:val="20"/>
          <w:szCs w:val="20"/>
        </w:rPr>
      </w:pPr>
      <w:r w:rsidRPr="002431C4">
        <w:rPr>
          <w:rStyle w:val="platne1"/>
          <w:rFonts w:ascii="Tahoma" w:hAnsi="Tahoma" w:cs="Tahoma"/>
          <w:sz w:val="20"/>
          <w:szCs w:val="20"/>
        </w:rPr>
        <w:t>Státní příspěvková organizace</w:t>
      </w:r>
    </w:p>
    <w:p w14:paraId="3E88FF3D" w14:textId="2872C6F2" w:rsidR="008707EE" w:rsidRPr="00D371BC" w:rsidRDefault="008707EE" w:rsidP="00D371BC">
      <w:pPr>
        <w:pStyle w:val="Bezmezer"/>
        <w:jc w:val="both"/>
      </w:pPr>
      <w:r w:rsidRPr="00D371BC">
        <w:t xml:space="preserve">se </w:t>
      </w:r>
      <w:proofErr w:type="gramStart"/>
      <w:r w:rsidRPr="00D371BC">
        <w:t xml:space="preserve">sídlem:  </w:t>
      </w:r>
      <w:r w:rsidR="00971A6E" w:rsidRPr="00971A6E">
        <w:t>Na</w:t>
      </w:r>
      <w:proofErr w:type="gramEnd"/>
      <w:r w:rsidR="00971A6E" w:rsidRPr="00971A6E">
        <w:t xml:space="preserve"> Květnici 1657/16, Nusle, 14000 Praha 4</w:t>
      </w:r>
      <w:r w:rsidRPr="00D371BC">
        <w:tab/>
      </w:r>
    </w:p>
    <w:p w14:paraId="28B48B92" w14:textId="1ECBAFFB" w:rsidR="008707EE" w:rsidRPr="00D371BC" w:rsidRDefault="008707EE" w:rsidP="008707EE">
      <w:pPr>
        <w:pStyle w:val="Bezmezer"/>
        <w:ind w:left="1410" w:hanging="1410"/>
        <w:jc w:val="both"/>
      </w:pPr>
      <w:proofErr w:type="gramStart"/>
      <w:r w:rsidRPr="00D371BC">
        <w:t xml:space="preserve">zastoupený:  </w:t>
      </w:r>
      <w:r w:rsidR="00971A6E" w:rsidRPr="00971A6E">
        <w:t>MUDr.</w:t>
      </w:r>
      <w:proofErr w:type="gramEnd"/>
      <w:r w:rsidR="00971A6E" w:rsidRPr="00971A6E">
        <w:t xml:space="preserve"> Ondř</w:t>
      </w:r>
      <w:r w:rsidR="00971A6E">
        <w:t>ejem</w:t>
      </w:r>
      <w:r w:rsidR="00971A6E" w:rsidRPr="00971A6E">
        <w:t xml:space="preserve"> Felix</w:t>
      </w:r>
      <w:r w:rsidR="00971A6E">
        <w:t>em</w:t>
      </w:r>
      <w:r w:rsidR="00971A6E" w:rsidRPr="00971A6E">
        <w:t>, MBA, LL.M.</w:t>
      </w:r>
      <w:r w:rsidR="002431C4">
        <w:t>, ředitelem</w:t>
      </w:r>
      <w:r w:rsidRPr="00D371BC">
        <w:tab/>
      </w:r>
    </w:p>
    <w:p w14:paraId="315B33A9" w14:textId="51314F95" w:rsidR="008707EE" w:rsidRPr="00D371BC" w:rsidRDefault="008707EE" w:rsidP="008707EE">
      <w:pPr>
        <w:pStyle w:val="Bezmezer"/>
        <w:jc w:val="both"/>
      </w:pPr>
      <w:proofErr w:type="gramStart"/>
      <w:r w:rsidRPr="00D371BC">
        <w:t xml:space="preserve">IČ: </w:t>
      </w:r>
      <w:r w:rsidR="002431C4">
        <w:t xml:space="preserve">  </w:t>
      </w:r>
      <w:proofErr w:type="gramEnd"/>
      <w:r w:rsidR="00971A6E" w:rsidRPr="00971A6E">
        <w:t>19738269</w:t>
      </w:r>
      <w:r w:rsidRPr="00D371BC">
        <w:tab/>
      </w:r>
      <w:r w:rsidR="00D371BC" w:rsidRPr="00D371BC">
        <w:t xml:space="preserve">             </w:t>
      </w:r>
    </w:p>
    <w:p w14:paraId="12D9A926" w14:textId="1CB2A368" w:rsidR="008707EE" w:rsidRPr="00D371BC" w:rsidRDefault="008707EE" w:rsidP="008707EE">
      <w:pPr>
        <w:pStyle w:val="Bezmezer"/>
        <w:jc w:val="both"/>
      </w:pPr>
      <w:r w:rsidRPr="00D371BC">
        <w:t xml:space="preserve">DIČ: </w:t>
      </w:r>
      <w:r w:rsidR="002431C4">
        <w:t>CZ</w:t>
      </w:r>
      <w:r w:rsidR="00971A6E" w:rsidRPr="00971A6E">
        <w:t>19738269</w:t>
      </w:r>
      <w:r w:rsidR="002431C4" w:rsidRPr="00D371BC">
        <w:tab/>
      </w:r>
      <w:r w:rsidRPr="00D371BC">
        <w:tab/>
      </w:r>
      <w:r w:rsidRPr="00D371BC">
        <w:tab/>
      </w:r>
    </w:p>
    <w:p w14:paraId="433AC69C" w14:textId="77777777" w:rsidR="008707EE" w:rsidRPr="00D371BC" w:rsidRDefault="008707EE" w:rsidP="008707EE">
      <w:pPr>
        <w:pStyle w:val="Bezmezer"/>
        <w:jc w:val="both"/>
      </w:pPr>
      <w:r w:rsidRPr="00D371BC">
        <w:t>(dále jen „Objednatel“)</w:t>
      </w:r>
      <w:r w:rsidRPr="00D371BC">
        <w:tab/>
      </w:r>
    </w:p>
    <w:p w14:paraId="40E2242A" w14:textId="77777777" w:rsidR="00B133AA" w:rsidRDefault="001950D9">
      <w:pPr>
        <w:pStyle w:val="Bezmezer"/>
        <w:jc w:val="both"/>
      </w:pPr>
      <w:r w:rsidRPr="00D371BC">
        <w:t>a</w:t>
      </w:r>
    </w:p>
    <w:p w14:paraId="3E9242C3" w14:textId="77777777" w:rsidR="00B133AA" w:rsidRDefault="001950D9">
      <w:pPr>
        <w:pStyle w:val="Bezmezer"/>
        <w:jc w:val="both"/>
        <w:rPr>
          <w:b/>
          <w:bCs/>
        </w:rPr>
      </w:pPr>
      <w:r>
        <w:rPr>
          <w:b/>
          <w:bCs/>
        </w:rPr>
        <w:t>KLIRF Partner, s.r.o.</w:t>
      </w:r>
    </w:p>
    <w:p w14:paraId="0C181513" w14:textId="77777777" w:rsidR="00B133AA" w:rsidRDefault="001950D9">
      <w:pPr>
        <w:pStyle w:val="Bezmezer"/>
        <w:jc w:val="both"/>
      </w:pPr>
      <w:r>
        <w:t>Zapsán v obchodním rejstříku vedeném Krajským soudem v Brně, oddíl C, vložka 94916</w:t>
      </w:r>
    </w:p>
    <w:p w14:paraId="12ED3267" w14:textId="64224782" w:rsidR="00B133AA" w:rsidRDefault="001950D9">
      <w:pPr>
        <w:pStyle w:val="Bezmezer"/>
        <w:jc w:val="both"/>
      </w:pPr>
      <w:r>
        <w:t xml:space="preserve">se sídlem: </w:t>
      </w:r>
      <w:r>
        <w:tab/>
        <w:t>Lidická 700/19, Veveří, 602 00 Brno</w:t>
      </w:r>
    </w:p>
    <w:p w14:paraId="30B34B3F" w14:textId="6C58C3E7" w:rsidR="00B133AA" w:rsidRDefault="001950D9">
      <w:pPr>
        <w:pStyle w:val="Bezmezer"/>
        <w:jc w:val="both"/>
      </w:pPr>
      <w:proofErr w:type="gramStart"/>
      <w:r>
        <w:t xml:space="preserve">zastoupený:  </w:t>
      </w:r>
      <w:r w:rsidR="00252841">
        <w:t xml:space="preserve"> </w:t>
      </w:r>
      <w:proofErr w:type="gramEnd"/>
      <w:r w:rsidR="00252841">
        <w:t xml:space="preserve">  </w:t>
      </w:r>
      <w:r w:rsidR="002431C4">
        <w:t xml:space="preserve"> </w:t>
      </w:r>
      <w:r w:rsidR="00252841">
        <w:t>Ing Michalem Koláčkem</w:t>
      </w:r>
      <w:r>
        <w:t>, jednatelem</w:t>
      </w:r>
    </w:p>
    <w:p w14:paraId="695A81B5" w14:textId="77777777" w:rsidR="00B133AA" w:rsidRDefault="001950D9">
      <w:pPr>
        <w:pStyle w:val="Bezmezer"/>
        <w:jc w:val="both"/>
      </w:pPr>
      <w:r>
        <w:t xml:space="preserve">IČ: </w:t>
      </w:r>
      <w:r>
        <w:tab/>
      </w:r>
      <w:r>
        <w:tab/>
        <w:t>05363411</w:t>
      </w:r>
    </w:p>
    <w:p w14:paraId="31F0BF9D" w14:textId="16851840" w:rsidR="00B133AA" w:rsidRDefault="000449B7">
      <w:pPr>
        <w:pStyle w:val="Bezmezer"/>
        <w:jc w:val="both"/>
      </w:pPr>
      <w:r>
        <w:t xml:space="preserve">DIČ: </w:t>
      </w:r>
      <w:r>
        <w:tab/>
      </w:r>
      <w:r>
        <w:tab/>
        <w:t>CZ05363411</w:t>
      </w:r>
    </w:p>
    <w:p w14:paraId="7BF3B689" w14:textId="2BBEDCAB" w:rsidR="00B133AA" w:rsidRDefault="002431C4">
      <w:pPr>
        <w:pStyle w:val="Bezmezer"/>
        <w:jc w:val="both"/>
      </w:pPr>
      <w:r>
        <w:t xml:space="preserve">oprávnění k činnosti dohlížející osoby na základě rozhodnutí SÚJB č.j.: </w:t>
      </w:r>
      <w:r w:rsidRPr="000C01D8">
        <w:t>SÚJB/OLO/29035/2024</w:t>
      </w:r>
      <w:r>
        <w:t xml:space="preserve"> ze dne 19.11 2024 </w:t>
      </w:r>
    </w:p>
    <w:p w14:paraId="4FAE9111" w14:textId="1CCF3A1C" w:rsidR="00B133AA" w:rsidRDefault="001950D9">
      <w:pPr>
        <w:pStyle w:val="Bezmezer"/>
        <w:jc w:val="both"/>
      </w:pPr>
      <w:r>
        <w:t>(dále jen „Dodavatel“</w:t>
      </w:r>
      <w:r w:rsidR="00E960CF">
        <w:t xml:space="preserve"> či „Dohlížející osoba“</w:t>
      </w:r>
      <w:r>
        <w:t xml:space="preserve">) </w:t>
      </w:r>
    </w:p>
    <w:p w14:paraId="77001735" w14:textId="77777777" w:rsidR="00B133AA" w:rsidRDefault="001950D9">
      <w:pPr>
        <w:pStyle w:val="Nadpis1"/>
        <w:jc w:val="both"/>
        <w:rPr>
          <w:rFonts w:cs="Times New Roman"/>
        </w:rPr>
      </w:pPr>
      <w:r>
        <w:t>Článek I</w:t>
      </w:r>
    </w:p>
    <w:p w14:paraId="4E59900E" w14:textId="77777777" w:rsidR="002431C4" w:rsidRPr="00241D45" w:rsidRDefault="002431C4" w:rsidP="002431C4">
      <w:pPr>
        <w:pStyle w:val="Bezmezer"/>
        <w:jc w:val="both"/>
        <w:rPr>
          <w:b/>
          <w:bCs/>
        </w:rPr>
      </w:pPr>
      <w:r w:rsidRPr="00241D45">
        <w:rPr>
          <w:b/>
          <w:bCs/>
        </w:rPr>
        <w:t>Dohlížející osoba:</w:t>
      </w:r>
    </w:p>
    <w:p w14:paraId="5CF84206" w14:textId="77777777" w:rsidR="002431C4" w:rsidRPr="00241D45" w:rsidRDefault="002431C4" w:rsidP="002431C4">
      <w:pPr>
        <w:pStyle w:val="Bezmezer"/>
        <w:jc w:val="both"/>
      </w:pPr>
      <w:r w:rsidRPr="00241D45">
        <w:t xml:space="preserve">Činnost dohlížející osoby je přesně definována v Programech zajištění radiační ochrany Objednatele, které jsou pro jednotlivá pracoviště posuzovány Státním úřadem pro jadernou bezpečnost. Dohlížející osoba je podřízena přímo vedení organizace a ve věcech RO je nadřízena všem ostatním zaměstnancům. Musí být vybavena písemnými pravomocemi od statutárního orgánu. </w:t>
      </w:r>
    </w:p>
    <w:p w14:paraId="3B09D152" w14:textId="77777777" w:rsidR="002431C4" w:rsidRPr="00241D45" w:rsidRDefault="002431C4" w:rsidP="002431C4">
      <w:pPr>
        <w:pStyle w:val="Bezmezer"/>
        <w:jc w:val="both"/>
      </w:pPr>
      <w:r w:rsidRPr="00241D45">
        <w:t>Dodavatel bude mimo činnosti vyplývající jako povinnosti pro „dohlížející osobu „provádět dále uvedené pravidelné činnosti a samostatně bude řídit jejich vykonávání:</w:t>
      </w:r>
    </w:p>
    <w:p w14:paraId="02B01B46" w14:textId="77777777" w:rsidR="002431C4" w:rsidRPr="00241D45" w:rsidRDefault="002431C4" w:rsidP="002431C4">
      <w:pPr>
        <w:pStyle w:val="Bezmezer"/>
        <w:numPr>
          <w:ilvl w:val="0"/>
          <w:numId w:val="15"/>
        </w:numPr>
        <w:jc w:val="both"/>
      </w:pPr>
      <w:r w:rsidRPr="00241D45">
        <w:t xml:space="preserve">interní kontroly dodržování opatření na ochranu před ionizujícím zářením podle platných předpisů a provozních pokynů na pracovištích </w:t>
      </w:r>
    </w:p>
    <w:p w14:paraId="3912EFCC" w14:textId="77777777" w:rsidR="002431C4" w:rsidRPr="00241D45" w:rsidRDefault="002431C4" w:rsidP="002431C4">
      <w:pPr>
        <w:pStyle w:val="Bezmezer"/>
        <w:numPr>
          <w:ilvl w:val="0"/>
          <w:numId w:val="15"/>
        </w:numPr>
        <w:jc w:val="both"/>
      </w:pPr>
      <w:r w:rsidRPr="00241D45">
        <w:t>průběžné upozorňování na zjištěné nedostatky a podávání návrhů na jejich odstranění</w:t>
      </w:r>
    </w:p>
    <w:p w14:paraId="268634C3" w14:textId="77777777" w:rsidR="002431C4" w:rsidRPr="00241D45" w:rsidRDefault="002431C4" w:rsidP="002431C4">
      <w:pPr>
        <w:pStyle w:val="Bezmezer"/>
        <w:numPr>
          <w:ilvl w:val="0"/>
          <w:numId w:val="15"/>
        </w:numPr>
        <w:jc w:val="both"/>
      </w:pPr>
      <w:r w:rsidRPr="00241D45">
        <w:t>průběžná evidence zdrojů záření</w:t>
      </w:r>
    </w:p>
    <w:p w14:paraId="05A2EA8B" w14:textId="77777777" w:rsidR="002431C4" w:rsidRPr="00241D45" w:rsidRDefault="002431C4" w:rsidP="002431C4">
      <w:pPr>
        <w:pStyle w:val="Bezmezer"/>
        <w:numPr>
          <w:ilvl w:val="0"/>
          <w:numId w:val="15"/>
        </w:numPr>
        <w:jc w:val="both"/>
      </w:pPr>
      <w:r w:rsidRPr="00241D45">
        <w:t xml:space="preserve">průběžná evidence záznamů o provedených měřeních na kontrolu radiační situace na pracovištích a jejich výsledků </w:t>
      </w:r>
    </w:p>
    <w:p w14:paraId="560C97D5" w14:textId="77777777" w:rsidR="002431C4" w:rsidRPr="00241D45" w:rsidRDefault="002431C4" w:rsidP="002431C4">
      <w:pPr>
        <w:pStyle w:val="Bezmezer"/>
        <w:numPr>
          <w:ilvl w:val="0"/>
          <w:numId w:val="15"/>
        </w:numPr>
        <w:jc w:val="both"/>
      </w:pPr>
      <w:r w:rsidRPr="00241D45">
        <w:t>průběžná evidence dokladů o odborné způsobilosti pracovníků pro práci se zdroji IZ</w:t>
      </w:r>
    </w:p>
    <w:p w14:paraId="3C29AF34" w14:textId="77777777" w:rsidR="002431C4" w:rsidRPr="00241D45" w:rsidRDefault="002431C4" w:rsidP="002431C4">
      <w:pPr>
        <w:pStyle w:val="Bezmezer"/>
        <w:numPr>
          <w:ilvl w:val="0"/>
          <w:numId w:val="15"/>
        </w:numPr>
        <w:jc w:val="both"/>
      </w:pPr>
      <w:r w:rsidRPr="00241D45">
        <w:t>řízení programu zajištění RO včetně:</w:t>
      </w:r>
    </w:p>
    <w:p w14:paraId="26333C27" w14:textId="0CF8BDE6" w:rsidR="002431C4" w:rsidRPr="00241D45" w:rsidRDefault="002431C4" w:rsidP="002431C4">
      <w:pPr>
        <w:pStyle w:val="Bezmezer"/>
        <w:numPr>
          <w:ilvl w:val="1"/>
          <w:numId w:val="16"/>
        </w:numPr>
        <w:jc w:val="both"/>
      </w:pPr>
      <w:r w:rsidRPr="00241D45">
        <w:t xml:space="preserve">vyhodnocování výsledků zkoušek dlouhodobé stability </w:t>
      </w:r>
      <w:r w:rsidR="009462AA">
        <w:t>a zkoušek provozní stálosti</w:t>
      </w:r>
    </w:p>
    <w:p w14:paraId="49EFC53F" w14:textId="77777777" w:rsidR="002431C4" w:rsidRPr="00241D45" w:rsidRDefault="002431C4" w:rsidP="002431C4">
      <w:pPr>
        <w:pStyle w:val="Bezmezer"/>
        <w:numPr>
          <w:ilvl w:val="0"/>
          <w:numId w:val="15"/>
        </w:numPr>
        <w:jc w:val="both"/>
      </w:pPr>
      <w:r w:rsidRPr="00241D45">
        <w:t>monitorování radiační situace na pracovišti s četností podle schválených programů monitorování</w:t>
      </w:r>
    </w:p>
    <w:p w14:paraId="0E6EE638" w14:textId="77777777" w:rsidR="002431C4" w:rsidRPr="00241D45" w:rsidRDefault="002431C4" w:rsidP="002431C4">
      <w:pPr>
        <w:pStyle w:val="Bezmezer"/>
        <w:numPr>
          <w:ilvl w:val="0"/>
          <w:numId w:val="15"/>
        </w:numPr>
        <w:jc w:val="both"/>
      </w:pPr>
      <w:r w:rsidRPr="00241D45">
        <w:t>nejméně jednou ročně školení a přezkoušení pracovníků Objednatele o rizicích a zásadách bezpečné práce se zdroji IZ</w:t>
      </w:r>
    </w:p>
    <w:p w14:paraId="4F82AE23" w14:textId="77777777" w:rsidR="002431C4" w:rsidRPr="00241D45" w:rsidRDefault="002431C4" w:rsidP="002431C4">
      <w:pPr>
        <w:pStyle w:val="Bezmezer"/>
        <w:numPr>
          <w:ilvl w:val="0"/>
          <w:numId w:val="15"/>
        </w:numPr>
        <w:jc w:val="both"/>
      </w:pPr>
      <w:r w:rsidRPr="00241D45">
        <w:t>zajištění trvalého kontaktu s orgánem státního dozoru nad radiační ochranou (SÚJB) a zastupování Objednatele při jednáních</w:t>
      </w:r>
    </w:p>
    <w:p w14:paraId="635F4C9B" w14:textId="77777777" w:rsidR="002431C4" w:rsidRPr="00241D45" w:rsidRDefault="002431C4" w:rsidP="002431C4">
      <w:pPr>
        <w:pStyle w:val="Bezmezer"/>
        <w:numPr>
          <w:ilvl w:val="0"/>
          <w:numId w:val="15"/>
        </w:numPr>
        <w:jc w:val="both"/>
      </w:pPr>
      <w:r w:rsidRPr="00241D45">
        <w:t>vypracování protokolu o hodnocení způsobu zajištění radiační ochrany</w:t>
      </w:r>
    </w:p>
    <w:p w14:paraId="5A0AB29E" w14:textId="77777777" w:rsidR="002431C4" w:rsidRPr="00241D45" w:rsidRDefault="002431C4" w:rsidP="002431C4">
      <w:pPr>
        <w:pStyle w:val="Bezmezer"/>
        <w:numPr>
          <w:ilvl w:val="0"/>
          <w:numId w:val="15"/>
        </w:numPr>
        <w:jc w:val="both"/>
      </w:pPr>
      <w:r w:rsidRPr="00241D45">
        <w:t>kontrola ochranných pomůcek používaných na radiodiagnostických pracovištích</w:t>
      </w:r>
    </w:p>
    <w:p w14:paraId="67734F35" w14:textId="1348B347" w:rsidR="002431C4" w:rsidRDefault="002431C4" w:rsidP="002431C4">
      <w:pPr>
        <w:pStyle w:val="Nadpis1"/>
        <w:jc w:val="both"/>
        <w:rPr>
          <w:rFonts w:cs="Times New Roman"/>
        </w:rPr>
      </w:pPr>
      <w:r>
        <w:t>Článek I</w:t>
      </w:r>
      <w:r w:rsidR="00A73889">
        <w:t>I</w:t>
      </w:r>
    </w:p>
    <w:p w14:paraId="4DB28F1A" w14:textId="77777777" w:rsidR="002431C4" w:rsidRDefault="002431C4" w:rsidP="002431C4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Vymezení součinnosti Objednatele </w:t>
      </w:r>
    </w:p>
    <w:p w14:paraId="5628B308" w14:textId="77777777" w:rsidR="002431C4" w:rsidRDefault="002431C4" w:rsidP="002431C4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Činnost Objednatele zahrnuje poskytnutí:</w:t>
      </w:r>
    </w:p>
    <w:p w14:paraId="72692AE5" w14:textId="77777777" w:rsidR="002431C4" w:rsidRDefault="002431C4" w:rsidP="002431C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informací o provozu pracovišť poskytujících lékařské ozáření souvisejících s předmětem plnění,</w:t>
      </w:r>
    </w:p>
    <w:p w14:paraId="479F9019" w14:textId="77777777" w:rsidR="002431C4" w:rsidRDefault="002431C4" w:rsidP="002431C4">
      <w:pPr>
        <w:pStyle w:val="Default"/>
        <w:numPr>
          <w:ilvl w:val="0"/>
          <w:numId w:val="3"/>
        </w:numPr>
        <w:jc w:val="both"/>
      </w:pPr>
      <w:r>
        <w:rPr>
          <w:rFonts w:ascii="Arial" w:hAnsi="Arial" w:cs="Arial"/>
          <w:color w:val="00000A"/>
          <w:sz w:val="20"/>
          <w:szCs w:val="20"/>
        </w:rPr>
        <w:t>aktuálního seznamu zdrojů ionizujícího záření,</w:t>
      </w:r>
    </w:p>
    <w:p w14:paraId="5F3484DB" w14:textId="77777777" w:rsidR="002431C4" w:rsidRDefault="002431C4" w:rsidP="002431C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aktuálních místních radiologických standardů včetně nastavení místních diagnostických referenčních úrovní,</w:t>
      </w:r>
    </w:p>
    <w:p w14:paraId="7CD9A58A" w14:textId="77777777" w:rsidR="002431C4" w:rsidRDefault="002431C4" w:rsidP="002431C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provozní dokumentace </w:t>
      </w:r>
    </w:p>
    <w:p w14:paraId="44B0931F" w14:textId="77777777" w:rsidR="002431C4" w:rsidRDefault="002431C4" w:rsidP="002431C4">
      <w:pPr>
        <w:pStyle w:val="Defaul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Vnitřní havarijní plán</w:t>
      </w:r>
    </w:p>
    <w:p w14:paraId="4508ECFF" w14:textId="77777777" w:rsidR="002431C4" w:rsidRDefault="002431C4" w:rsidP="002431C4">
      <w:pPr>
        <w:pStyle w:val="Defaul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monitorování</w:t>
      </w:r>
    </w:p>
    <w:p w14:paraId="0278B939" w14:textId="77777777" w:rsidR="002431C4" w:rsidRDefault="002431C4" w:rsidP="002431C4">
      <w:pPr>
        <w:pStyle w:val="Defaul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Vymezení kontrolovaného pásma</w:t>
      </w:r>
    </w:p>
    <w:p w14:paraId="6C66773A" w14:textId="77777777" w:rsidR="002431C4" w:rsidRDefault="002431C4" w:rsidP="002431C4">
      <w:pPr>
        <w:pStyle w:val="Defaul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Popis vymezení sledovaného pásma</w:t>
      </w:r>
    </w:p>
    <w:p w14:paraId="31F8DCC4" w14:textId="77777777" w:rsidR="002431C4" w:rsidRDefault="002431C4" w:rsidP="002431C4">
      <w:pPr>
        <w:pStyle w:val="Defaul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Důkaz optimalizace</w:t>
      </w:r>
    </w:p>
    <w:p w14:paraId="333A1CCD" w14:textId="77777777" w:rsidR="002431C4" w:rsidRDefault="002431C4" w:rsidP="002431C4">
      <w:pPr>
        <w:pStyle w:val="Default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zabezpečování radiační ochrany</w:t>
      </w:r>
    </w:p>
    <w:p w14:paraId="576FB6E5" w14:textId="77777777" w:rsidR="002431C4" w:rsidRDefault="002431C4" w:rsidP="002431C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protokoly přejímacích zkoušek, zkoušek dlouhodobé stability a zkoušek provozní stálosti,</w:t>
      </w:r>
    </w:p>
    <w:p w14:paraId="73C84189" w14:textId="77777777" w:rsidR="002431C4" w:rsidRDefault="002431C4" w:rsidP="002431C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výsledků osobní dozimetrie,</w:t>
      </w:r>
    </w:p>
    <w:p w14:paraId="64871682" w14:textId="77777777" w:rsidR="002431C4" w:rsidRDefault="002431C4" w:rsidP="002431C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zápis z posledního interního klinického auditu,</w:t>
      </w:r>
    </w:p>
    <w:p w14:paraId="2D776F17" w14:textId="77777777" w:rsidR="002431C4" w:rsidRDefault="002431C4" w:rsidP="002431C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zápis z posledního externího klinického auditu,</w:t>
      </w:r>
    </w:p>
    <w:p w14:paraId="59ED947A" w14:textId="77777777" w:rsidR="002431C4" w:rsidRDefault="002431C4" w:rsidP="002431C4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 skutečností důležitých z hlediska radiační ochrany a lékařského ozáření.</w:t>
      </w:r>
    </w:p>
    <w:p w14:paraId="0A660555" w14:textId="18A9B002" w:rsidR="002431C4" w:rsidRPr="00971A6E" w:rsidRDefault="002431C4" w:rsidP="00971A6E">
      <w:pPr>
        <w:suppressAutoHyphens w:val="0"/>
        <w:spacing w:after="0" w:line="240" w:lineRule="auto"/>
        <w:rPr>
          <w:rFonts w:ascii="Calibri Light" w:eastAsia="Times New Roman" w:hAnsi="Calibri Light" w:cs="Calibri Light"/>
          <w:sz w:val="28"/>
          <w:szCs w:val="28"/>
        </w:rPr>
      </w:pPr>
      <w:r>
        <w:t xml:space="preserve">Článek </w:t>
      </w:r>
      <w:r w:rsidR="00A73889">
        <w:t>IV</w:t>
      </w:r>
    </w:p>
    <w:p w14:paraId="06E74EC5" w14:textId="77777777" w:rsidR="002431C4" w:rsidRDefault="002431C4" w:rsidP="002431C4">
      <w:pPr>
        <w:pStyle w:val="Default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b/>
          <w:bCs/>
          <w:color w:val="00000A"/>
          <w:sz w:val="20"/>
          <w:szCs w:val="20"/>
        </w:rPr>
        <w:t xml:space="preserve">Termín plnění </w:t>
      </w:r>
    </w:p>
    <w:p w14:paraId="72C59A94" w14:textId="77777777" w:rsidR="002431C4" w:rsidRDefault="002431C4" w:rsidP="002431C4">
      <w:pPr>
        <w:pStyle w:val="Default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Dodavatel se zavazuje: </w:t>
      </w:r>
    </w:p>
    <w:p w14:paraId="21C816C1" w14:textId="77777777" w:rsidR="002431C4" w:rsidRDefault="002431C4" w:rsidP="002431C4">
      <w:pPr>
        <w:pStyle w:val="Default"/>
        <w:numPr>
          <w:ilvl w:val="0"/>
          <w:numId w:val="4"/>
        </w:numPr>
        <w:spacing w:after="15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zajistit dostupnosti (nepřetržitou dostupnost rady a pomoci prostřednictvím telefonu nebo elektronicky a v případě potřeby fyzickou přítomnost),</w:t>
      </w:r>
    </w:p>
    <w:p w14:paraId="141DAEAD" w14:textId="57665165" w:rsidR="002431C4" w:rsidRDefault="002431C4" w:rsidP="002431C4">
      <w:pPr>
        <w:pStyle w:val="Default"/>
        <w:numPr>
          <w:ilvl w:val="0"/>
          <w:numId w:val="4"/>
        </w:numPr>
        <w:spacing w:after="15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vykonávat činnosti dle požadavků Objednatele v souladu s čl.</w:t>
      </w:r>
      <w:r w:rsidR="00ED6AA8">
        <w:rPr>
          <w:rFonts w:ascii="Arial" w:hAnsi="Arial" w:cs="Arial"/>
          <w:color w:val="00000A"/>
          <w:sz w:val="20"/>
          <w:szCs w:val="20"/>
        </w:rPr>
        <w:t xml:space="preserve"> </w:t>
      </w:r>
      <w:r>
        <w:rPr>
          <w:rFonts w:ascii="Arial" w:hAnsi="Arial" w:cs="Arial"/>
          <w:color w:val="00000A"/>
          <w:sz w:val="20"/>
          <w:szCs w:val="20"/>
        </w:rPr>
        <w:t>I</w:t>
      </w:r>
      <w:r w:rsidR="00A73889">
        <w:rPr>
          <w:rFonts w:ascii="Arial" w:hAnsi="Arial" w:cs="Arial"/>
          <w:color w:val="00000A"/>
          <w:sz w:val="20"/>
          <w:szCs w:val="20"/>
        </w:rPr>
        <w:t xml:space="preserve"> </w:t>
      </w:r>
      <w:r>
        <w:rPr>
          <w:rFonts w:ascii="Arial" w:hAnsi="Arial" w:cs="Arial"/>
          <w:color w:val="00000A"/>
          <w:sz w:val="20"/>
          <w:szCs w:val="20"/>
        </w:rPr>
        <w:t>této smlouvy.</w:t>
      </w:r>
    </w:p>
    <w:p w14:paraId="51C2DE0A" w14:textId="77777777" w:rsidR="002431C4" w:rsidRDefault="002431C4" w:rsidP="002431C4">
      <w:pPr>
        <w:pStyle w:val="Default"/>
        <w:jc w:val="both"/>
        <w:rPr>
          <w:rFonts w:ascii="Arial" w:hAnsi="Arial" w:cs="Arial"/>
          <w:color w:val="00000A"/>
          <w:sz w:val="20"/>
          <w:szCs w:val="20"/>
        </w:rPr>
      </w:pPr>
    </w:p>
    <w:p w14:paraId="3BCD1281" w14:textId="77777777" w:rsidR="002431C4" w:rsidRDefault="002431C4" w:rsidP="002431C4">
      <w:pPr>
        <w:pStyle w:val="Default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Objednatel se zavazuje: </w:t>
      </w:r>
    </w:p>
    <w:p w14:paraId="454BB5C8" w14:textId="6ADFC2AB" w:rsidR="002431C4" w:rsidRDefault="002431C4" w:rsidP="002431C4">
      <w:pPr>
        <w:pStyle w:val="Default"/>
        <w:numPr>
          <w:ilvl w:val="0"/>
          <w:numId w:val="5"/>
        </w:numPr>
        <w:spacing w:after="15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předložit Dodavateli požadované dokumenty uvedené v čl.</w:t>
      </w:r>
      <w:r w:rsidR="00ED6AA8">
        <w:rPr>
          <w:rFonts w:ascii="Arial" w:hAnsi="Arial" w:cs="Arial"/>
          <w:color w:val="00000A"/>
          <w:sz w:val="20"/>
          <w:szCs w:val="20"/>
        </w:rPr>
        <w:t xml:space="preserve"> </w:t>
      </w:r>
      <w:r>
        <w:rPr>
          <w:rFonts w:ascii="Arial" w:hAnsi="Arial" w:cs="Arial"/>
          <w:color w:val="00000A"/>
          <w:sz w:val="20"/>
          <w:szCs w:val="20"/>
        </w:rPr>
        <w:t xml:space="preserve">II této smlouvy v elektronické formě, a to nejpozději do 2 měsíců od uzavření této smlouvy, </w:t>
      </w:r>
    </w:p>
    <w:p w14:paraId="0489881C" w14:textId="77777777" w:rsidR="002431C4" w:rsidRDefault="002431C4" w:rsidP="002431C4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informovat o všech změnách souvisejících se součinností Objednatele podle čl. II této smlouvy oznámit min 14 dní před jejich realizací,</w:t>
      </w:r>
    </w:p>
    <w:p w14:paraId="2B375478" w14:textId="77777777" w:rsidR="002431C4" w:rsidRDefault="002431C4" w:rsidP="002431C4">
      <w:pPr>
        <w:pStyle w:val="Default"/>
        <w:numPr>
          <w:ilvl w:val="0"/>
          <w:numId w:val="5"/>
        </w:numPr>
        <w:jc w:val="both"/>
      </w:pPr>
      <w:r>
        <w:rPr>
          <w:rFonts w:ascii="Arial" w:hAnsi="Arial" w:cs="Arial"/>
          <w:color w:val="00000A"/>
          <w:sz w:val="20"/>
          <w:szCs w:val="20"/>
        </w:rPr>
        <w:t xml:space="preserve">uhradit činnosti nad rámec běžného paušálu v souladu s přílohou č. 1 Ceník, a to pouze na základě předchozího oboustranného písemného souhlasu podepsaného Dodavatelem i Objednatelem. </w:t>
      </w:r>
    </w:p>
    <w:p w14:paraId="1254032B" w14:textId="5A1850E8" w:rsidR="00E95D0D" w:rsidRDefault="00E95D0D" w:rsidP="00E95D0D">
      <w:pPr>
        <w:pStyle w:val="Nadpis1"/>
        <w:jc w:val="both"/>
      </w:pPr>
      <w:r>
        <w:t xml:space="preserve">Článek V </w:t>
      </w:r>
    </w:p>
    <w:p w14:paraId="3C0A4457" w14:textId="33DE6DED" w:rsidR="00E95D0D" w:rsidRDefault="00E95D0D" w:rsidP="00E95D0D">
      <w:pPr>
        <w:pStyle w:val="Default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b/>
          <w:bCs/>
          <w:color w:val="00000A"/>
          <w:sz w:val="20"/>
          <w:szCs w:val="20"/>
        </w:rPr>
        <w:t>Místo plnění</w:t>
      </w:r>
    </w:p>
    <w:p w14:paraId="65705EFC" w14:textId="77777777" w:rsidR="00E95D0D" w:rsidRDefault="00E95D0D" w:rsidP="00E95D0D">
      <w:pPr>
        <w:pStyle w:val="Bezmezer"/>
      </w:pPr>
      <w:r>
        <w:t>Vazební věznice Ostrava</w:t>
      </w:r>
    </w:p>
    <w:p w14:paraId="22F8C962" w14:textId="77777777" w:rsidR="00E95D0D" w:rsidRDefault="00E95D0D" w:rsidP="00E95D0D">
      <w:pPr>
        <w:pStyle w:val="Bezmezer"/>
      </w:pPr>
      <w:r>
        <w:t>P.O. BOX 28</w:t>
      </w:r>
    </w:p>
    <w:p w14:paraId="4BB46F60" w14:textId="3D52744B" w:rsidR="00E95D0D" w:rsidRDefault="00E95D0D" w:rsidP="00E95D0D">
      <w:pPr>
        <w:pStyle w:val="Bezmezer"/>
      </w:pPr>
      <w:r>
        <w:t>701 28 Moravská Ostrava a Přívoz</w:t>
      </w:r>
    </w:p>
    <w:p w14:paraId="04B03F36" w14:textId="0199C355" w:rsidR="002431C4" w:rsidRDefault="002431C4" w:rsidP="002431C4">
      <w:pPr>
        <w:pStyle w:val="Nadpis1"/>
        <w:jc w:val="both"/>
      </w:pPr>
      <w:r>
        <w:t>Článek V</w:t>
      </w:r>
      <w:r w:rsidR="00E95D0D">
        <w:t>I</w:t>
      </w:r>
      <w:r>
        <w:t xml:space="preserve"> </w:t>
      </w:r>
    </w:p>
    <w:p w14:paraId="7875B642" w14:textId="77777777" w:rsidR="002431C4" w:rsidRDefault="002431C4" w:rsidP="002431C4">
      <w:pPr>
        <w:pStyle w:val="Default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b/>
          <w:bCs/>
          <w:color w:val="00000A"/>
          <w:sz w:val="20"/>
          <w:szCs w:val="20"/>
        </w:rPr>
        <w:t xml:space="preserve">Cena a platební podmínky </w:t>
      </w:r>
    </w:p>
    <w:p w14:paraId="56DDF24B" w14:textId="77777777" w:rsidR="002431C4" w:rsidRDefault="002431C4" w:rsidP="002431C4">
      <w:pPr>
        <w:pStyle w:val="Default"/>
        <w:numPr>
          <w:ilvl w:val="0"/>
          <w:numId w:val="6"/>
        </w:numPr>
        <w:spacing w:after="212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Cena je sjednána dohodou dle zákona o cenách č. 526/1990 Sb. Cena je uvedena v ceníku, který je přílohou č. 1 k této smlouvě a je její nedílnou součástí. </w:t>
      </w:r>
    </w:p>
    <w:p w14:paraId="1BA50BE1" w14:textId="77777777" w:rsidR="002431C4" w:rsidRDefault="002431C4" w:rsidP="002431C4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Dodavatel prohlašuje, že uvedené číslo jeho bankovního účtu splňuje požadavky dle § 95 zákona č. 235/2004 Sb., o dani z přidané hodnoty, v platném znění, a jedná se o zveřejněné číslo účtu registrovaného plátce daně z přidané hodnoty. Dodavatel a Objednatel se dohodli, že veškeré platby mezi nimi se uskutečňují prostřednictvím bankovního spojení uvedeného v záhlaví této smlouvy. Objednatel si vyhrazuje právo provádět veškeré platby na účet Dodavatele předaný správci daně ke zveřejnění.</w:t>
      </w:r>
    </w:p>
    <w:p w14:paraId="25C5680B" w14:textId="77777777" w:rsidR="002431C4" w:rsidRDefault="002431C4" w:rsidP="002431C4">
      <w:pPr>
        <w:pStyle w:val="Default"/>
        <w:ind w:left="360"/>
        <w:jc w:val="both"/>
        <w:rPr>
          <w:rFonts w:ascii="Arial" w:hAnsi="Arial" w:cs="Arial"/>
          <w:color w:val="00000A"/>
          <w:sz w:val="20"/>
          <w:szCs w:val="20"/>
        </w:rPr>
      </w:pPr>
    </w:p>
    <w:p w14:paraId="21353568" w14:textId="77777777" w:rsidR="002431C4" w:rsidRDefault="002431C4" w:rsidP="002431C4">
      <w:pPr>
        <w:pStyle w:val="Default"/>
        <w:numPr>
          <w:ilvl w:val="0"/>
          <w:numId w:val="6"/>
        </w:numPr>
        <w:jc w:val="both"/>
      </w:pPr>
      <w:r>
        <w:rPr>
          <w:rFonts w:ascii="Arial" w:hAnsi="Arial" w:cs="Arial"/>
          <w:color w:val="00000A"/>
          <w:sz w:val="20"/>
          <w:szCs w:val="20"/>
        </w:rPr>
        <w:t>Dodavatel prohlašuje, že ke dni uzavření této smlouvy není veden v registru nespolehlivých plátců daně z přidané hodnoty a ani mu nejsou známy žádné skutečnosti, na základě kterých, by s ním správce daně mohl zahájit řízení o prohlášení za nespolehlivého plátce daně dle § 106a zák. č. 235/2004 Sb., o dani z přidané hodnoty, v platném znění.</w:t>
      </w:r>
    </w:p>
    <w:p w14:paraId="114E8E3B" w14:textId="77777777" w:rsidR="002431C4" w:rsidRDefault="002431C4" w:rsidP="002431C4">
      <w:pPr>
        <w:pStyle w:val="Default"/>
        <w:ind w:left="360"/>
        <w:jc w:val="both"/>
        <w:rPr>
          <w:rFonts w:ascii="Arial" w:hAnsi="Arial" w:cs="Arial"/>
          <w:color w:val="00000A"/>
          <w:sz w:val="20"/>
          <w:szCs w:val="20"/>
        </w:rPr>
      </w:pPr>
    </w:p>
    <w:p w14:paraId="0DB330CC" w14:textId="77777777" w:rsidR="002431C4" w:rsidRDefault="002431C4" w:rsidP="002431C4">
      <w:pPr>
        <w:pStyle w:val="Default"/>
        <w:numPr>
          <w:ilvl w:val="0"/>
          <w:numId w:val="6"/>
        </w:numPr>
        <w:spacing w:after="212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Pokud by nastaly okolnosti odůvodňující změnu dohodnuté ceny, předloží dotčený účastník návrh dodatku smlouvy upravující změnu ceny. Tato změna musí být odsouhlasena ve formě písemného dodatku podepsaného oběma smluvními stranami. </w:t>
      </w:r>
    </w:p>
    <w:p w14:paraId="2E63C0E7" w14:textId="77777777" w:rsidR="002431C4" w:rsidRDefault="002431C4" w:rsidP="002431C4">
      <w:pPr>
        <w:pStyle w:val="Default"/>
        <w:numPr>
          <w:ilvl w:val="0"/>
          <w:numId w:val="6"/>
        </w:numPr>
        <w:spacing w:after="212"/>
        <w:jc w:val="both"/>
      </w:pPr>
      <w:r>
        <w:rPr>
          <w:rFonts w:ascii="Arial" w:hAnsi="Arial" w:cs="Arial"/>
          <w:color w:val="00000A"/>
          <w:sz w:val="20"/>
          <w:szCs w:val="20"/>
        </w:rPr>
        <w:t>Dodavatel vyúčtuje Objednateli poskytnutou činnost fakturou, která bude obsahovat všechny náležitosti daňového dokladu</w:t>
      </w:r>
      <w:r w:rsidRPr="00B133AA">
        <w:rPr>
          <w:rFonts w:ascii="Arial" w:hAnsi="Arial" w:cs="Arial"/>
          <w:color w:val="00000A"/>
          <w:sz w:val="20"/>
          <w:szCs w:val="20"/>
        </w:rPr>
        <w:t>.</w:t>
      </w:r>
      <w:r>
        <w:rPr>
          <w:rFonts w:ascii="Arial" w:hAnsi="Arial" w:cs="Arial"/>
          <w:color w:val="00000A"/>
          <w:sz w:val="20"/>
          <w:szCs w:val="20"/>
        </w:rPr>
        <w:t xml:space="preserve"> DPH bude na faktuře uvedena jako samostatná položka. </w:t>
      </w:r>
      <w:r>
        <w:rPr>
          <w:rFonts w:ascii="Arial" w:hAnsi="Arial" w:cs="Arial"/>
          <w:sz w:val="20"/>
          <w:szCs w:val="20"/>
        </w:rPr>
        <w:t xml:space="preserve">V případě, že faktura nebude splňovat veškeré předepsané náležitosti, je Objednatel oprávněn zaslat ji Dodavateli zpět s tím, že Dodavatel je povinen vystavit fakturu novou, obsahující veškeré náležitosti. </w:t>
      </w:r>
      <w:r>
        <w:rPr>
          <w:rFonts w:ascii="Arial" w:hAnsi="Arial" w:cs="Arial"/>
          <w:sz w:val="20"/>
          <w:szCs w:val="20"/>
        </w:rPr>
        <w:lastRenderedPageBreak/>
        <w:t>Do doby vystavení řádného účetního dokladu se lhůta splatnosti přerušuje. Povinnost zaplatit je splněna dnem odepsání příslušné částky z účtu Objednatele.</w:t>
      </w:r>
      <w:r>
        <w:rPr>
          <w:rFonts w:ascii="Arial" w:hAnsi="Arial" w:cs="Arial"/>
          <w:color w:val="00000A"/>
          <w:sz w:val="20"/>
          <w:szCs w:val="20"/>
        </w:rPr>
        <w:t xml:space="preserve">  </w:t>
      </w:r>
    </w:p>
    <w:p w14:paraId="43EC19A3" w14:textId="7F5416BA" w:rsidR="002431C4" w:rsidRDefault="002431C4" w:rsidP="002431C4">
      <w:pPr>
        <w:pStyle w:val="Default"/>
        <w:numPr>
          <w:ilvl w:val="0"/>
          <w:numId w:val="6"/>
        </w:numPr>
        <w:spacing w:after="212"/>
        <w:jc w:val="both"/>
      </w:pPr>
      <w:r>
        <w:rPr>
          <w:rFonts w:ascii="Arial" w:hAnsi="Arial" w:cs="Arial"/>
          <w:color w:val="00000A"/>
          <w:sz w:val="20"/>
          <w:szCs w:val="20"/>
        </w:rPr>
        <w:t xml:space="preserve">Faktura bude vystavena v pravidelných měsíčních intervalech dle provedených činností, a to vždy </w:t>
      </w:r>
      <w:r w:rsidR="00971A6E">
        <w:rPr>
          <w:rFonts w:ascii="Arial" w:hAnsi="Arial" w:cs="Arial"/>
          <w:color w:val="00000A"/>
          <w:sz w:val="20"/>
          <w:szCs w:val="20"/>
        </w:rPr>
        <w:t>do</w:t>
      </w:r>
      <w:r>
        <w:rPr>
          <w:rFonts w:ascii="Arial" w:hAnsi="Arial" w:cs="Arial"/>
          <w:color w:val="00000A"/>
          <w:sz w:val="20"/>
          <w:szCs w:val="20"/>
        </w:rPr>
        <w:t> 15. dn</w:t>
      </w:r>
      <w:r w:rsidR="00971A6E">
        <w:rPr>
          <w:rFonts w:ascii="Arial" w:hAnsi="Arial" w:cs="Arial"/>
          <w:color w:val="00000A"/>
          <w:sz w:val="20"/>
          <w:szCs w:val="20"/>
        </w:rPr>
        <w:t xml:space="preserve">e </w:t>
      </w:r>
      <w:r>
        <w:rPr>
          <w:rFonts w:ascii="Arial" w:hAnsi="Arial" w:cs="Arial"/>
          <w:color w:val="00000A"/>
          <w:sz w:val="20"/>
          <w:szCs w:val="20"/>
        </w:rPr>
        <w:t xml:space="preserve">kalendářního měsíce. Smluvní strany se dohodly na době splatnosti 30 kalendářních dní od data vystavení faktury. </w:t>
      </w:r>
    </w:p>
    <w:p w14:paraId="53A05323" w14:textId="3CF752DD" w:rsidR="002431C4" w:rsidRPr="006F66A8" w:rsidRDefault="002431C4" w:rsidP="002431C4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Cena je stanovena pro stávající počet a skladbu zařízení Objednatele, v případě změny počtu nebo skladby těchto zařízení může být úměrně upravena </w:t>
      </w:r>
      <w:r w:rsidR="00CD4594">
        <w:rPr>
          <w:rFonts w:ascii="Arial" w:hAnsi="Arial" w:cs="Arial"/>
          <w:color w:val="00000A"/>
          <w:sz w:val="20"/>
          <w:szCs w:val="20"/>
        </w:rPr>
        <w:t>dodatkem</w:t>
      </w:r>
      <w:r>
        <w:rPr>
          <w:rFonts w:ascii="Arial" w:hAnsi="Arial" w:cs="Arial"/>
          <w:color w:val="00000A"/>
          <w:sz w:val="20"/>
          <w:szCs w:val="20"/>
        </w:rPr>
        <w:t xml:space="preserve"> této smlouvy.</w:t>
      </w:r>
    </w:p>
    <w:p w14:paraId="48A24626" w14:textId="07162D68" w:rsidR="002431C4" w:rsidRDefault="002431C4" w:rsidP="002431C4">
      <w:pPr>
        <w:pStyle w:val="Nadpis1"/>
        <w:jc w:val="both"/>
        <w:rPr>
          <w:rFonts w:cs="Times New Roman"/>
        </w:rPr>
      </w:pPr>
      <w:r>
        <w:t>Článek V</w:t>
      </w:r>
      <w:r w:rsidR="00A73889">
        <w:t>I</w:t>
      </w:r>
      <w:r w:rsidR="00E95D0D">
        <w:t>I</w:t>
      </w:r>
    </w:p>
    <w:p w14:paraId="1469F0E1" w14:textId="77777777" w:rsidR="002431C4" w:rsidRDefault="002431C4" w:rsidP="002431C4">
      <w:pPr>
        <w:pStyle w:val="Default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b/>
          <w:bCs/>
          <w:color w:val="00000A"/>
          <w:sz w:val="20"/>
          <w:szCs w:val="20"/>
        </w:rPr>
        <w:t xml:space="preserve">Ochrana informací </w:t>
      </w:r>
    </w:p>
    <w:p w14:paraId="3F4AAFBF" w14:textId="77777777" w:rsidR="002431C4" w:rsidRDefault="002431C4" w:rsidP="002431C4">
      <w:pPr>
        <w:pStyle w:val="Default"/>
        <w:numPr>
          <w:ilvl w:val="0"/>
          <w:numId w:val="7"/>
        </w:numPr>
        <w:spacing w:after="212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Smluvní strany jsou povinny zachovávat v tajnosti veškeré informace, které získají v průběhu činnosti prováděné na základě této smlouvy, jsou povinny zachovávat obchodní a provozní tajemství, o němž byly z titulu tohoto smluvního vztahu informovány. Toto ustanovení zůstává v platnosti i po ukončení této smlouvy z jakéhokoliv důvodu včetně odstoupení. </w:t>
      </w:r>
    </w:p>
    <w:p w14:paraId="2F44FB38" w14:textId="60F59926" w:rsidR="002431C4" w:rsidRPr="002431C4" w:rsidRDefault="002431C4" w:rsidP="002431C4">
      <w:pPr>
        <w:pStyle w:val="Nadpis1"/>
        <w:jc w:val="both"/>
      </w:pPr>
      <w:r>
        <w:t>Článek VI</w:t>
      </w:r>
      <w:r w:rsidR="00A73889">
        <w:t>I</w:t>
      </w:r>
      <w:r w:rsidR="00E95D0D">
        <w:t>I</w:t>
      </w:r>
    </w:p>
    <w:p w14:paraId="04665C1A" w14:textId="77777777" w:rsidR="002431C4" w:rsidRPr="00726248" w:rsidRDefault="002431C4" w:rsidP="002431C4">
      <w:pPr>
        <w:pStyle w:val="Default"/>
        <w:jc w:val="both"/>
        <w:rPr>
          <w:rFonts w:ascii="Arial" w:hAnsi="Arial" w:cs="Arial"/>
          <w:color w:val="00000A"/>
          <w:sz w:val="20"/>
          <w:szCs w:val="20"/>
        </w:rPr>
      </w:pPr>
      <w:r w:rsidRPr="00726248">
        <w:rPr>
          <w:rFonts w:ascii="Arial" w:hAnsi="Arial" w:cs="Arial"/>
          <w:b/>
          <w:bCs/>
          <w:color w:val="00000A"/>
          <w:sz w:val="20"/>
          <w:szCs w:val="20"/>
        </w:rPr>
        <w:t xml:space="preserve">Odstoupení od smlouvy </w:t>
      </w:r>
    </w:p>
    <w:p w14:paraId="65E8133B" w14:textId="77777777" w:rsidR="002431C4" w:rsidRPr="00726248" w:rsidRDefault="002431C4" w:rsidP="002431C4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12"/>
        <w:jc w:val="both"/>
        <w:rPr>
          <w:rFonts w:ascii="Arial" w:hAnsi="Arial" w:cs="Arial"/>
          <w:color w:val="auto"/>
          <w:sz w:val="20"/>
          <w:szCs w:val="20"/>
        </w:rPr>
      </w:pPr>
      <w:r w:rsidRPr="00726248">
        <w:rPr>
          <w:rFonts w:ascii="Arial" w:hAnsi="Arial" w:cs="Arial"/>
          <w:color w:val="auto"/>
          <w:sz w:val="20"/>
          <w:szCs w:val="20"/>
        </w:rPr>
        <w:t xml:space="preserve">V případě, že Objednatel nezajistí Dodavateli potřebnou součinnost dle této smlouvy, může Dodavatel od této smlouvy písemně jednostranně odstoupit s uvedením tohoto důvodu. </w:t>
      </w:r>
    </w:p>
    <w:p w14:paraId="1336AAB5" w14:textId="226FEBD9" w:rsidR="002431C4" w:rsidRPr="00726248" w:rsidRDefault="002431C4" w:rsidP="002431C4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12"/>
        <w:jc w:val="both"/>
        <w:rPr>
          <w:rFonts w:ascii="Arial" w:hAnsi="Arial" w:cs="Arial"/>
          <w:color w:val="auto"/>
          <w:sz w:val="20"/>
          <w:szCs w:val="20"/>
        </w:rPr>
      </w:pPr>
      <w:r w:rsidRPr="00726248">
        <w:rPr>
          <w:rFonts w:ascii="Arial" w:hAnsi="Arial" w:cs="Arial"/>
          <w:color w:val="auto"/>
          <w:sz w:val="20"/>
          <w:szCs w:val="20"/>
        </w:rPr>
        <w:t xml:space="preserve">Každá ze smluvních stran může </w:t>
      </w:r>
      <w:r>
        <w:rPr>
          <w:rFonts w:ascii="Arial" w:hAnsi="Arial" w:cs="Arial"/>
          <w:color w:val="auto"/>
          <w:sz w:val="20"/>
          <w:szCs w:val="20"/>
        </w:rPr>
        <w:t>odstoupit od</w:t>
      </w:r>
      <w:r w:rsidRPr="00726248">
        <w:rPr>
          <w:rFonts w:ascii="Arial" w:hAnsi="Arial" w:cs="Arial"/>
          <w:color w:val="auto"/>
          <w:sz w:val="20"/>
          <w:szCs w:val="20"/>
        </w:rPr>
        <w:t xml:space="preserve"> smlouv</w:t>
      </w:r>
      <w:r w:rsidR="009D2946">
        <w:rPr>
          <w:rFonts w:ascii="Arial" w:hAnsi="Arial" w:cs="Arial"/>
          <w:color w:val="auto"/>
          <w:sz w:val="20"/>
          <w:szCs w:val="20"/>
        </w:rPr>
        <w:t>y</w:t>
      </w:r>
      <w:r w:rsidRPr="00726248">
        <w:rPr>
          <w:rFonts w:ascii="Arial" w:hAnsi="Arial" w:cs="Arial"/>
          <w:color w:val="auto"/>
          <w:sz w:val="20"/>
          <w:szCs w:val="20"/>
        </w:rPr>
        <w:t xml:space="preserve"> při hrubém porušení smluvních podmínek druhou stranou. </w:t>
      </w:r>
    </w:p>
    <w:p w14:paraId="333FA74A" w14:textId="77777777" w:rsidR="002431C4" w:rsidRPr="00726248" w:rsidRDefault="002431C4" w:rsidP="002431C4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12"/>
        <w:jc w:val="both"/>
        <w:rPr>
          <w:rFonts w:ascii="Arial" w:hAnsi="Arial" w:cs="Arial"/>
          <w:color w:val="auto"/>
          <w:sz w:val="20"/>
          <w:szCs w:val="20"/>
        </w:rPr>
      </w:pPr>
      <w:r w:rsidRPr="00726248">
        <w:rPr>
          <w:rFonts w:ascii="Arial" w:hAnsi="Arial" w:cs="Arial"/>
          <w:color w:val="auto"/>
          <w:sz w:val="20"/>
          <w:szCs w:val="20"/>
        </w:rPr>
        <w:t xml:space="preserve">Odstoupení od této smlouvy lze učinit pouze písemně. </w:t>
      </w:r>
    </w:p>
    <w:p w14:paraId="2C018AF0" w14:textId="77777777" w:rsidR="002431C4" w:rsidRPr="006F66A8" w:rsidRDefault="002431C4" w:rsidP="002431C4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</w:rPr>
      </w:pPr>
      <w:r w:rsidRPr="00726248">
        <w:rPr>
          <w:rFonts w:ascii="Arial" w:hAnsi="Arial" w:cs="Arial"/>
          <w:color w:val="auto"/>
          <w:sz w:val="20"/>
          <w:szCs w:val="20"/>
        </w:rPr>
        <w:t xml:space="preserve">Smlouvu lze rovněž ukončit písemnou dohodou obou smluvních stran. </w:t>
      </w:r>
    </w:p>
    <w:p w14:paraId="523BF6D9" w14:textId="0BB90051" w:rsidR="002431C4" w:rsidRDefault="002431C4" w:rsidP="002431C4">
      <w:pPr>
        <w:pStyle w:val="Nadpis1"/>
        <w:jc w:val="both"/>
      </w:pPr>
      <w:r>
        <w:t xml:space="preserve">Článek </w:t>
      </w:r>
      <w:r w:rsidR="00E95D0D">
        <w:t>IX</w:t>
      </w:r>
    </w:p>
    <w:p w14:paraId="6179BE9E" w14:textId="77777777" w:rsidR="002431C4" w:rsidRDefault="002431C4" w:rsidP="002431C4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Záruka za dílo, pojištění a odpovědnost za škodu</w:t>
      </w:r>
    </w:p>
    <w:p w14:paraId="1692A0CC" w14:textId="77777777" w:rsidR="002431C4" w:rsidRDefault="002431C4" w:rsidP="002431C4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Záruční doba za jakost díla se řídí příslušnými ustanoveními zákona č. 89/2012 Sb., občanský zákoník ve znění pozdějších předpisů</w:t>
      </w:r>
    </w:p>
    <w:p w14:paraId="122F6D15" w14:textId="77777777" w:rsidR="002431C4" w:rsidRDefault="002431C4" w:rsidP="002431C4">
      <w:pPr>
        <w:pStyle w:val="Odstavecseseznamem"/>
        <w:numPr>
          <w:ilvl w:val="0"/>
          <w:numId w:val="12"/>
        </w:numPr>
        <w:jc w:val="both"/>
      </w:pPr>
      <w:r>
        <w:rPr>
          <w:rFonts w:ascii="Arial" w:hAnsi="Arial" w:cs="Arial"/>
          <w:sz w:val="20"/>
          <w:szCs w:val="20"/>
        </w:rPr>
        <w:t xml:space="preserve">Dodavatel se dále zavazuje, že po celou dobu trvání této smlouvy bude mít uzavřenou smlouvu o pojištění odpovědnosti za škodu na minimálně 10.000.000 Kč. </w:t>
      </w:r>
    </w:p>
    <w:p w14:paraId="4078703B" w14:textId="7A8E8DE6" w:rsidR="002431C4" w:rsidRDefault="002431C4" w:rsidP="002431C4">
      <w:pPr>
        <w:pStyle w:val="Nadpis1"/>
        <w:jc w:val="both"/>
        <w:rPr>
          <w:rFonts w:cs="Times New Roman"/>
        </w:rPr>
      </w:pPr>
      <w:r>
        <w:t xml:space="preserve">Článek </w:t>
      </w:r>
      <w:r w:rsidR="00A73889">
        <w:t>X</w:t>
      </w:r>
    </w:p>
    <w:p w14:paraId="67766AB6" w14:textId="77777777" w:rsidR="002431C4" w:rsidRDefault="002431C4" w:rsidP="002431C4">
      <w:pPr>
        <w:pStyle w:val="Default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>
        <w:rPr>
          <w:rFonts w:ascii="Arial" w:hAnsi="Arial" w:cs="Arial"/>
          <w:b/>
          <w:bCs/>
          <w:color w:val="00000A"/>
          <w:sz w:val="20"/>
          <w:szCs w:val="20"/>
        </w:rPr>
        <w:t>Smluvní pokuty</w:t>
      </w:r>
    </w:p>
    <w:p w14:paraId="44E8BBCE" w14:textId="77777777" w:rsidR="002431C4" w:rsidRDefault="002431C4" w:rsidP="002431C4">
      <w:pPr>
        <w:pStyle w:val="Default"/>
        <w:jc w:val="both"/>
        <w:rPr>
          <w:rFonts w:ascii="Arial" w:hAnsi="Arial" w:cs="Arial"/>
          <w:color w:val="00000A"/>
          <w:sz w:val="20"/>
          <w:szCs w:val="20"/>
        </w:rPr>
      </w:pPr>
    </w:p>
    <w:p w14:paraId="2F79B90F" w14:textId="4B01C04E" w:rsidR="002431C4" w:rsidRDefault="002431C4" w:rsidP="002431C4">
      <w:pPr>
        <w:pStyle w:val="Default"/>
        <w:numPr>
          <w:ilvl w:val="0"/>
          <w:numId w:val="11"/>
        </w:numPr>
        <w:jc w:val="both"/>
      </w:pPr>
      <w:r>
        <w:rPr>
          <w:rFonts w:ascii="Arial" w:hAnsi="Arial" w:cs="Arial"/>
          <w:color w:val="00000A"/>
          <w:sz w:val="20"/>
          <w:szCs w:val="20"/>
        </w:rPr>
        <w:t xml:space="preserve">Při nedodržení termínu </w:t>
      </w:r>
      <w:r w:rsidR="009D2946">
        <w:rPr>
          <w:rFonts w:ascii="Arial" w:hAnsi="Arial" w:cs="Arial"/>
          <w:color w:val="00000A"/>
          <w:sz w:val="20"/>
          <w:szCs w:val="20"/>
        </w:rPr>
        <w:t>plnění</w:t>
      </w:r>
      <w:r>
        <w:rPr>
          <w:rFonts w:ascii="Arial" w:hAnsi="Arial" w:cs="Arial"/>
          <w:color w:val="00000A"/>
          <w:sz w:val="20"/>
          <w:szCs w:val="20"/>
        </w:rPr>
        <w:t xml:space="preserve"> díla se Dodavatel zavazuje zaplatit Objednateli smluvní pokutu ve výši 0,05 % měsíčního paušálu za každý den prodlení.</w:t>
      </w:r>
    </w:p>
    <w:p w14:paraId="6BBD4B83" w14:textId="77777777" w:rsidR="002431C4" w:rsidRDefault="002431C4" w:rsidP="002431C4">
      <w:pPr>
        <w:pStyle w:val="Default"/>
        <w:ind w:left="360"/>
        <w:jc w:val="both"/>
        <w:rPr>
          <w:rFonts w:ascii="Arial" w:hAnsi="Arial" w:cs="Arial"/>
          <w:color w:val="00000A"/>
          <w:sz w:val="20"/>
          <w:szCs w:val="20"/>
        </w:rPr>
      </w:pPr>
    </w:p>
    <w:p w14:paraId="5806E357" w14:textId="6EB8EFB5" w:rsidR="002431C4" w:rsidRPr="00960926" w:rsidRDefault="002431C4" w:rsidP="002431C4">
      <w:pPr>
        <w:pStyle w:val="Default"/>
        <w:numPr>
          <w:ilvl w:val="0"/>
          <w:numId w:val="11"/>
        </w:numPr>
        <w:jc w:val="both"/>
      </w:pPr>
      <w:r>
        <w:rPr>
          <w:rFonts w:ascii="Arial" w:hAnsi="Arial" w:cs="Arial"/>
          <w:color w:val="00000A"/>
          <w:sz w:val="20"/>
          <w:szCs w:val="20"/>
        </w:rPr>
        <w:t xml:space="preserve">Při prodlení s úhradou faktury je Objednatel povinen zaplatit na požádání Dodavatele </w:t>
      </w:r>
      <w:r w:rsidR="009D2946">
        <w:rPr>
          <w:rFonts w:ascii="Arial" w:hAnsi="Arial" w:cs="Arial"/>
          <w:color w:val="00000A"/>
          <w:sz w:val="20"/>
          <w:szCs w:val="20"/>
        </w:rPr>
        <w:t xml:space="preserve">zákonný </w:t>
      </w:r>
      <w:r>
        <w:rPr>
          <w:rFonts w:ascii="Arial" w:hAnsi="Arial" w:cs="Arial"/>
          <w:color w:val="00000A"/>
          <w:sz w:val="20"/>
          <w:szCs w:val="20"/>
        </w:rPr>
        <w:t>úrok z prodlení. Při prodlení s úhradou faktury není Dodavatel oprávněn z důvodů prodlení pozastavit další dílčí plnění a takové prodlení nebude považováno za podstatné porušení smlouvy a nezakládá ani nárok Dodavatele na náhradu škody.</w:t>
      </w:r>
    </w:p>
    <w:p w14:paraId="1B4C5919" w14:textId="77777777" w:rsidR="002431C4" w:rsidRDefault="002431C4" w:rsidP="002431C4">
      <w:pPr>
        <w:pStyle w:val="Default"/>
        <w:jc w:val="both"/>
      </w:pPr>
    </w:p>
    <w:p w14:paraId="5B02DB6A" w14:textId="782F8E7E" w:rsidR="002431C4" w:rsidRDefault="002431C4" w:rsidP="002431C4">
      <w:pPr>
        <w:pStyle w:val="Nadpis1"/>
        <w:jc w:val="both"/>
        <w:rPr>
          <w:rFonts w:cs="Times New Roman"/>
        </w:rPr>
      </w:pPr>
      <w:r>
        <w:t xml:space="preserve">Článek </w:t>
      </w:r>
      <w:r w:rsidR="00A73889">
        <w:t>X</w:t>
      </w:r>
      <w:r w:rsidR="00E95D0D">
        <w:t>I</w:t>
      </w:r>
    </w:p>
    <w:p w14:paraId="17A8485A" w14:textId="77777777" w:rsidR="002431C4" w:rsidRDefault="002431C4" w:rsidP="002431C4">
      <w:pPr>
        <w:pStyle w:val="Default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b/>
          <w:bCs/>
          <w:color w:val="00000A"/>
          <w:sz w:val="20"/>
          <w:szCs w:val="20"/>
        </w:rPr>
        <w:t xml:space="preserve">Závěrečná ustanovení </w:t>
      </w:r>
    </w:p>
    <w:p w14:paraId="2DEC6C2E" w14:textId="097E11D8" w:rsidR="002431C4" w:rsidRDefault="002431C4" w:rsidP="002431C4">
      <w:pPr>
        <w:pStyle w:val="Default"/>
        <w:numPr>
          <w:ilvl w:val="0"/>
          <w:numId w:val="9"/>
        </w:numPr>
        <w:spacing w:after="214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Smlouva nabývá platnosti</w:t>
      </w:r>
      <w:r w:rsidR="009D2946">
        <w:rPr>
          <w:rFonts w:ascii="Arial" w:hAnsi="Arial" w:cs="Arial"/>
          <w:color w:val="00000A"/>
          <w:sz w:val="20"/>
          <w:szCs w:val="20"/>
        </w:rPr>
        <w:t xml:space="preserve"> dnem uzavření</w:t>
      </w:r>
      <w:r>
        <w:rPr>
          <w:rFonts w:ascii="Arial" w:hAnsi="Arial" w:cs="Arial"/>
          <w:color w:val="00000A"/>
          <w:sz w:val="20"/>
          <w:szCs w:val="20"/>
        </w:rPr>
        <w:t xml:space="preserve"> a účinnosti dnem </w:t>
      </w:r>
      <w:r w:rsidR="009D2946">
        <w:rPr>
          <w:rFonts w:ascii="Arial" w:hAnsi="Arial" w:cs="Arial"/>
          <w:color w:val="00000A"/>
          <w:sz w:val="20"/>
          <w:szCs w:val="20"/>
        </w:rPr>
        <w:t>zveřejnění v registru smluv v souladu se zákonem č. 340/2015 Sb., přičemž to zajistí Objednatel</w:t>
      </w:r>
      <w:r>
        <w:rPr>
          <w:rFonts w:ascii="Arial" w:hAnsi="Arial" w:cs="Arial"/>
          <w:color w:val="00000A"/>
          <w:sz w:val="20"/>
          <w:szCs w:val="20"/>
        </w:rPr>
        <w:t xml:space="preserve">. </w:t>
      </w:r>
    </w:p>
    <w:p w14:paraId="61FEDF20" w14:textId="56BDC02F" w:rsidR="002431C4" w:rsidRDefault="002431C4" w:rsidP="002431C4">
      <w:pPr>
        <w:pStyle w:val="Default"/>
        <w:numPr>
          <w:ilvl w:val="0"/>
          <w:numId w:val="9"/>
        </w:numPr>
        <w:spacing w:after="214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lastRenderedPageBreak/>
        <w:t>Smlouva se uzavírá na dobu neurčitou</w:t>
      </w:r>
      <w:r w:rsidR="009D2946">
        <w:rPr>
          <w:rFonts w:ascii="Arial" w:hAnsi="Arial" w:cs="Arial"/>
          <w:color w:val="00000A"/>
          <w:sz w:val="20"/>
          <w:szCs w:val="20"/>
        </w:rPr>
        <w:t xml:space="preserve">, nejdéle však do vyčerpání finančního limitu </w:t>
      </w:r>
      <w:proofErr w:type="gramStart"/>
      <w:r w:rsidR="009D2946">
        <w:rPr>
          <w:rFonts w:ascii="Arial" w:hAnsi="Arial" w:cs="Arial"/>
          <w:color w:val="00000A"/>
          <w:sz w:val="20"/>
          <w:szCs w:val="20"/>
        </w:rPr>
        <w:t>500.000,-</w:t>
      </w:r>
      <w:proofErr w:type="gramEnd"/>
      <w:r w:rsidR="009D2946">
        <w:rPr>
          <w:rFonts w:ascii="Arial" w:hAnsi="Arial" w:cs="Arial"/>
          <w:color w:val="00000A"/>
          <w:sz w:val="20"/>
          <w:szCs w:val="20"/>
        </w:rPr>
        <w:t xml:space="preserve"> Kč</w:t>
      </w:r>
      <w:r>
        <w:rPr>
          <w:rFonts w:ascii="Arial" w:hAnsi="Arial" w:cs="Arial"/>
          <w:color w:val="00000A"/>
          <w:sz w:val="20"/>
          <w:szCs w:val="20"/>
        </w:rPr>
        <w:t>. Každá ze smluvních stran je však oprávněna vypovědět tuto smlouvu bez udání důvodu tříměsíční výpovědní dobou. Výpověď musí být doručena druhé smluvní straně v písemné podobě, kdy počátek výpovědní doby počíná běžet první den následujícího kalendářního měsíce po měsíci, v němž byla výpověď prokazatelně doručena druhé straně.</w:t>
      </w:r>
    </w:p>
    <w:p w14:paraId="667C2E11" w14:textId="502147DB" w:rsidR="002431C4" w:rsidRPr="00E95D0D" w:rsidRDefault="002431C4" w:rsidP="00E95D0D">
      <w:pPr>
        <w:pStyle w:val="Default"/>
        <w:numPr>
          <w:ilvl w:val="0"/>
          <w:numId w:val="9"/>
        </w:numPr>
        <w:spacing w:after="214"/>
        <w:jc w:val="both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 xml:space="preserve">Smlouva se vyhotovuje ve dvou stejnopisech s platností originálu, po jednom vyhotovení pro každou smluvní stranu. </w:t>
      </w:r>
    </w:p>
    <w:p w14:paraId="0D88FA9A" w14:textId="77777777" w:rsidR="002431C4" w:rsidRPr="00BC1442" w:rsidRDefault="002431C4" w:rsidP="002431C4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může být měněna nebo doplňována jen na základě písemných, vzestupně souvisle číslovaných dodatků, podepsaných oběma smluvními stranami. </w:t>
      </w:r>
    </w:p>
    <w:p w14:paraId="16F456D0" w14:textId="77777777" w:rsidR="00B133AA" w:rsidRDefault="00B133AA">
      <w:pPr>
        <w:pStyle w:val="Default"/>
        <w:rPr>
          <w:rFonts w:ascii="Arial" w:hAnsi="Arial" w:cs="Arial"/>
          <w:color w:val="00000A"/>
          <w:sz w:val="20"/>
          <w:szCs w:val="20"/>
        </w:rPr>
      </w:pPr>
    </w:p>
    <w:tbl>
      <w:tblPr>
        <w:tblW w:w="9570" w:type="dxa"/>
        <w:tblInd w:w="-106" w:type="dxa"/>
        <w:tblLook w:val="00A0" w:firstRow="1" w:lastRow="0" w:firstColumn="1" w:lastColumn="0" w:noHBand="0" w:noVBand="0"/>
      </w:tblPr>
      <w:tblGrid>
        <w:gridCol w:w="3020"/>
        <w:gridCol w:w="1730"/>
        <w:gridCol w:w="4820"/>
      </w:tblGrid>
      <w:tr w:rsidR="00B133AA" w14:paraId="6A301E7D" w14:textId="77777777" w:rsidTr="00971A6E">
        <w:tc>
          <w:tcPr>
            <w:tcW w:w="3020" w:type="dxa"/>
          </w:tcPr>
          <w:p w14:paraId="36B33551" w14:textId="77777777" w:rsidR="00B133AA" w:rsidRPr="000D1059" w:rsidRDefault="008145D4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0D1059">
              <w:rPr>
                <w:rFonts w:ascii="Arial" w:hAnsi="Arial" w:cs="Arial"/>
                <w:color w:val="00000A"/>
                <w:sz w:val="20"/>
                <w:szCs w:val="20"/>
              </w:rPr>
              <w:t>V Brně</w:t>
            </w:r>
            <w:r w:rsidR="001950D9" w:rsidRPr="000D1059">
              <w:rPr>
                <w:rFonts w:ascii="Arial" w:hAnsi="Arial" w:cs="Arial"/>
                <w:color w:val="00000A"/>
                <w:sz w:val="20"/>
                <w:szCs w:val="20"/>
              </w:rPr>
              <w:t xml:space="preserve"> dne: </w:t>
            </w:r>
          </w:p>
        </w:tc>
        <w:tc>
          <w:tcPr>
            <w:tcW w:w="1730" w:type="dxa"/>
          </w:tcPr>
          <w:p w14:paraId="14113068" w14:textId="77777777" w:rsidR="00B133AA" w:rsidRPr="000D1059" w:rsidRDefault="00B133AA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27AC04C" w14:textId="408DBA71" w:rsidR="00B133AA" w:rsidRDefault="00726248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  <w:shd w:val="clear" w:color="auto" w:fill="FFFF00"/>
              </w:rPr>
            </w:pPr>
            <w:r w:rsidRPr="000D1059">
              <w:rPr>
                <w:rFonts w:ascii="Arial" w:hAnsi="Arial" w:cs="Arial"/>
                <w:color w:val="00000A"/>
                <w:sz w:val="20"/>
                <w:szCs w:val="20"/>
              </w:rPr>
              <w:t>V</w:t>
            </w:r>
            <w:r w:rsidR="00C3623B" w:rsidRPr="000D1059">
              <w:rPr>
                <w:rFonts w:ascii="Arial" w:hAnsi="Arial" w:cs="Arial"/>
                <w:color w:val="00000A"/>
                <w:sz w:val="20"/>
                <w:szCs w:val="20"/>
              </w:rPr>
              <w:t xml:space="preserve"> </w:t>
            </w:r>
            <w:r w:rsidR="00971A6E" w:rsidRPr="000D1059">
              <w:rPr>
                <w:rFonts w:ascii="Arial" w:hAnsi="Arial" w:cs="Arial"/>
                <w:color w:val="00000A"/>
                <w:sz w:val="20"/>
                <w:szCs w:val="20"/>
              </w:rPr>
              <w:t>Praze</w:t>
            </w:r>
            <w:r w:rsidR="001950D9" w:rsidRPr="000D1059">
              <w:rPr>
                <w:rFonts w:ascii="Arial" w:hAnsi="Arial" w:cs="Arial"/>
                <w:color w:val="00000A"/>
                <w:sz w:val="20"/>
                <w:szCs w:val="20"/>
              </w:rPr>
              <w:t xml:space="preserve"> dne:</w:t>
            </w:r>
            <w:r w:rsidR="003B0960">
              <w:rPr>
                <w:rFonts w:ascii="Arial" w:hAnsi="Arial" w:cs="Arial"/>
                <w:color w:val="00000A"/>
                <w:sz w:val="20"/>
                <w:szCs w:val="20"/>
              </w:rPr>
              <w:t xml:space="preserve"> </w:t>
            </w:r>
          </w:p>
        </w:tc>
      </w:tr>
      <w:tr w:rsidR="00B133AA" w14:paraId="53617095" w14:textId="77777777" w:rsidTr="00971A6E">
        <w:tc>
          <w:tcPr>
            <w:tcW w:w="3020" w:type="dxa"/>
          </w:tcPr>
          <w:p w14:paraId="530E9D6A" w14:textId="77777777" w:rsidR="00B133AA" w:rsidRDefault="00B133AA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72B9DCF2" w14:textId="77777777" w:rsidR="00B133AA" w:rsidRDefault="00B133AA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5F5E3044" w14:textId="77777777" w:rsidR="00711AF8" w:rsidRDefault="00711AF8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3B6E8063" w14:textId="77777777" w:rsidR="00711AF8" w:rsidRDefault="00711AF8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19402E15" w14:textId="77777777" w:rsidR="00711AF8" w:rsidRDefault="00711AF8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4E34A67B" w14:textId="77777777" w:rsidR="00B133AA" w:rsidRDefault="00B133AA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54E3A821" w14:textId="77777777" w:rsidR="00B133AA" w:rsidRDefault="001950D9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_____________________</w:t>
            </w:r>
          </w:p>
          <w:p w14:paraId="3CB5E5F6" w14:textId="77777777" w:rsidR="00B133AA" w:rsidRDefault="00252841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Ing. Michal Koláček</w:t>
            </w:r>
          </w:p>
          <w:p w14:paraId="2943DE64" w14:textId="77777777" w:rsidR="00B133AA" w:rsidRDefault="001950D9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jednatel</w:t>
            </w:r>
          </w:p>
          <w:p w14:paraId="2BB77BDE" w14:textId="77777777" w:rsidR="00B133AA" w:rsidRDefault="001950D9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KLIRF Partner, s.r.o.</w:t>
            </w:r>
          </w:p>
          <w:p w14:paraId="3917CFD0" w14:textId="77777777" w:rsidR="00B133AA" w:rsidRDefault="00B133AA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730" w:type="dxa"/>
          </w:tcPr>
          <w:p w14:paraId="618C2212" w14:textId="77777777" w:rsidR="00B133AA" w:rsidRDefault="00B133AA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803FFA1" w14:textId="77777777" w:rsidR="00B133AA" w:rsidRDefault="00B133AA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  <w:shd w:val="clear" w:color="auto" w:fill="FFFF00"/>
              </w:rPr>
            </w:pPr>
          </w:p>
          <w:p w14:paraId="2C729D54" w14:textId="77777777" w:rsidR="00B133AA" w:rsidRDefault="00B133AA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  <w:shd w:val="clear" w:color="auto" w:fill="FFFF00"/>
              </w:rPr>
            </w:pPr>
          </w:p>
          <w:p w14:paraId="440A7130" w14:textId="77777777" w:rsidR="00711AF8" w:rsidRDefault="00711AF8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  <w:shd w:val="clear" w:color="auto" w:fill="FFFF00"/>
              </w:rPr>
            </w:pPr>
          </w:p>
          <w:p w14:paraId="5FA517D3" w14:textId="77777777" w:rsidR="00711AF8" w:rsidRDefault="00711AF8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  <w:shd w:val="clear" w:color="auto" w:fill="FFFF00"/>
              </w:rPr>
            </w:pPr>
          </w:p>
          <w:p w14:paraId="5B8FEE3D" w14:textId="77777777" w:rsidR="00711AF8" w:rsidRDefault="00711AF8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  <w:shd w:val="clear" w:color="auto" w:fill="FFFF00"/>
              </w:rPr>
            </w:pPr>
          </w:p>
          <w:p w14:paraId="3BB38C47" w14:textId="77777777" w:rsidR="00B133AA" w:rsidRDefault="00B133AA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  <w:p w14:paraId="72194BC4" w14:textId="68C4AAC7" w:rsidR="00B133AA" w:rsidRDefault="001950D9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______________________</w:t>
            </w:r>
            <w:r w:rsidR="00971A6E">
              <w:rPr>
                <w:rFonts w:ascii="Arial" w:hAnsi="Arial" w:cs="Arial"/>
                <w:color w:val="00000A"/>
                <w:sz w:val="20"/>
                <w:szCs w:val="20"/>
              </w:rPr>
              <w:t>____</w:t>
            </w:r>
          </w:p>
          <w:p w14:paraId="4F7CA573" w14:textId="19B04912" w:rsidR="00B133AA" w:rsidRDefault="00971A6E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971A6E">
              <w:rPr>
                <w:rFonts w:ascii="Arial" w:hAnsi="Arial" w:cs="Arial"/>
                <w:color w:val="00000A"/>
                <w:sz w:val="20"/>
                <w:szCs w:val="20"/>
              </w:rPr>
              <w:t>MUDr. Ondřej Felix, MBA, LL.M.,</w:t>
            </w:r>
          </w:p>
          <w:p w14:paraId="7BE4015E" w14:textId="3BCB1242" w:rsidR="00D371BC" w:rsidRDefault="00FE3C0F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ředitel</w:t>
            </w:r>
          </w:p>
          <w:p w14:paraId="7515761F" w14:textId="2EC42BF4" w:rsidR="00B133AA" w:rsidRPr="00E50BC1" w:rsidRDefault="00971A6E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971A6E">
              <w:rPr>
                <w:rFonts w:ascii="Arial" w:hAnsi="Arial" w:cs="Arial"/>
                <w:color w:val="00000A"/>
                <w:sz w:val="20"/>
                <w:szCs w:val="20"/>
              </w:rPr>
              <w:t>Zdravotnická zařízení Ministerstva spravedlnosti</w:t>
            </w:r>
          </w:p>
        </w:tc>
      </w:tr>
      <w:tr w:rsidR="00B133AA" w14:paraId="3E2DD311" w14:textId="77777777" w:rsidTr="00971A6E">
        <w:tc>
          <w:tcPr>
            <w:tcW w:w="3020" w:type="dxa"/>
          </w:tcPr>
          <w:p w14:paraId="5C28DE91" w14:textId="77777777" w:rsidR="00B133AA" w:rsidRDefault="001950D9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Dodavatel</w:t>
            </w:r>
          </w:p>
        </w:tc>
        <w:tc>
          <w:tcPr>
            <w:tcW w:w="1730" w:type="dxa"/>
          </w:tcPr>
          <w:p w14:paraId="26EF43BC" w14:textId="77777777" w:rsidR="00B133AA" w:rsidRDefault="00B133AA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4063BB8" w14:textId="77777777" w:rsidR="00B133AA" w:rsidRDefault="00725FA3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hAnsi="Arial" w:cs="Arial"/>
                <w:color w:val="00000A"/>
                <w:sz w:val="20"/>
                <w:szCs w:val="20"/>
              </w:rPr>
              <w:t>Objednatel</w:t>
            </w:r>
          </w:p>
        </w:tc>
      </w:tr>
      <w:tr w:rsidR="006B5DC3" w14:paraId="12475223" w14:textId="77777777" w:rsidTr="00971A6E">
        <w:tc>
          <w:tcPr>
            <w:tcW w:w="3020" w:type="dxa"/>
          </w:tcPr>
          <w:p w14:paraId="7F07091D" w14:textId="77777777" w:rsidR="006B5DC3" w:rsidRDefault="006B5DC3" w:rsidP="00723276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BF5AAD9" w14:textId="77777777" w:rsidR="006B5DC3" w:rsidRDefault="006B5DC3" w:rsidP="00723276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AA836B4" w14:textId="77777777" w:rsidR="006B5DC3" w:rsidRDefault="006B5DC3" w:rsidP="006B5DC3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  <w:shd w:val="clear" w:color="auto" w:fill="FFFF00"/>
              </w:rPr>
            </w:pPr>
          </w:p>
        </w:tc>
      </w:tr>
      <w:tr w:rsidR="006B5DC3" w14:paraId="59595ABB" w14:textId="77777777" w:rsidTr="00971A6E">
        <w:tc>
          <w:tcPr>
            <w:tcW w:w="3020" w:type="dxa"/>
          </w:tcPr>
          <w:p w14:paraId="5526CBC6" w14:textId="77777777" w:rsidR="006B5DC3" w:rsidRDefault="006B5DC3" w:rsidP="00723276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C645A93" w14:textId="77777777" w:rsidR="006B5DC3" w:rsidRDefault="006B5DC3" w:rsidP="00723276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0F3859B" w14:textId="77777777" w:rsidR="006B5DC3" w:rsidRDefault="006B5DC3" w:rsidP="00723276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w:rsidR="006B5DC3" w14:paraId="386D3C6F" w14:textId="77777777" w:rsidTr="00971A6E">
        <w:tc>
          <w:tcPr>
            <w:tcW w:w="3020" w:type="dxa"/>
          </w:tcPr>
          <w:p w14:paraId="53FAA674" w14:textId="77777777" w:rsidR="006B5DC3" w:rsidRDefault="006B5DC3" w:rsidP="00723276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730" w:type="dxa"/>
          </w:tcPr>
          <w:p w14:paraId="51D086E8" w14:textId="77777777" w:rsidR="006B5DC3" w:rsidRDefault="006B5DC3" w:rsidP="00723276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7D45928" w14:textId="77777777" w:rsidR="006B5DC3" w:rsidRDefault="006B5DC3" w:rsidP="006B5DC3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  <w:shd w:val="clear" w:color="auto" w:fill="FFFF00"/>
              </w:rPr>
            </w:pPr>
          </w:p>
        </w:tc>
      </w:tr>
      <w:tr w:rsidR="006B5DC3" w14:paraId="1660AB6D" w14:textId="77777777" w:rsidTr="00971A6E">
        <w:tc>
          <w:tcPr>
            <w:tcW w:w="3020" w:type="dxa"/>
          </w:tcPr>
          <w:p w14:paraId="51B42D30" w14:textId="77777777" w:rsidR="006B5DC3" w:rsidRDefault="006B5DC3" w:rsidP="00723276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730" w:type="dxa"/>
          </w:tcPr>
          <w:p w14:paraId="0836737E" w14:textId="77777777" w:rsidR="006B5DC3" w:rsidRDefault="006B5DC3" w:rsidP="00723276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BF94F37" w14:textId="77777777" w:rsidR="006B5DC3" w:rsidRDefault="006B5DC3" w:rsidP="00723276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w:rsidR="00B133AA" w14:paraId="70F3E288" w14:textId="77777777" w:rsidTr="00971A6E">
        <w:tc>
          <w:tcPr>
            <w:tcW w:w="3020" w:type="dxa"/>
          </w:tcPr>
          <w:p w14:paraId="159D4227" w14:textId="77777777" w:rsidR="00B133AA" w:rsidRDefault="00B133AA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CFF8591" w14:textId="77777777" w:rsidR="00B133AA" w:rsidRDefault="00B133AA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1B3FCBF" w14:textId="77777777" w:rsidR="00B133AA" w:rsidRDefault="00B133AA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w:rsidR="00B133AA" w14:paraId="7B7261A2" w14:textId="77777777" w:rsidTr="00971A6E">
        <w:tc>
          <w:tcPr>
            <w:tcW w:w="3020" w:type="dxa"/>
          </w:tcPr>
          <w:p w14:paraId="57466F9F" w14:textId="77777777" w:rsidR="00B133AA" w:rsidRDefault="00B133AA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4350D0A" w14:textId="77777777" w:rsidR="00B133AA" w:rsidRDefault="00B133AA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2421026" w14:textId="77777777" w:rsidR="00B133AA" w:rsidRDefault="00B133AA">
            <w:pPr>
              <w:pStyle w:val="Default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</w:tbl>
    <w:p w14:paraId="6E189044" w14:textId="77777777" w:rsidR="008145D4" w:rsidRDefault="008145D4" w:rsidP="006B5DC3">
      <w:pPr>
        <w:pStyle w:val="Default"/>
        <w:rPr>
          <w:rFonts w:ascii="Arial" w:hAnsi="Arial" w:cs="Arial"/>
          <w:color w:val="00000A"/>
          <w:sz w:val="20"/>
          <w:szCs w:val="20"/>
        </w:rPr>
      </w:pPr>
    </w:p>
    <w:p w14:paraId="3F6369AE" w14:textId="77777777" w:rsidR="008145D4" w:rsidRDefault="008145D4">
      <w:pPr>
        <w:suppressAutoHyphens w:val="0"/>
        <w:spacing w:after="0" w:line="240" w:lineRule="auto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br w:type="page"/>
      </w:r>
    </w:p>
    <w:p w14:paraId="63D9FE1E" w14:textId="77777777" w:rsidR="00B133AA" w:rsidRPr="006B5DC3" w:rsidRDefault="00B133AA" w:rsidP="006B5DC3">
      <w:pPr>
        <w:pStyle w:val="Default"/>
        <w:rPr>
          <w:rFonts w:ascii="Arial" w:hAnsi="Arial" w:cs="Arial"/>
          <w:color w:val="00000A"/>
          <w:sz w:val="20"/>
          <w:szCs w:val="20"/>
        </w:rPr>
      </w:pPr>
    </w:p>
    <w:p w14:paraId="3CF6B0CC" w14:textId="77777777" w:rsidR="00B133AA" w:rsidRDefault="00B133AA">
      <w:pPr>
        <w:pStyle w:val="Default"/>
        <w:rPr>
          <w:rFonts w:ascii="Arial" w:hAnsi="Arial" w:cs="Arial"/>
          <w:color w:val="00000A"/>
          <w:sz w:val="20"/>
          <w:szCs w:val="20"/>
        </w:rPr>
      </w:pPr>
    </w:p>
    <w:p w14:paraId="5EE94B2A" w14:textId="2ED0CD60" w:rsidR="00B133AA" w:rsidRDefault="008145D4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Příloha č. 1 smlouvy č. S0</w:t>
      </w:r>
      <w:r w:rsidR="00246A3E">
        <w:rPr>
          <w:rFonts w:ascii="Arial" w:hAnsi="Arial" w:cs="Arial"/>
          <w:b/>
          <w:bCs/>
          <w:sz w:val="28"/>
          <w:szCs w:val="28"/>
        </w:rPr>
        <w:t>1-</w:t>
      </w:r>
      <w:r w:rsidR="000D1059">
        <w:rPr>
          <w:rFonts w:ascii="Arial" w:hAnsi="Arial" w:cs="Arial"/>
          <w:b/>
          <w:bCs/>
          <w:sz w:val="28"/>
          <w:szCs w:val="28"/>
        </w:rPr>
        <w:t>146</w:t>
      </w:r>
      <w:r>
        <w:rPr>
          <w:rFonts w:ascii="Arial" w:hAnsi="Arial" w:cs="Arial"/>
          <w:b/>
          <w:bCs/>
          <w:sz w:val="28"/>
          <w:szCs w:val="28"/>
        </w:rPr>
        <w:t>-</w:t>
      </w:r>
      <w:r w:rsidR="00A73889">
        <w:rPr>
          <w:rFonts w:ascii="Arial" w:hAnsi="Arial" w:cs="Arial"/>
          <w:b/>
          <w:bCs/>
          <w:sz w:val="28"/>
          <w:szCs w:val="28"/>
        </w:rPr>
        <w:t>2</w:t>
      </w:r>
      <w:r w:rsidR="000D1059">
        <w:rPr>
          <w:rFonts w:ascii="Arial" w:hAnsi="Arial" w:cs="Arial"/>
          <w:b/>
          <w:bCs/>
          <w:sz w:val="28"/>
          <w:szCs w:val="28"/>
        </w:rPr>
        <w:t>5</w:t>
      </w:r>
    </w:p>
    <w:p w14:paraId="36F567EB" w14:textId="77777777" w:rsidR="00B133AA" w:rsidRDefault="00B133AA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FA07E28" w14:textId="77777777" w:rsidR="00B133AA" w:rsidRDefault="001950D9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Seznam zařízení</w:t>
      </w:r>
    </w:p>
    <w:tbl>
      <w:tblPr>
        <w:tblW w:w="9073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7088"/>
        <w:gridCol w:w="992"/>
        <w:gridCol w:w="993"/>
      </w:tblGrid>
      <w:tr w:rsidR="00B133AA" w14:paraId="42695061" w14:textId="77777777" w:rsidTr="00F611D7"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B14B1ED" w14:textId="77777777" w:rsidR="00B133AA" w:rsidRDefault="001950D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Skiagrafické stabilní zařízení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3FAB26D" w14:textId="77777777" w:rsidR="00B133AA" w:rsidRDefault="00D371B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39BFDED" w14:textId="443BD567" w:rsidR="00B133AA" w:rsidRDefault="00A80A1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1950D9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</w:tbl>
    <w:p w14:paraId="5D3D66A3" w14:textId="77777777" w:rsidR="00B133AA" w:rsidRDefault="00B133AA">
      <w:pPr>
        <w:pStyle w:val="Default"/>
        <w:rPr>
          <w:rFonts w:ascii="Arial" w:hAnsi="Arial" w:cs="Arial"/>
          <w:sz w:val="20"/>
          <w:szCs w:val="20"/>
        </w:rPr>
      </w:pPr>
    </w:p>
    <w:p w14:paraId="17976D69" w14:textId="77777777" w:rsidR="001523B7" w:rsidRPr="009462AA" w:rsidRDefault="001523B7" w:rsidP="001523B7">
      <w:pPr>
        <w:pStyle w:val="Default"/>
        <w:rPr>
          <w:rFonts w:ascii="Arial" w:hAnsi="Arial" w:cs="Arial"/>
          <w:b/>
          <w:sz w:val="20"/>
          <w:szCs w:val="20"/>
        </w:rPr>
      </w:pPr>
      <w:r w:rsidRPr="009462AA">
        <w:rPr>
          <w:rFonts w:ascii="Arial" w:hAnsi="Arial" w:cs="Arial"/>
          <w:b/>
          <w:sz w:val="20"/>
          <w:szCs w:val="20"/>
        </w:rPr>
        <w:t>Cena bez DPH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3"/>
        <w:gridCol w:w="992"/>
        <w:gridCol w:w="987"/>
      </w:tblGrid>
      <w:tr w:rsidR="004F250C" w:rsidRPr="009462AA" w14:paraId="25C8CE86" w14:textId="77777777" w:rsidTr="00820137">
        <w:tc>
          <w:tcPr>
            <w:tcW w:w="7083" w:type="dxa"/>
          </w:tcPr>
          <w:p w14:paraId="1E42EB90" w14:textId="2A5A813C" w:rsidR="004F250C" w:rsidRPr="009462AA" w:rsidRDefault="002431C4" w:rsidP="0082013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462AA">
              <w:rPr>
                <w:rFonts w:ascii="Arial" w:hAnsi="Arial" w:cs="Arial"/>
                <w:sz w:val="20"/>
                <w:szCs w:val="20"/>
              </w:rPr>
              <w:t xml:space="preserve">Zajištění dostupnosti dle čl. II (měsíčně) – </w:t>
            </w:r>
            <w:r w:rsidR="009462AA" w:rsidRPr="009462AA">
              <w:rPr>
                <w:rFonts w:ascii="Arial" w:hAnsi="Arial" w:cs="Arial"/>
                <w:sz w:val="20"/>
                <w:szCs w:val="20"/>
              </w:rPr>
              <w:t>dohlížející osoba</w:t>
            </w:r>
          </w:p>
        </w:tc>
        <w:tc>
          <w:tcPr>
            <w:tcW w:w="992" w:type="dxa"/>
          </w:tcPr>
          <w:p w14:paraId="0853A8D1" w14:textId="2BED42AD" w:rsidR="004F250C" w:rsidRPr="009462AA" w:rsidRDefault="00A73889" w:rsidP="00820137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462AA">
              <w:rPr>
                <w:rFonts w:ascii="Arial" w:hAnsi="Arial" w:cs="Arial"/>
                <w:sz w:val="20"/>
                <w:szCs w:val="20"/>
              </w:rPr>
              <w:t>5 000</w:t>
            </w:r>
          </w:p>
        </w:tc>
        <w:tc>
          <w:tcPr>
            <w:tcW w:w="987" w:type="dxa"/>
          </w:tcPr>
          <w:p w14:paraId="0C800191" w14:textId="77777777" w:rsidR="004F250C" w:rsidRPr="009462AA" w:rsidRDefault="004F250C" w:rsidP="0082013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462AA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E50BC1" w:rsidRPr="009462AA" w14:paraId="453FC33A" w14:textId="77777777" w:rsidTr="00820137">
        <w:tc>
          <w:tcPr>
            <w:tcW w:w="7083" w:type="dxa"/>
          </w:tcPr>
          <w:p w14:paraId="02EF4EC6" w14:textId="77777777" w:rsidR="00E50BC1" w:rsidRPr="009462AA" w:rsidRDefault="00E50BC1" w:rsidP="00E50BC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462AA">
              <w:rPr>
                <w:rFonts w:ascii="Arial" w:hAnsi="Arial" w:cs="Arial"/>
                <w:sz w:val="20"/>
                <w:szCs w:val="20"/>
              </w:rPr>
              <w:t>Cena za činnosti nad rámec dostupnosti bude sjednána před provedením prací na požádání objednatele a podle očekávaného rozsahu práce.</w:t>
            </w:r>
          </w:p>
        </w:tc>
        <w:tc>
          <w:tcPr>
            <w:tcW w:w="992" w:type="dxa"/>
          </w:tcPr>
          <w:p w14:paraId="31ADBFE6" w14:textId="46264587" w:rsidR="00E50BC1" w:rsidRPr="009462AA" w:rsidRDefault="002431C4" w:rsidP="00E50BC1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462AA">
              <w:rPr>
                <w:rFonts w:ascii="Arial" w:hAnsi="Arial" w:cs="Arial"/>
                <w:sz w:val="20"/>
                <w:szCs w:val="20"/>
              </w:rPr>
              <w:t>1</w:t>
            </w:r>
            <w:r w:rsidR="00A73889" w:rsidRPr="009462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62AA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987" w:type="dxa"/>
          </w:tcPr>
          <w:p w14:paraId="71A79659" w14:textId="77777777" w:rsidR="00E50BC1" w:rsidRPr="009462AA" w:rsidRDefault="00E50BC1" w:rsidP="00E50BC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462AA">
              <w:rPr>
                <w:rFonts w:ascii="Arial" w:hAnsi="Arial" w:cs="Arial"/>
                <w:sz w:val="20"/>
                <w:szCs w:val="20"/>
              </w:rPr>
              <w:t>Kč / hod</w:t>
            </w:r>
          </w:p>
        </w:tc>
      </w:tr>
      <w:tr w:rsidR="00E50BC1" w:rsidRPr="009462AA" w14:paraId="0A719B50" w14:textId="77777777" w:rsidTr="00820137">
        <w:tc>
          <w:tcPr>
            <w:tcW w:w="7083" w:type="dxa"/>
          </w:tcPr>
          <w:p w14:paraId="3A315B51" w14:textId="77777777" w:rsidR="00E50BC1" w:rsidRPr="009462AA" w:rsidRDefault="00E50BC1" w:rsidP="00E50BC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462AA">
              <w:rPr>
                <w:rFonts w:ascii="Arial" w:hAnsi="Arial" w:cs="Arial"/>
                <w:sz w:val="20"/>
                <w:szCs w:val="20"/>
              </w:rPr>
              <w:t>Cestovní náhrady</w:t>
            </w:r>
          </w:p>
        </w:tc>
        <w:tc>
          <w:tcPr>
            <w:tcW w:w="992" w:type="dxa"/>
          </w:tcPr>
          <w:p w14:paraId="128904B3" w14:textId="737BA139" w:rsidR="00E50BC1" w:rsidRPr="009462AA" w:rsidRDefault="00D371BC" w:rsidP="00E50BC1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462AA">
              <w:rPr>
                <w:rFonts w:ascii="Arial" w:hAnsi="Arial" w:cs="Arial"/>
                <w:sz w:val="20"/>
                <w:szCs w:val="20"/>
              </w:rPr>
              <w:t>1</w:t>
            </w:r>
            <w:r w:rsidR="002431C4" w:rsidRPr="009462A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7" w:type="dxa"/>
          </w:tcPr>
          <w:p w14:paraId="2D860B70" w14:textId="77777777" w:rsidR="00E50BC1" w:rsidRPr="009462AA" w:rsidRDefault="00E50BC1" w:rsidP="00E50BC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462AA">
              <w:rPr>
                <w:rFonts w:ascii="Arial" w:hAnsi="Arial" w:cs="Arial"/>
                <w:sz w:val="20"/>
                <w:szCs w:val="20"/>
              </w:rPr>
              <w:t>Kč / km</w:t>
            </w:r>
          </w:p>
        </w:tc>
      </w:tr>
    </w:tbl>
    <w:p w14:paraId="435FF473" w14:textId="77777777" w:rsidR="00B133AA" w:rsidRPr="009462AA" w:rsidRDefault="00B133AA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331B5F2" w14:textId="77777777" w:rsidR="000607D1" w:rsidRDefault="000607D1" w:rsidP="000607D1">
      <w:pPr>
        <w:pStyle w:val="Default"/>
        <w:rPr>
          <w:rFonts w:ascii="Arial" w:hAnsi="Arial" w:cs="Arial"/>
          <w:sz w:val="20"/>
          <w:szCs w:val="20"/>
        </w:rPr>
      </w:pPr>
      <w:r w:rsidRPr="009462AA">
        <w:rPr>
          <w:rFonts w:ascii="Arial" w:hAnsi="Arial" w:cs="Arial"/>
          <w:sz w:val="20"/>
          <w:szCs w:val="20"/>
        </w:rPr>
        <w:t>K ceně bude připočteno DPH dle platných předpisů.</w:t>
      </w:r>
    </w:p>
    <w:p w14:paraId="351DDA69" w14:textId="77777777" w:rsidR="00B133AA" w:rsidRDefault="00B133AA">
      <w:pPr>
        <w:pStyle w:val="Default"/>
        <w:rPr>
          <w:rFonts w:ascii="Arial" w:hAnsi="Arial" w:cs="Arial"/>
          <w:sz w:val="20"/>
          <w:szCs w:val="20"/>
        </w:rPr>
      </w:pPr>
    </w:p>
    <w:p w14:paraId="5550AB49" w14:textId="77777777" w:rsidR="00B133AA" w:rsidRDefault="00B133AA" w:rsidP="006B5DC3">
      <w:pPr>
        <w:pStyle w:val="Default"/>
      </w:pPr>
    </w:p>
    <w:p w14:paraId="12C7F1C1" w14:textId="77777777" w:rsidR="008145D4" w:rsidRDefault="008145D4" w:rsidP="006B5DC3">
      <w:pPr>
        <w:pStyle w:val="Default"/>
      </w:pPr>
    </w:p>
    <w:sectPr w:rsidR="008145D4" w:rsidSect="00B133A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A9258" w14:textId="77777777" w:rsidR="00AF2534" w:rsidRDefault="00AF2534" w:rsidP="00B133AA">
      <w:pPr>
        <w:spacing w:after="0" w:line="240" w:lineRule="auto"/>
      </w:pPr>
      <w:r>
        <w:separator/>
      </w:r>
    </w:p>
  </w:endnote>
  <w:endnote w:type="continuationSeparator" w:id="0">
    <w:p w14:paraId="43BAD399" w14:textId="77777777" w:rsidR="00AF2534" w:rsidRDefault="00AF2534" w:rsidP="00B13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DB1B" w14:textId="7ABB5A5A" w:rsidR="00B133AA" w:rsidRDefault="00B133AA">
    <w:pPr>
      <w:pStyle w:val="Zpat"/>
      <w:jc w:val="center"/>
    </w:pPr>
    <w:r>
      <w:rPr>
        <w:rFonts w:ascii="Arial" w:hAnsi="Arial" w:cs="Arial"/>
        <w:sz w:val="16"/>
        <w:szCs w:val="16"/>
      </w:rPr>
      <w:fldChar w:fldCharType="begin"/>
    </w:r>
    <w:r w:rsidR="001950D9">
      <w:instrText>PAGE \* ARABIC</w:instrText>
    </w:r>
    <w:r>
      <w:fldChar w:fldCharType="separate"/>
    </w:r>
    <w:r w:rsidR="00DC3E94">
      <w:rPr>
        <w:noProof/>
      </w:rPr>
      <w:t>5</w:t>
    </w:r>
    <w:r>
      <w:fldChar w:fldCharType="end"/>
    </w:r>
    <w:r w:rsidR="001950D9">
      <w:rPr>
        <w:rFonts w:ascii="Arial" w:hAnsi="Arial" w:cs="Arial"/>
        <w:sz w:val="16"/>
        <w:szCs w:val="16"/>
      </w:rPr>
      <w:t>/</w:t>
    </w:r>
    <w:r w:rsidR="00D953B2">
      <w:rPr>
        <w:noProof/>
      </w:rPr>
      <w:fldChar w:fldCharType="begin"/>
    </w:r>
    <w:r w:rsidR="00D953B2">
      <w:rPr>
        <w:noProof/>
      </w:rPr>
      <w:instrText>SECTIONPAGES  \* Arabic  \* MERGEFORMAT</w:instrText>
    </w:r>
    <w:r w:rsidR="00D953B2">
      <w:rPr>
        <w:noProof/>
      </w:rPr>
      <w:fldChar w:fldCharType="separate"/>
    </w:r>
    <w:r w:rsidR="00C16DE6">
      <w:rPr>
        <w:noProof/>
      </w:rPr>
      <w:t>5</w:t>
    </w:r>
    <w:r w:rsidR="00D953B2">
      <w:rPr>
        <w:noProof/>
      </w:rPr>
      <w:fldChar w:fldCharType="end"/>
    </w:r>
    <w:bookmarkStart w:id="0" w:name="__Fieldmark__568_868309363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95121" w14:textId="77777777" w:rsidR="00AF2534" w:rsidRDefault="00AF2534" w:rsidP="00B133AA">
      <w:pPr>
        <w:spacing w:after="0" w:line="240" w:lineRule="auto"/>
      </w:pPr>
      <w:r>
        <w:separator/>
      </w:r>
    </w:p>
  </w:footnote>
  <w:footnote w:type="continuationSeparator" w:id="0">
    <w:p w14:paraId="047DEBCB" w14:textId="77777777" w:rsidR="00AF2534" w:rsidRDefault="00AF2534" w:rsidP="00B13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1892B" w14:textId="2E1AECD2" w:rsidR="00B133AA" w:rsidRDefault="001950D9">
    <w:pPr>
      <w:pStyle w:val="Zhlav"/>
      <w:jc w:val="both"/>
      <w:rPr>
        <w:rFonts w:ascii="Arial" w:hAnsi="Arial" w:cs="Arial"/>
        <w:b/>
        <w:bCs/>
        <w:sz w:val="20"/>
        <w:szCs w:val="20"/>
      </w:rPr>
    </w:pPr>
    <w:r>
      <w:rPr>
        <w:noProof/>
        <w:lang w:eastAsia="cs-CZ"/>
      </w:rPr>
      <w:drawing>
        <wp:inline distT="0" distB="0" distL="0" distR="0" wp14:anchorId="5799A801" wp14:editId="3CCF1C0F">
          <wp:extent cx="1552575" cy="438150"/>
          <wp:effectExtent l="0" t="0" r="0" b="0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="0080200B">
      <w:rPr>
        <w:rFonts w:ascii="Arial" w:hAnsi="Arial" w:cs="Arial"/>
        <w:sz w:val="20"/>
        <w:szCs w:val="20"/>
      </w:rPr>
      <w:t xml:space="preserve">Smlouva č. </w:t>
    </w:r>
    <w:r w:rsidR="008145D4">
      <w:rPr>
        <w:rFonts w:ascii="Arial" w:hAnsi="Arial" w:cs="Arial"/>
        <w:sz w:val="20"/>
        <w:szCs w:val="20"/>
      </w:rPr>
      <w:t>S0</w:t>
    </w:r>
    <w:r w:rsidR="00D953B2">
      <w:rPr>
        <w:rFonts w:ascii="Arial" w:hAnsi="Arial" w:cs="Arial"/>
        <w:sz w:val="20"/>
        <w:szCs w:val="20"/>
      </w:rPr>
      <w:t>1-</w:t>
    </w:r>
    <w:r w:rsidR="00971A6E">
      <w:rPr>
        <w:rFonts w:ascii="Arial" w:hAnsi="Arial" w:cs="Arial"/>
        <w:sz w:val="20"/>
        <w:szCs w:val="20"/>
      </w:rPr>
      <w:t>146</w:t>
    </w:r>
    <w:r w:rsidR="008145D4">
      <w:rPr>
        <w:rFonts w:ascii="Arial" w:hAnsi="Arial" w:cs="Arial"/>
        <w:sz w:val="20"/>
        <w:szCs w:val="20"/>
      </w:rPr>
      <w:t>-</w:t>
    </w:r>
    <w:r w:rsidR="002431C4">
      <w:rPr>
        <w:rFonts w:ascii="Arial" w:hAnsi="Arial" w:cs="Arial"/>
        <w:sz w:val="20"/>
        <w:szCs w:val="20"/>
      </w:rPr>
      <w:t>2</w:t>
    </w:r>
    <w:r w:rsidR="00971A6E">
      <w:rPr>
        <w:rFonts w:ascii="Arial" w:hAnsi="Arial" w:cs="Arial"/>
        <w:sz w:val="20"/>
        <w:szCs w:val="20"/>
      </w:rPr>
      <w:t>5</w:t>
    </w:r>
  </w:p>
  <w:p w14:paraId="1417F557" w14:textId="77777777" w:rsidR="00B133AA" w:rsidRDefault="001950D9">
    <w:pPr>
      <w:pStyle w:val="Zhlav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178"/>
    <w:multiLevelType w:val="multilevel"/>
    <w:tmpl w:val="2C7AC0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1D0602"/>
    <w:multiLevelType w:val="hybridMultilevel"/>
    <w:tmpl w:val="6C987BF0"/>
    <w:lvl w:ilvl="0" w:tplc="331AF4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D655EA"/>
    <w:multiLevelType w:val="multilevel"/>
    <w:tmpl w:val="64B4BA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7F31FF"/>
    <w:multiLevelType w:val="multilevel"/>
    <w:tmpl w:val="822AED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87A99"/>
    <w:multiLevelType w:val="multilevel"/>
    <w:tmpl w:val="301619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4C1FAD"/>
    <w:multiLevelType w:val="multilevel"/>
    <w:tmpl w:val="C01801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B41188"/>
    <w:multiLevelType w:val="multilevel"/>
    <w:tmpl w:val="A2FE7D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49A4E4A"/>
    <w:multiLevelType w:val="multilevel"/>
    <w:tmpl w:val="49663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95F73"/>
    <w:multiLevelType w:val="multilevel"/>
    <w:tmpl w:val="EF96C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59019E"/>
    <w:multiLevelType w:val="hybridMultilevel"/>
    <w:tmpl w:val="CC4C16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127F4C"/>
    <w:multiLevelType w:val="multilevel"/>
    <w:tmpl w:val="CA2228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AE13A8"/>
    <w:multiLevelType w:val="multilevel"/>
    <w:tmpl w:val="78E8DD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0302DA"/>
    <w:multiLevelType w:val="multilevel"/>
    <w:tmpl w:val="CA4C7A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C7514F9"/>
    <w:multiLevelType w:val="hybridMultilevel"/>
    <w:tmpl w:val="96C4697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A22672"/>
    <w:multiLevelType w:val="multilevel"/>
    <w:tmpl w:val="4A1A20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5F13F6"/>
    <w:multiLevelType w:val="multilevel"/>
    <w:tmpl w:val="DD3E1D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55561099">
    <w:abstractNumId w:val="12"/>
  </w:num>
  <w:num w:numId="2" w16cid:durableId="983511431">
    <w:abstractNumId w:val="5"/>
  </w:num>
  <w:num w:numId="3" w16cid:durableId="2032678566">
    <w:abstractNumId w:val="3"/>
  </w:num>
  <w:num w:numId="4" w16cid:durableId="1134983446">
    <w:abstractNumId w:val="8"/>
  </w:num>
  <w:num w:numId="5" w16cid:durableId="2127457118">
    <w:abstractNumId w:val="4"/>
  </w:num>
  <w:num w:numId="6" w16cid:durableId="2322683">
    <w:abstractNumId w:val="15"/>
  </w:num>
  <w:num w:numId="7" w16cid:durableId="1009255074">
    <w:abstractNumId w:val="7"/>
  </w:num>
  <w:num w:numId="8" w16cid:durableId="774593661">
    <w:abstractNumId w:val="11"/>
  </w:num>
  <w:num w:numId="9" w16cid:durableId="1684936406">
    <w:abstractNumId w:val="0"/>
  </w:num>
  <w:num w:numId="10" w16cid:durableId="983462257">
    <w:abstractNumId w:val="6"/>
  </w:num>
  <w:num w:numId="11" w16cid:durableId="526992430">
    <w:abstractNumId w:val="10"/>
  </w:num>
  <w:num w:numId="12" w16cid:durableId="1571575341">
    <w:abstractNumId w:val="14"/>
  </w:num>
  <w:num w:numId="13" w16cid:durableId="1609508884">
    <w:abstractNumId w:val="2"/>
  </w:num>
  <w:num w:numId="14" w16cid:durableId="1283725842">
    <w:abstractNumId w:val="9"/>
  </w:num>
  <w:num w:numId="15" w16cid:durableId="544175688">
    <w:abstractNumId w:val="1"/>
  </w:num>
  <w:num w:numId="16" w16cid:durableId="4691364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AA"/>
    <w:rsid w:val="000449B7"/>
    <w:rsid w:val="000607D1"/>
    <w:rsid w:val="00077D27"/>
    <w:rsid w:val="000B21E8"/>
    <w:rsid w:val="000D1059"/>
    <w:rsid w:val="000D1BD0"/>
    <w:rsid w:val="000E1E71"/>
    <w:rsid w:val="001523B7"/>
    <w:rsid w:val="00156F1E"/>
    <w:rsid w:val="001950D9"/>
    <w:rsid w:val="002340A3"/>
    <w:rsid w:val="00241D86"/>
    <w:rsid w:val="002423F8"/>
    <w:rsid w:val="002431C4"/>
    <w:rsid w:val="00246A3E"/>
    <w:rsid w:val="00252841"/>
    <w:rsid w:val="002812A6"/>
    <w:rsid w:val="002C3A65"/>
    <w:rsid w:val="002C4EE8"/>
    <w:rsid w:val="002D176E"/>
    <w:rsid w:val="002F6F58"/>
    <w:rsid w:val="00315826"/>
    <w:rsid w:val="00334776"/>
    <w:rsid w:val="00356255"/>
    <w:rsid w:val="00361324"/>
    <w:rsid w:val="003A4D8C"/>
    <w:rsid w:val="003B0960"/>
    <w:rsid w:val="003C6F85"/>
    <w:rsid w:val="00414797"/>
    <w:rsid w:val="0044436F"/>
    <w:rsid w:val="004A64B5"/>
    <w:rsid w:val="004C51BC"/>
    <w:rsid w:val="004E38AD"/>
    <w:rsid w:val="004F250C"/>
    <w:rsid w:val="00576EFB"/>
    <w:rsid w:val="005840A6"/>
    <w:rsid w:val="005A4BC8"/>
    <w:rsid w:val="005C36CF"/>
    <w:rsid w:val="005C5BE1"/>
    <w:rsid w:val="005D0E6B"/>
    <w:rsid w:val="006030AA"/>
    <w:rsid w:val="00622929"/>
    <w:rsid w:val="00675B68"/>
    <w:rsid w:val="00684442"/>
    <w:rsid w:val="006958B6"/>
    <w:rsid w:val="006B5DC3"/>
    <w:rsid w:val="006B5F1E"/>
    <w:rsid w:val="00710911"/>
    <w:rsid w:val="00711AF8"/>
    <w:rsid w:val="00713B1C"/>
    <w:rsid w:val="0072412F"/>
    <w:rsid w:val="00725FA3"/>
    <w:rsid w:val="00726248"/>
    <w:rsid w:val="00760299"/>
    <w:rsid w:val="0080200B"/>
    <w:rsid w:val="008145D4"/>
    <w:rsid w:val="00845B60"/>
    <w:rsid w:val="008707EE"/>
    <w:rsid w:val="008E16BA"/>
    <w:rsid w:val="00940D61"/>
    <w:rsid w:val="009462AA"/>
    <w:rsid w:val="00971A6E"/>
    <w:rsid w:val="009D2946"/>
    <w:rsid w:val="009D4858"/>
    <w:rsid w:val="00A022D6"/>
    <w:rsid w:val="00A176AB"/>
    <w:rsid w:val="00A22777"/>
    <w:rsid w:val="00A73889"/>
    <w:rsid w:val="00A80A10"/>
    <w:rsid w:val="00AA47DD"/>
    <w:rsid w:val="00AF2534"/>
    <w:rsid w:val="00B133AA"/>
    <w:rsid w:val="00B17E5E"/>
    <w:rsid w:val="00B27590"/>
    <w:rsid w:val="00B36D81"/>
    <w:rsid w:val="00B5296B"/>
    <w:rsid w:val="00B86591"/>
    <w:rsid w:val="00BB12C0"/>
    <w:rsid w:val="00BD3DA1"/>
    <w:rsid w:val="00BE16D2"/>
    <w:rsid w:val="00C00068"/>
    <w:rsid w:val="00C16DE6"/>
    <w:rsid w:val="00C3623B"/>
    <w:rsid w:val="00CA54C9"/>
    <w:rsid w:val="00CC72A9"/>
    <w:rsid w:val="00CD4594"/>
    <w:rsid w:val="00D371BC"/>
    <w:rsid w:val="00D43F5A"/>
    <w:rsid w:val="00D53BBA"/>
    <w:rsid w:val="00D67494"/>
    <w:rsid w:val="00D953B2"/>
    <w:rsid w:val="00DC3E94"/>
    <w:rsid w:val="00E437CE"/>
    <w:rsid w:val="00E47ABB"/>
    <w:rsid w:val="00E50BC1"/>
    <w:rsid w:val="00E6713D"/>
    <w:rsid w:val="00E72DCA"/>
    <w:rsid w:val="00E95D0D"/>
    <w:rsid w:val="00E95F53"/>
    <w:rsid w:val="00E960CF"/>
    <w:rsid w:val="00E96E11"/>
    <w:rsid w:val="00EA4690"/>
    <w:rsid w:val="00ED6AA8"/>
    <w:rsid w:val="00F36D97"/>
    <w:rsid w:val="00F540B3"/>
    <w:rsid w:val="00F611D7"/>
    <w:rsid w:val="00F66BDE"/>
    <w:rsid w:val="00FE3C0F"/>
    <w:rsid w:val="00F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FEBB"/>
  <w15:docId w15:val="{4FAA7E52-F1DF-48A8-8C03-F05B616C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316"/>
    <w:pPr>
      <w:suppressAutoHyphens/>
      <w:spacing w:after="160" w:line="259" w:lineRule="auto"/>
    </w:pPr>
    <w:rPr>
      <w:rFonts w:cs="Calibri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4115BF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sz w:val="28"/>
      <w:szCs w:val="28"/>
    </w:rPr>
  </w:style>
  <w:style w:type="paragraph" w:styleId="Nadpis2">
    <w:name w:val="heading 2"/>
    <w:basedOn w:val="Normln"/>
    <w:link w:val="Nadpis2Char"/>
    <w:uiPriority w:val="99"/>
    <w:qFormat/>
    <w:rsid w:val="004115BF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sz w:val="24"/>
      <w:szCs w:val="24"/>
    </w:rPr>
  </w:style>
  <w:style w:type="paragraph" w:styleId="Nadpis3">
    <w:name w:val="heading 3"/>
    <w:basedOn w:val="Nadpis"/>
    <w:rsid w:val="00B133AA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locked/>
    <w:rsid w:val="004115BF"/>
    <w:rPr>
      <w:rFonts w:ascii="Calibri Light" w:hAnsi="Calibri Light" w:cs="Calibri Light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qFormat/>
    <w:locked/>
    <w:rsid w:val="004115BF"/>
    <w:rPr>
      <w:rFonts w:ascii="Calibri Light" w:hAnsi="Calibri Light" w:cs="Calibri Light"/>
      <w:sz w:val="26"/>
      <w:szCs w:val="26"/>
    </w:rPr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2022E4"/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2022E4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763AAD"/>
    <w:rPr>
      <w:rFonts w:ascii="Segoe UI" w:hAnsi="Segoe UI" w:cs="Segoe UI"/>
      <w:sz w:val="18"/>
      <w:szCs w:val="18"/>
    </w:rPr>
  </w:style>
  <w:style w:type="character" w:customStyle="1" w:styleId="platne1">
    <w:name w:val="platne1"/>
    <w:basedOn w:val="Standardnpsmoodstavce"/>
    <w:uiPriority w:val="99"/>
    <w:qFormat/>
    <w:rsid w:val="00477ED3"/>
  </w:style>
  <w:style w:type="character" w:customStyle="1" w:styleId="ListLabel1">
    <w:name w:val="ListLabel 1"/>
    <w:qFormat/>
    <w:rsid w:val="00B133AA"/>
    <w:rPr>
      <w:rFonts w:cs="Symbol"/>
    </w:rPr>
  </w:style>
  <w:style w:type="character" w:customStyle="1" w:styleId="ListLabel2">
    <w:name w:val="ListLabel 2"/>
    <w:qFormat/>
    <w:rsid w:val="00B133AA"/>
    <w:rPr>
      <w:rFonts w:ascii="Arial" w:hAnsi="Arial" w:cs="Courier New"/>
      <w:sz w:val="20"/>
    </w:rPr>
  </w:style>
  <w:style w:type="character" w:customStyle="1" w:styleId="ListLabel3">
    <w:name w:val="ListLabel 3"/>
    <w:qFormat/>
    <w:rsid w:val="00B133AA"/>
    <w:rPr>
      <w:rFonts w:cs="Wingdings"/>
    </w:rPr>
  </w:style>
  <w:style w:type="paragraph" w:customStyle="1" w:styleId="Nadpis">
    <w:name w:val="Nadpis"/>
    <w:basedOn w:val="Normln"/>
    <w:next w:val="Tlotextu"/>
    <w:qFormat/>
    <w:rsid w:val="00B133A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lotextu">
    <w:name w:val="Tělo textu"/>
    <w:basedOn w:val="Normln"/>
    <w:rsid w:val="00B133AA"/>
    <w:pPr>
      <w:spacing w:after="140" w:line="288" w:lineRule="auto"/>
    </w:pPr>
  </w:style>
  <w:style w:type="paragraph" w:styleId="Seznam">
    <w:name w:val="List"/>
    <w:basedOn w:val="Tlotextu"/>
    <w:rsid w:val="00B133AA"/>
    <w:rPr>
      <w:rFonts w:cs="Lucida Sans"/>
    </w:rPr>
  </w:style>
  <w:style w:type="paragraph" w:customStyle="1" w:styleId="Popisek">
    <w:name w:val="Popisek"/>
    <w:basedOn w:val="Normln"/>
    <w:rsid w:val="00B133A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133AA"/>
    <w:pPr>
      <w:suppressLineNumbers/>
    </w:pPr>
    <w:rPr>
      <w:rFonts w:cs="Lucida Sans"/>
    </w:rPr>
  </w:style>
  <w:style w:type="paragraph" w:customStyle="1" w:styleId="Default">
    <w:name w:val="Default"/>
    <w:qFormat/>
    <w:rsid w:val="00345F98"/>
    <w:pPr>
      <w:suppressAutoHyphens/>
    </w:pPr>
    <w:rPr>
      <w:rFonts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2022E4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rsid w:val="002022E4"/>
    <w:pPr>
      <w:tabs>
        <w:tab w:val="center" w:pos="4536"/>
        <w:tab w:val="right" w:pos="9072"/>
      </w:tabs>
      <w:spacing w:after="0" w:line="240" w:lineRule="auto"/>
    </w:pPr>
  </w:style>
  <w:style w:type="paragraph" w:styleId="Bezmezer">
    <w:name w:val="No Spacing"/>
    <w:uiPriority w:val="99"/>
    <w:qFormat/>
    <w:rsid w:val="00EE7F49"/>
    <w:pPr>
      <w:suppressAutoHyphens/>
    </w:pPr>
    <w:rPr>
      <w:rFonts w:ascii="Arial" w:hAnsi="Arial" w:cs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qFormat/>
    <w:rsid w:val="00763AA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dentifikace">
    <w:name w:val="identifikace"/>
    <w:basedOn w:val="Normln"/>
    <w:uiPriority w:val="99"/>
    <w:qFormat/>
    <w:rsid w:val="00477ED3"/>
    <w:pPr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210EC"/>
    <w:pPr>
      <w:ind w:left="720"/>
    </w:pPr>
  </w:style>
  <w:style w:type="paragraph" w:customStyle="1" w:styleId="Quotations">
    <w:name w:val="Quotations"/>
    <w:basedOn w:val="Normln"/>
    <w:qFormat/>
    <w:rsid w:val="00B133AA"/>
  </w:style>
  <w:style w:type="paragraph" w:styleId="Nzev">
    <w:name w:val="Title"/>
    <w:basedOn w:val="Nadpis"/>
    <w:rsid w:val="00B133AA"/>
  </w:style>
  <w:style w:type="paragraph" w:styleId="Podnadpis">
    <w:name w:val="Subtitle"/>
    <w:basedOn w:val="Nadpis"/>
    <w:rsid w:val="00B133AA"/>
  </w:style>
  <w:style w:type="table" w:styleId="Mkatabulky">
    <w:name w:val="Table Grid"/>
    <w:basedOn w:val="Normlntabulka"/>
    <w:uiPriority w:val="99"/>
    <w:rsid w:val="002C6B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5840A6"/>
    <w:pPr>
      <w:tabs>
        <w:tab w:val="left" w:pos="0"/>
        <w:tab w:val="left" w:pos="567"/>
      </w:tabs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840A6"/>
    <w:rPr>
      <w:rFonts w:ascii="Arial" w:eastAsia="Times New Roman" w:hAnsi="Arial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40A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40A6"/>
    <w:rPr>
      <w:rFonts w:cs="Calibr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5840A6"/>
    <w:rPr>
      <w:vertAlign w:val="superscript"/>
    </w:rPr>
  </w:style>
  <w:style w:type="paragraph" w:styleId="Revize">
    <w:name w:val="Revision"/>
    <w:hidden/>
    <w:uiPriority w:val="99"/>
    <w:semiHidden/>
    <w:rsid w:val="002F6F58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3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1363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Vaclav Chaloupka</dc:creator>
  <cp:lastModifiedBy>Eliška Vaníčková</cp:lastModifiedBy>
  <cp:revision>4</cp:revision>
  <cp:lastPrinted>2024-12-04T18:09:00Z</cp:lastPrinted>
  <dcterms:created xsi:type="dcterms:W3CDTF">2025-09-04T11:58:00Z</dcterms:created>
  <dcterms:modified xsi:type="dcterms:W3CDTF">2025-09-09T08:58:00Z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