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Smlouva o zajištění dopravy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2" w:before="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rtl w:val="0"/>
        </w:rPr>
        <w:t xml:space="preserve">uzavřená v souladu s § 1746 odst. 2 zákona č. 89/2012 Sb., občanský zákoník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2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04">
      <w:pPr>
        <w:spacing w:after="142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tabs>
          <w:tab w:val="left" w:leader="none" w:pos="2376"/>
        </w:tabs>
        <w:spacing w:after="142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Objednatel:</w:t>
      </w:r>
    </w:p>
    <w:p w:rsidR="00000000" w:rsidDel="00000000" w:rsidP="00000000" w:rsidRDefault="00000000" w:rsidRPr="00000000" w14:paraId="00000006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Název: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Základní škola, Ostrava-Poruba, J. Valčíka 4411, příspěvková </w:t>
        <w:tab/>
        <w:t xml:space="preserve">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376"/>
        </w:tabs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Sídlo: </w:t>
        <w:tab/>
        <w:t xml:space="preserve">Josefa Valčíka 4411/2, Poruba, 708 00 Ostrava</w:t>
      </w:r>
    </w:p>
    <w:p w:rsidR="00000000" w:rsidDel="00000000" w:rsidP="00000000" w:rsidRDefault="00000000" w:rsidRPr="00000000" w14:paraId="00000008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Zastoupen:</w:t>
        <w:tab/>
        <w:t xml:space="preserve">Mgr. Miroslavem Bučánkem, ředitelem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376"/>
        </w:tabs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IČ: </w:t>
        <w:tab/>
        <w:t xml:space="preserve">64627918; DIČ: CZ64627918 (neplátce DPH)</w:t>
      </w:r>
    </w:p>
    <w:p w:rsidR="00000000" w:rsidDel="00000000" w:rsidP="00000000" w:rsidRDefault="00000000" w:rsidRPr="00000000" w14:paraId="0000000A">
      <w:pPr>
        <w:tabs>
          <w:tab w:val="left" w:leader="none" w:pos="2376"/>
        </w:tabs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 bankovního účtu:</w:t>
        <w:tab/>
        <w:t xml:space="preserve">59045/5500, Raiffeisen a.s.</w:t>
      </w:r>
    </w:p>
    <w:p w:rsidR="00000000" w:rsidDel="00000000" w:rsidP="00000000" w:rsidRDefault="00000000" w:rsidRPr="00000000" w14:paraId="0000000B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Telefon, email:</w:t>
        <w:tab/>
        <w:t xml:space="preserve">596 919 770, bucanekmiroslav@zsvalcika.cz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(dále jen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objednatel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376"/>
        </w:tabs>
        <w:spacing w:after="142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376"/>
        </w:tabs>
        <w:spacing w:after="142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Dodavatel:</w:t>
      </w:r>
    </w:p>
    <w:p w:rsidR="00000000" w:rsidDel="00000000" w:rsidP="00000000" w:rsidRDefault="00000000" w:rsidRPr="00000000" w14:paraId="0000000F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Název: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Jiří Kadula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Sídlo:</w:t>
        <w:tab/>
        <w:t xml:space="preserve">Zahradní 340,  747 64  Velká Polom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1">
      <w:pPr>
        <w:tabs>
          <w:tab w:val="left" w:leader="none" w:pos="2376"/>
        </w:tabs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Zastoupen:</w:t>
        <w:tab/>
        <w:t xml:space="preserve">Jiří Kadula</w:t>
      </w:r>
    </w:p>
    <w:p w:rsidR="00000000" w:rsidDel="00000000" w:rsidP="00000000" w:rsidRDefault="00000000" w:rsidRPr="00000000" w14:paraId="00000012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IČ:</w:t>
        <w:tab/>
      </w:r>
      <w:r w:rsidDel="00000000" w:rsidR="00000000" w:rsidRPr="00000000">
        <w:rPr>
          <w:rtl w:val="0"/>
        </w:rPr>
        <w:t xml:space="preserve">03016838,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 neplátce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376"/>
        </w:tabs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 bankovního účtu:</w:t>
        <w:tab/>
      </w:r>
    </w:p>
    <w:p w:rsidR="00000000" w:rsidDel="00000000" w:rsidP="00000000" w:rsidRDefault="00000000" w:rsidRPr="00000000" w14:paraId="00000014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Telefon, email:</w:t>
        <w:tab/>
        <w:t xml:space="preserve">603 309 696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jirikadula@seznam.cz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376"/>
        </w:tabs>
        <w:spacing w:after="0" w:before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(dále jen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dodavatel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713"/>
        </w:tabs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142" w:before="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dohodli na uzavření této smlouvy:</w:t>
      </w:r>
    </w:p>
    <w:p w:rsidR="00000000" w:rsidDel="00000000" w:rsidP="00000000" w:rsidRDefault="00000000" w:rsidRPr="00000000" w14:paraId="00000018">
      <w:pPr>
        <w:widowControl w:val="1"/>
        <w:spacing w:after="142" w:before="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2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spacing w:after="142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1440"/>
        </w:tabs>
        <w:spacing w:after="142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Dodavatel se zavazuje zajistit pro objednatele autobusovou dopravu na krytý bazén Poruba - SAREZA, kde budou probíhat kurzy plavání.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1440"/>
        </w:tabs>
        <w:spacing w:after="142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Termín: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17. 9. 2025 – 28. 1. 2026,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none"/>
          <w:rtl w:val="0"/>
        </w:rPr>
        <w:t xml:space="preserve">rozpis jednotlivých jízd je přílohou teto smlouvy včetně časového harmonogramu.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42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after="142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služeb, platební podmínky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za jednu přepravu je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4 000 Kč,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ať se jedná o jednu skupinu nebo dvě. Cena je vždy stejná.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Předpokládaný počet je 17 výjezdů, konečná cena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68 000 Kč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 všechny jízdy.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1713"/>
        </w:tabs>
        <w:spacing w:after="142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none"/>
          <w:rtl w:val="0"/>
        </w:rPr>
        <w:t xml:space="preserve">Faktura bude vždy vystavená po poslední jízdě daného měsíce.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Doba splatnosti faktury činí 14 dní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42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42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spacing w:after="142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Další ujednání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1440"/>
        </w:tabs>
        <w:spacing w:after="142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Přímým vyřizováním všech záležitostí spojených s touto smlouvou je pověřen:</w:t>
        <w:tab/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tabs>
          <w:tab w:val="left" w:leader="none" w:pos="1440"/>
        </w:tabs>
        <w:spacing w:after="142" w:before="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objednatele: Mgr. Bučánek Miroslav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tabs>
          <w:tab w:val="left" w:leader="none" w:pos="1440"/>
        </w:tabs>
        <w:spacing w:after="142" w:before="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dodavatele: Jiří Kadula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tabs>
          <w:tab w:val="left" w:leader="none" w:pos="1440"/>
        </w:tabs>
        <w:spacing w:after="142" w:before="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Dodavatel se zavazuje, že autobus bude vždy přistaven v čas u  ZŠ J. Valčíka.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440"/>
        </w:tabs>
        <w:spacing w:after="142" w:before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42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</w:t>
      </w:r>
    </w:p>
    <w:p w:rsidR="00000000" w:rsidDel="00000000" w:rsidP="00000000" w:rsidRDefault="00000000" w:rsidRPr="00000000" w14:paraId="0000002D">
      <w:pPr>
        <w:spacing w:after="142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Ustanovení přechodná a závěrečná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142" w:before="0" w:line="240" w:lineRule="auto"/>
        <w:ind w:left="720" w:right="0" w:hanging="360"/>
        <w:jc w:val="both"/>
        <w:rPr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 smlouvu lze upravit, doplnit nebo změnit pouze písemnými dodatky schválenými oprávněnými zástupci obou smluvních stran.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142" w:before="0" w:line="240" w:lineRule="auto"/>
        <w:ind w:left="720" w:right="0" w:hanging="360"/>
        <w:jc w:val="both"/>
        <w:rPr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případech výslovně neupravených v této smlouvě se použije odpovídající ustanovení občanského zákoníku.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142" w:before="0" w:line="240" w:lineRule="auto"/>
        <w:ind w:left="720" w:right="0" w:hanging="360"/>
        <w:jc w:val="both"/>
        <w:rPr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mohou tuto smlouvu vypovědět písemnou výpovědí doručenou smluvní straně.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142" w:before="0" w:line="240" w:lineRule="auto"/>
        <w:ind w:left="720" w:right="0" w:hanging="360"/>
        <w:jc w:val="both"/>
        <w:rPr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shodně prohlašují, že si tuto smlouvu před jejím podepsáním přečetly, že byla uzavřena po vzájemném projednání podle jejich pravé a svobodné vůle určitě, vážně a srozumitelně, a že se dohodly o celém jejím obsahu, což stvrzují svými podpisy.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142" w:before="0" w:line="240" w:lineRule="auto"/>
        <w:ind w:left="720" w:right="0" w:hanging="360"/>
        <w:jc w:val="both"/>
        <w:rPr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Smlouva nabývá platnosti dnem podpisu obou smluvních stran.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142" w:before="0" w:line="240" w:lineRule="auto"/>
        <w:ind w:left="720" w:right="0" w:hanging="360"/>
        <w:jc w:val="both"/>
        <w:rPr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Smlouva, na niž se vztahuje povinnost uveřejnění prostřednictvím registru smluv, nabývá účinnosti (je možné poskytovat plnění) nejdříve dnem uveřejnění. Smluvní strany souhlasí se zveřejněním smlouvy v plném rozsahu.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142" w:before="0" w:line="240" w:lineRule="auto"/>
        <w:ind w:left="720" w:right="0" w:hanging="360"/>
        <w:jc w:val="both"/>
        <w:rPr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Smlouva je vyhotovena ve dvou stejnopisech, z nichž každá ze smluvních stran obdrží jedno vyhotovení.</w:t>
      </w:r>
    </w:p>
    <w:p w:rsidR="00000000" w:rsidDel="00000000" w:rsidP="00000000" w:rsidRDefault="00000000" w:rsidRPr="00000000" w14:paraId="00000035">
      <w:pPr>
        <w:spacing w:after="142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1430"/>
          <w:tab w:val="center" w:leader="none" w:pos="7910"/>
        </w:tabs>
        <w:spacing w:after="142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 Ostravě-Porubě</w:t>
        <w:tab/>
        <w:t xml:space="preserve">V ………………. dne …..…….</w:t>
      </w:r>
    </w:p>
    <w:p w:rsidR="00000000" w:rsidDel="00000000" w:rsidP="00000000" w:rsidRDefault="00000000" w:rsidRPr="00000000" w14:paraId="00000037">
      <w:pPr>
        <w:tabs>
          <w:tab w:val="center" w:leader="none" w:pos="1430"/>
          <w:tab w:val="center" w:leader="none" w:pos="7910"/>
        </w:tabs>
        <w:spacing w:after="142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1430"/>
          <w:tab w:val="center" w:leader="none" w:pos="7910"/>
        </w:tabs>
        <w:spacing w:after="142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1430"/>
          <w:tab w:val="center" w:leader="none" w:pos="7910"/>
        </w:tabs>
        <w:spacing w:after="142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1430"/>
          <w:tab w:val="center" w:leader="none" w:pos="7910"/>
        </w:tabs>
        <w:spacing w:after="142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1430"/>
          <w:tab w:val="center" w:leader="none" w:pos="7910"/>
        </w:tabs>
        <w:spacing w:after="142" w:before="0" w:lineRule="auto"/>
        <w:jc w:val="both"/>
        <w:rPr/>
      </w:pPr>
      <w:bookmarkStart w:colFirst="0" w:colLast="0" w:name="_r1h7gf234fa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….......................................</w:t>
        <w:tab/>
        <w:t xml:space="preserve">….......................................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1430"/>
          <w:tab w:val="center" w:leader="none" w:pos="7910"/>
        </w:tabs>
        <w:spacing w:after="142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objednatel </w:t>
        <w:tab/>
        <w:t xml:space="preserve">dodavatel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2.%3."/>
      <w:lvlJc w:val="left"/>
      <w:pPr>
        <w:ind w:left="1440" w:hanging="360"/>
      </w:pPr>
      <w:rPr/>
    </w:lvl>
    <w:lvl w:ilvl="3">
      <w:start w:val="1"/>
      <w:numFmt w:val="decimal"/>
      <w:lvlText w:val="%3.%4."/>
      <w:lvlJc w:val="left"/>
      <w:pPr>
        <w:ind w:left="1800" w:hanging="360"/>
      </w:pPr>
      <w:rPr/>
    </w:lvl>
    <w:lvl w:ilvl="4">
      <w:start w:val="1"/>
      <w:numFmt w:val="decimal"/>
      <w:lvlText w:val="%4.%5."/>
      <w:lvlJc w:val="left"/>
      <w:pPr>
        <w:ind w:left="2160" w:hanging="360"/>
      </w:pPr>
      <w:rPr/>
    </w:lvl>
    <w:lvl w:ilvl="5">
      <w:start w:val="1"/>
      <w:numFmt w:val="decimal"/>
      <w:lvlText w:val="%5.%6."/>
      <w:lvlJc w:val="left"/>
      <w:pPr>
        <w:ind w:left="2520" w:hanging="360"/>
      </w:pPr>
      <w:rPr/>
    </w:lvl>
    <w:lvl w:ilvl="6">
      <w:start w:val="1"/>
      <w:numFmt w:val="decimal"/>
      <w:lvlText w:val="%6.%7."/>
      <w:lvlJc w:val="left"/>
      <w:pPr>
        <w:ind w:left="2880" w:hanging="360"/>
      </w:pPr>
      <w:rPr/>
    </w:lvl>
    <w:lvl w:ilvl="7">
      <w:start w:val="1"/>
      <w:numFmt w:val="decimal"/>
      <w:lvlText w:val="%7.%8."/>
      <w:lvlJc w:val="left"/>
      <w:pPr>
        <w:ind w:left="3240" w:hanging="360"/>
      </w:pPr>
      <w:rPr/>
    </w:lvl>
    <w:lvl w:ilvl="8">
      <w:start w:val="1"/>
      <w:numFmt w:val="decimal"/>
      <w:lvlText w:val="%8.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2.%3."/>
      <w:lvlJc w:val="left"/>
      <w:pPr>
        <w:ind w:left="1440" w:hanging="360"/>
      </w:pPr>
      <w:rPr/>
    </w:lvl>
    <w:lvl w:ilvl="3">
      <w:start w:val="1"/>
      <w:numFmt w:val="decimal"/>
      <w:lvlText w:val="%3.%4."/>
      <w:lvlJc w:val="left"/>
      <w:pPr>
        <w:ind w:left="1800" w:hanging="360"/>
      </w:pPr>
      <w:rPr/>
    </w:lvl>
    <w:lvl w:ilvl="4">
      <w:start w:val="1"/>
      <w:numFmt w:val="decimal"/>
      <w:lvlText w:val="%4.%5."/>
      <w:lvlJc w:val="left"/>
      <w:pPr>
        <w:ind w:left="2160" w:hanging="360"/>
      </w:pPr>
      <w:rPr/>
    </w:lvl>
    <w:lvl w:ilvl="5">
      <w:start w:val="1"/>
      <w:numFmt w:val="decimal"/>
      <w:lvlText w:val="%5.%6."/>
      <w:lvlJc w:val="left"/>
      <w:pPr>
        <w:ind w:left="2520" w:hanging="360"/>
      </w:pPr>
      <w:rPr/>
    </w:lvl>
    <w:lvl w:ilvl="6">
      <w:start w:val="1"/>
      <w:numFmt w:val="decimal"/>
      <w:lvlText w:val="%6.%7."/>
      <w:lvlJc w:val="left"/>
      <w:pPr>
        <w:ind w:left="2880" w:hanging="360"/>
      </w:pPr>
      <w:rPr/>
    </w:lvl>
    <w:lvl w:ilvl="7">
      <w:start w:val="1"/>
      <w:numFmt w:val="decimal"/>
      <w:lvlText w:val="%7.%8."/>
      <w:lvlJc w:val="left"/>
      <w:pPr>
        <w:ind w:left="3240" w:hanging="360"/>
      </w:pPr>
      <w:rPr/>
    </w:lvl>
    <w:lvl w:ilvl="8">
      <w:start w:val="1"/>
      <w:numFmt w:val="decimal"/>
      <w:lvlText w:val="%8.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z w:val="24"/>
        <w:szCs w:val="24"/>
      </w:rPr>
    </w:lvl>
    <w:lvl w:ilvl="1">
      <w:start w:val="1"/>
      <w:numFmt w:val="lowerLetter"/>
      <w:lvlText w:val="%1.%2."/>
      <w:lvlJc w:val="left"/>
      <w:pPr>
        <w:ind w:left="1080" w:hanging="360"/>
      </w:pPr>
      <w:rPr/>
    </w:lvl>
    <w:lvl w:ilvl="2">
      <w:start w:val="1"/>
      <w:numFmt w:val="lowerRoman"/>
      <w:lvlText w:val="%2.%3."/>
      <w:lvlJc w:val="right"/>
      <w:pPr>
        <w:ind w:left="1440" w:hanging="360"/>
      </w:pPr>
      <w:rPr/>
    </w:lvl>
    <w:lvl w:ilvl="3">
      <w:start w:val="1"/>
      <w:numFmt w:val="decimal"/>
      <w:lvlText w:val="%3.%4."/>
      <w:lvlJc w:val="left"/>
      <w:pPr>
        <w:ind w:left="1800" w:hanging="360"/>
      </w:pPr>
      <w:rPr/>
    </w:lvl>
    <w:lvl w:ilvl="4">
      <w:start w:val="1"/>
      <w:numFmt w:val="lowerLetter"/>
      <w:lvlText w:val="%4.%5."/>
      <w:lvlJc w:val="left"/>
      <w:pPr>
        <w:ind w:left="2160" w:hanging="360"/>
      </w:pPr>
      <w:rPr/>
    </w:lvl>
    <w:lvl w:ilvl="5">
      <w:start w:val="1"/>
      <w:numFmt w:val="lowerRoman"/>
      <w:lvlText w:val="%5.%6."/>
      <w:lvlJc w:val="right"/>
      <w:pPr>
        <w:ind w:left="2520" w:hanging="360"/>
      </w:pPr>
      <w:rPr/>
    </w:lvl>
    <w:lvl w:ilvl="6">
      <w:start w:val="1"/>
      <w:numFmt w:val="decimal"/>
      <w:lvlText w:val="%6.%7."/>
      <w:lvlJc w:val="left"/>
      <w:pPr>
        <w:ind w:left="2880" w:hanging="360"/>
      </w:pPr>
      <w:rPr/>
    </w:lvl>
    <w:lvl w:ilvl="7">
      <w:start w:val="1"/>
      <w:numFmt w:val="lowerLetter"/>
      <w:lvlText w:val="%7.%8."/>
      <w:lvlJc w:val="left"/>
      <w:pPr>
        <w:ind w:left="3240" w:hanging="360"/>
      </w:pPr>
      <w:rPr/>
    </w:lvl>
    <w:lvl w:ilvl="8">
      <w:start w:val="1"/>
      <w:numFmt w:val="lowerRoman"/>
      <w:lvlText w:val="%8.%9."/>
      <w:lvlJc w:val="right"/>
      <w:pPr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