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547" w:wrap="none" w:hAnchor="page" w:x="247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1186" w:h="715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1186" w:h="715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1186" w:h="715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</w:r>
    </w:p>
    <w:p>
      <w:pPr>
        <w:pStyle w:val="Style5"/>
        <w:keepNext w:val="0"/>
        <w:keepLines w:val="0"/>
        <w:framePr w:w="1598" w:h="360" w:wrap="none" w:hAnchor="page" w:x="6339" w:y="1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KEROSIN s.r.o.</w:t>
      </w:r>
    </w:p>
    <w:p>
      <w:pPr>
        <w:pStyle w:val="Style7"/>
        <w:keepNext w:val="0"/>
        <w:keepLines w:val="0"/>
        <w:framePr w:w="1445" w:h="302" w:wrap="none" w:hAnchor="page" w:x="2389" w:y="2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POH/35796/2025</w:t>
      </w:r>
    </w:p>
    <w:p>
      <w:pPr>
        <w:widowControl w:val="0"/>
        <w:spacing w:line="360" w:lineRule="exact"/>
      </w:pPr>
      <w:r>
        <w:drawing>
          <wp:anchor distT="0" distB="636905" distL="18415" distR="21590" simplePos="0" relativeHeight="62914690" behindDoc="1" locked="0" layoutInCell="1" allowOverlap="1">
            <wp:simplePos x="0" y="0"/>
            <wp:positionH relativeFrom="page">
              <wp:posOffset>723900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2" w:left="1111" w:right="1044" w:bottom="3755" w:header="244" w:footer="3327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19.08.2025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1024255" cy="50292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501383/357/2025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28.11.2025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51 509,00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2.65000000000001pt;margin-top:1.pt;width:80.650000000000006pt;height:39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501383/357/2025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28.11.2025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51 509,00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úpravu řídícího systému FVE Podhora, který bude umožňovat optimalizaci provozu čerpadel povrchové vody do VN M. Lázně v závislosti na aktuální výrobě FVE.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pro objednatele: řídící systém FVE Podhora nemá zatím inventární číslo, investice bude zaúčtována po zavedení FVE do majetku.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2" w:left="1111" w:right="1044" w:bottom="67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