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A9EF" w14:textId="574ABF2A" w:rsidR="00A96C43" w:rsidRPr="00042A19" w:rsidRDefault="00042A19" w:rsidP="007B6B27">
      <w:pPr>
        <w:jc w:val="center"/>
        <w:rPr>
          <w:rFonts w:cs="Arial"/>
          <w:b/>
          <w:bCs/>
          <w:sz w:val="28"/>
        </w:rPr>
      </w:pPr>
      <w:r w:rsidRPr="00042A19">
        <w:rPr>
          <w:rFonts w:cs="Arial"/>
          <w:b/>
          <w:bCs/>
          <w:sz w:val="28"/>
        </w:rPr>
        <w:t>Rámcová n</w:t>
      </w:r>
      <w:r w:rsidR="007B6B27" w:rsidRPr="00042A19">
        <w:rPr>
          <w:rFonts w:cs="Arial"/>
          <w:b/>
          <w:bCs/>
          <w:sz w:val="28"/>
        </w:rPr>
        <w:t xml:space="preserve">ájemní smlouva č. </w:t>
      </w:r>
      <w:r w:rsidR="00EE787C" w:rsidRPr="00042A19">
        <w:rPr>
          <w:rFonts w:cs="Arial"/>
          <w:b/>
          <w:bCs/>
          <w:sz w:val="28"/>
        </w:rPr>
        <w:t>SPD-25/080</w:t>
      </w:r>
    </w:p>
    <w:p w14:paraId="4BE817C1" w14:textId="77777777" w:rsidR="007B6B27" w:rsidRPr="007B6B27" w:rsidRDefault="007B6B27" w:rsidP="007B6B27">
      <w:pPr>
        <w:jc w:val="center"/>
      </w:pPr>
    </w:p>
    <w:p w14:paraId="21E43077" w14:textId="77777777" w:rsidR="007B6B27" w:rsidRPr="007B6B27" w:rsidRDefault="007B6B27" w:rsidP="007B6B27">
      <w:pPr>
        <w:jc w:val="center"/>
        <w:rPr>
          <w:b/>
        </w:rPr>
      </w:pPr>
      <w:r w:rsidRPr="007B6B27">
        <w:rPr>
          <w:b/>
        </w:rPr>
        <w:t>Česká filharmonie, Alšovo nábřeží 12, 110 01 Praha 1</w:t>
      </w:r>
    </w:p>
    <w:p w14:paraId="4A24078B" w14:textId="77777777" w:rsidR="007B6B27" w:rsidRPr="007B6B27" w:rsidRDefault="007B6B27" w:rsidP="007B6B27">
      <w:pPr>
        <w:jc w:val="center"/>
      </w:pPr>
      <w:r w:rsidRPr="007B6B27">
        <w:t>IČ: 00023264 DIČ: CZ00023264</w:t>
      </w:r>
    </w:p>
    <w:p w14:paraId="63422FD1" w14:textId="1533C9E8" w:rsidR="007B6B27" w:rsidRPr="007B6B27" w:rsidRDefault="007B6B27" w:rsidP="007B6B27">
      <w:pPr>
        <w:jc w:val="center"/>
      </w:pPr>
      <w:r w:rsidRPr="007B6B27">
        <w:t xml:space="preserve">zastoupená: Michal Medek, obchodní </w:t>
      </w:r>
      <w:r w:rsidR="007E61A7">
        <w:t>ředitel</w:t>
      </w:r>
    </w:p>
    <w:p w14:paraId="7D315A56" w14:textId="77777777" w:rsidR="007B6B27" w:rsidRPr="007B6B27" w:rsidRDefault="0007442B" w:rsidP="007B6B27">
      <w:pPr>
        <w:jc w:val="center"/>
      </w:pPr>
      <w:r>
        <w:t>(</w:t>
      </w:r>
      <w:r w:rsidR="007B6B27" w:rsidRPr="007B6B27">
        <w:t>dále jen 'pronajímatel')</w:t>
      </w:r>
    </w:p>
    <w:p w14:paraId="69638748" w14:textId="77777777" w:rsidR="007B6B27" w:rsidRPr="0007442B" w:rsidRDefault="007B6B27" w:rsidP="007B6B27">
      <w:pPr>
        <w:jc w:val="center"/>
        <w:rPr>
          <w:sz w:val="12"/>
        </w:rPr>
      </w:pPr>
    </w:p>
    <w:p w14:paraId="2A49C0AE" w14:textId="77777777" w:rsidR="007B6B27" w:rsidRPr="007B6B27" w:rsidRDefault="007B6B27" w:rsidP="007B6B27">
      <w:pPr>
        <w:jc w:val="center"/>
      </w:pPr>
      <w:r w:rsidRPr="007B6B27">
        <w:t>a</w:t>
      </w:r>
    </w:p>
    <w:p w14:paraId="6A719FC9" w14:textId="77777777" w:rsidR="007B6B27" w:rsidRPr="0007442B" w:rsidRDefault="007B6B27" w:rsidP="007B6B27">
      <w:pPr>
        <w:jc w:val="center"/>
        <w:rPr>
          <w:sz w:val="12"/>
        </w:rPr>
      </w:pPr>
    </w:p>
    <w:p w14:paraId="240BD44A" w14:textId="1EDC084E" w:rsidR="007B6B27" w:rsidRPr="007B6B27" w:rsidRDefault="00FF4087" w:rsidP="007B6B27">
      <w:pPr>
        <w:jc w:val="center"/>
        <w:rPr>
          <w:b/>
        </w:rPr>
      </w:pPr>
      <w:r>
        <w:rPr>
          <w:b/>
        </w:rPr>
        <w:t>Č</w:t>
      </w:r>
      <w:r w:rsidR="00457BAE">
        <w:rPr>
          <w:b/>
        </w:rPr>
        <w:t>eský</w:t>
      </w:r>
      <w:r>
        <w:rPr>
          <w:b/>
        </w:rPr>
        <w:t xml:space="preserve"> </w:t>
      </w:r>
      <w:r w:rsidR="00457BAE">
        <w:rPr>
          <w:b/>
        </w:rPr>
        <w:t>rozhlas</w:t>
      </w:r>
      <w:r w:rsidR="007B6B27" w:rsidRPr="007B6B27">
        <w:rPr>
          <w:b/>
        </w:rPr>
        <w:t>,</w:t>
      </w:r>
      <w:r w:rsidR="00973E4D">
        <w:rPr>
          <w:b/>
        </w:rPr>
        <w:t xml:space="preserve"> se sídlem</w:t>
      </w:r>
      <w:r w:rsidR="007B6B27" w:rsidRPr="007B6B27">
        <w:rPr>
          <w:b/>
        </w:rPr>
        <w:t xml:space="preserve"> </w:t>
      </w:r>
      <w:r>
        <w:rPr>
          <w:b/>
        </w:rPr>
        <w:t xml:space="preserve">Vinohradská 1409/12, 120 </w:t>
      </w:r>
      <w:r w:rsidR="009F0639">
        <w:rPr>
          <w:b/>
        </w:rPr>
        <w:t>00</w:t>
      </w:r>
      <w:r>
        <w:rPr>
          <w:b/>
        </w:rPr>
        <w:t xml:space="preserve"> Praha 2</w:t>
      </w:r>
    </w:p>
    <w:p w14:paraId="493162C0" w14:textId="6E5DA9C6" w:rsidR="00457BAE" w:rsidRDefault="00457BAE" w:rsidP="007B6B27">
      <w:pPr>
        <w:jc w:val="center"/>
      </w:pPr>
      <w:r>
        <w:t xml:space="preserve">zřízen zákonem č. 484/1991 Sb. o Českém rozhlasu, nezapisuje se do obchodního rejstříku </w:t>
      </w:r>
    </w:p>
    <w:p w14:paraId="74DBCE6E" w14:textId="795B935D" w:rsidR="007B6B27" w:rsidRPr="007B6B27" w:rsidRDefault="007B6B27" w:rsidP="007B6B27">
      <w:pPr>
        <w:jc w:val="center"/>
      </w:pPr>
      <w:r w:rsidRPr="007B6B27">
        <w:t xml:space="preserve">IČ: </w:t>
      </w:r>
      <w:r w:rsidR="00FF4087">
        <w:t>45245053</w:t>
      </w:r>
      <w:r w:rsidRPr="007B6B27">
        <w:t xml:space="preserve"> DIČ: </w:t>
      </w:r>
      <w:r w:rsidR="00FF4087">
        <w:t>CZ45245053</w:t>
      </w:r>
      <w:r w:rsidRPr="007B6B27">
        <w:t xml:space="preserve"> Banka: </w:t>
      </w:r>
      <w:r w:rsidR="00FF4087">
        <w:t>1001040797/5500</w:t>
      </w:r>
    </w:p>
    <w:p w14:paraId="2F8B50F7" w14:textId="326942AF" w:rsidR="007B6B27" w:rsidRPr="007B6B27" w:rsidRDefault="007B6B27" w:rsidP="007B6B27">
      <w:pPr>
        <w:jc w:val="center"/>
      </w:pPr>
      <w:r w:rsidRPr="007B6B27">
        <w:t xml:space="preserve">zastoupený: </w:t>
      </w:r>
      <w:r w:rsidR="00FF4087">
        <w:t>Mgr. René Zavoral, generální ředitel</w:t>
      </w:r>
    </w:p>
    <w:p w14:paraId="0EADE914" w14:textId="0B300A0C" w:rsidR="007B6B27" w:rsidRDefault="007B6B27" w:rsidP="007B6B27">
      <w:pPr>
        <w:jc w:val="center"/>
      </w:pPr>
      <w:r w:rsidRPr="007B6B27">
        <w:t>(dále jen 'nájemce')</w:t>
      </w:r>
    </w:p>
    <w:p w14:paraId="40D35379" w14:textId="77777777" w:rsidR="007B6B27" w:rsidRPr="0007442B" w:rsidRDefault="007B6B27" w:rsidP="007B6B27">
      <w:pPr>
        <w:rPr>
          <w:sz w:val="12"/>
        </w:rPr>
      </w:pPr>
    </w:p>
    <w:p w14:paraId="06360D12" w14:textId="77777777" w:rsidR="007B6B27" w:rsidRPr="0007442B" w:rsidRDefault="007B6B27" w:rsidP="007B6B27">
      <w:pPr>
        <w:rPr>
          <w:rFonts w:ascii="Arial Narrow" w:hAnsi="Arial Narrow"/>
        </w:rPr>
      </w:pPr>
      <w:r w:rsidRPr="0007442B">
        <w:rPr>
          <w:rFonts w:ascii="Arial Narrow" w:hAnsi="Arial Narrow"/>
        </w:rPr>
        <w:t>uzavírají podle zákona č. 89/2012 Sb., občanského zákoníku, v účinném znění, níže uvedeného dne, měsíce a roku tuto smlouvu (tato smlouva včetně příloh dále jen jako „smlouva“):</w:t>
      </w:r>
    </w:p>
    <w:p w14:paraId="62A02349" w14:textId="77777777" w:rsidR="007B6B27" w:rsidRPr="0007442B" w:rsidRDefault="007B6B27" w:rsidP="007B6B27">
      <w:pPr>
        <w:rPr>
          <w:rFonts w:ascii="Arial Narrow" w:hAnsi="Arial Narrow"/>
          <w:sz w:val="16"/>
        </w:rPr>
      </w:pPr>
      <w:r w:rsidRPr="0007442B">
        <w:rPr>
          <w:rFonts w:ascii="Arial Narrow" w:hAnsi="Arial Narrow"/>
        </w:rPr>
        <w:t xml:space="preserve"> </w:t>
      </w:r>
    </w:p>
    <w:p w14:paraId="347686C1" w14:textId="77777777" w:rsidR="007B6B27" w:rsidRPr="0007442B" w:rsidRDefault="007B6B27" w:rsidP="007B6B27">
      <w:pPr>
        <w:pStyle w:val="Odstavecseseznamem"/>
        <w:numPr>
          <w:ilvl w:val="0"/>
          <w:numId w:val="2"/>
        </w:numPr>
        <w:jc w:val="both"/>
        <w:rPr>
          <w:rFonts w:ascii="Arial Narrow" w:hAnsi="Arial Narrow"/>
        </w:rPr>
      </w:pPr>
      <w:r w:rsidRPr="0007442B">
        <w:rPr>
          <w:rFonts w:ascii="Arial Narrow" w:hAnsi="Arial Narrow"/>
        </w:rPr>
        <w:t>Nedílnou součást této smlouvy tvoří Pravidla pronájmů uskutečňovaných Českou filharmonií (dále jen „Pravidla pronájmů“). Nájemce výslovně potvrzuje, že se s Pravidly pronájmů seznámil, a smluvní strany se dohodly, že Pravidla pronájmů tvoří součást práv a povinností smluvních stran této smlouvy. Pouze v rozsahu, v jakém by v této smlouvě bylo výslovně ujednáno něco jiného, než vyplývá z Pravidel pronájmů, má přednost tato smlouva. Pojmy užité v této smlouvě včetně jejích příloh, které jsou definovány v Pravidlech pronájmů, mají význam dle Pravidel pronájmů.</w:t>
      </w:r>
    </w:p>
    <w:p w14:paraId="421C6EC8" w14:textId="77777777" w:rsidR="007B6B27" w:rsidRPr="0007442B" w:rsidRDefault="007B6B27" w:rsidP="007B6B27">
      <w:pPr>
        <w:pStyle w:val="Odstavecseseznamem"/>
        <w:jc w:val="both"/>
        <w:rPr>
          <w:rFonts w:ascii="Arial Narrow" w:hAnsi="Arial Narrow"/>
          <w:sz w:val="16"/>
        </w:rPr>
      </w:pPr>
    </w:p>
    <w:p w14:paraId="1A122625" w14:textId="77777777" w:rsidR="00191BF6" w:rsidRPr="0007442B" w:rsidRDefault="00191BF6" w:rsidP="00191BF6">
      <w:pPr>
        <w:pStyle w:val="Odstavecseseznamem"/>
        <w:numPr>
          <w:ilvl w:val="0"/>
          <w:numId w:val="2"/>
        </w:numPr>
        <w:jc w:val="both"/>
        <w:rPr>
          <w:rFonts w:ascii="Arial Narrow" w:hAnsi="Arial Narrow"/>
        </w:rPr>
      </w:pPr>
      <w:r w:rsidRPr="0007442B">
        <w:rPr>
          <w:rFonts w:ascii="Arial Narrow" w:hAnsi="Arial Narrow"/>
        </w:rPr>
        <w:t xml:space="preserve">Pronajímatel </w:t>
      </w:r>
      <w:r>
        <w:rPr>
          <w:rFonts w:ascii="Arial Narrow" w:hAnsi="Arial Narrow"/>
        </w:rPr>
        <w:t xml:space="preserve">v souladu s čl. III. Pravidel pronájmů uzavírá s nájemcem tuto rámcovou smlouvu, na jejímž základě budou uzavírány jednotlivé dílčí nájemní smlouvy. Pronajímatel přenechá na základě jednotlivých dílčích nájemních smluv </w:t>
      </w:r>
      <w:r w:rsidRPr="0007442B">
        <w:rPr>
          <w:rFonts w:ascii="Arial Narrow" w:hAnsi="Arial Narrow"/>
        </w:rPr>
        <w:t>nájemci předmět ná</w:t>
      </w:r>
      <w:r>
        <w:rPr>
          <w:rFonts w:ascii="Arial Narrow" w:hAnsi="Arial Narrow"/>
        </w:rPr>
        <w:t>jmu specifikovaný v příloze dílčí nájemní smlouvy, jejíž vzor je nedílnou součástí této smlouvy. Dílčí smlouva</w:t>
      </w:r>
      <w:r w:rsidRPr="0007442B">
        <w:rPr>
          <w:rFonts w:ascii="Arial Narrow" w:hAnsi="Arial Narrow"/>
        </w:rPr>
        <w:t xml:space="preserve"> stanoví zejména účel nájmu, termín (datum a čas) nájmu, předmět nájmu, tj. pronajímané prostory (například Dvořákova síň, Sukova síň, Dvorana Galerie, Pokladny, Studio či další) </w:t>
      </w:r>
      <w:r>
        <w:rPr>
          <w:rFonts w:ascii="Arial Narrow" w:hAnsi="Arial Narrow"/>
        </w:rPr>
        <w:t>a případný pronájem movitých věcí (například hudební nástroj</w:t>
      </w:r>
      <w:r w:rsidRPr="0007442B">
        <w:rPr>
          <w:rFonts w:ascii="Arial Narrow" w:hAnsi="Arial Narrow"/>
        </w:rPr>
        <w:t>)</w:t>
      </w:r>
      <w:r>
        <w:rPr>
          <w:rFonts w:ascii="Arial Narrow" w:hAnsi="Arial Narrow"/>
        </w:rPr>
        <w:t xml:space="preserve"> či dalších služeb, které se pronajímatel zavazuje nájemci poskytnout v případě zájmu nájemce. Postup pro uzavírání dílčích nájemních smluv je blíže specifikován v čl. III. Pravidel pronájmů. Smluvní strany sjednávají, že pronájem movitých věcí a dalších služeb může být sjednán i samostatnou smlouvou či objednávkou.</w:t>
      </w:r>
    </w:p>
    <w:p w14:paraId="4DD830FF" w14:textId="77777777" w:rsidR="007B6B27" w:rsidRPr="0007442B" w:rsidRDefault="007B6B27" w:rsidP="007B6B27">
      <w:pPr>
        <w:pStyle w:val="Odstavecseseznamem"/>
        <w:jc w:val="both"/>
        <w:rPr>
          <w:rFonts w:ascii="Arial Narrow" w:hAnsi="Arial Narrow"/>
          <w:sz w:val="16"/>
        </w:rPr>
      </w:pPr>
      <w:r w:rsidRPr="0007442B">
        <w:rPr>
          <w:rFonts w:ascii="Arial Narrow" w:hAnsi="Arial Narrow"/>
        </w:rPr>
        <w:t xml:space="preserve"> </w:t>
      </w:r>
    </w:p>
    <w:p w14:paraId="79DC815F" w14:textId="5C9DE13D" w:rsidR="007B6B27" w:rsidRPr="0007442B" w:rsidRDefault="007B6B27" w:rsidP="007B6B27">
      <w:pPr>
        <w:pStyle w:val="Odstavecseseznamem"/>
        <w:numPr>
          <w:ilvl w:val="0"/>
          <w:numId w:val="2"/>
        </w:numPr>
        <w:jc w:val="both"/>
        <w:rPr>
          <w:rFonts w:ascii="Arial Narrow" w:hAnsi="Arial Narrow"/>
        </w:rPr>
      </w:pPr>
      <w:r w:rsidRPr="0007442B">
        <w:rPr>
          <w:rFonts w:ascii="Arial Narrow" w:hAnsi="Arial Narrow"/>
        </w:rPr>
        <w:t>Výše nájemného a dalších úhrad vyplývá z Ceníku pronájmů</w:t>
      </w:r>
      <w:r w:rsidR="00191BF6">
        <w:rPr>
          <w:rFonts w:ascii="Arial Narrow" w:hAnsi="Arial Narrow"/>
        </w:rPr>
        <w:t xml:space="preserve"> (příloha č. 1)</w:t>
      </w:r>
      <w:r w:rsidRPr="0007442B">
        <w:rPr>
          <w:rFonts w:ascii="Arial Narrow" w:hAnsi="Arial Narrow"/>
        </w:rPr>
        <w:t>; nájemce výslovně potvrzuje, že se s Ceníkem pronájmů seznámil.</w:t>
      </w:r>
    </w:p>
    <w:p w14:paraId="1B5C1871" w14:textId="77777777" w:rsidR="007B6B27" w:rsidRPr="0007442B" w:rsidRDefault="007B6B27" w:rsidP="007B6B27">
      <w:pPr>
        <w:pStyle w:val="Odstavecseseznamem"/>
        <w:jc w:val="both"/>
        <w:rPr>
          <w:rFonts w:ascii="Arial Narrow" w:hAnsi="Arial Narrow"/>
          <w:sz w:val="16"/>
        </w:rPr>
      </w:pPr>
      <w:r w:rsidRPr="0007442B">
        <w:rPr>
          <w:rFonts w:ascii="Arial Narrow" w:hAnsi="Arial Narrow"/>
        </w:rPr>
        <w:t xml:space="preserve"> </w:t>
      </w:r>
    </w:p>
    <w:p w14:paraId="6045ED54" w14:textId="7F53B668" w:rsidR="00191BF6" w:rsidRDefault="00191BF6" w:rsidP="00191BF6">
      <w:pPr>
        <w:pStyle w:val="Odstavecseseznamem"/>
        <w:numPr>
          <w:ilvl w:val="0"/>
          <w:numId w:val="2"/>
        </w:numPr>
        <w:jc w:val="both"/>
        <w:rPr>
          <w:rFonts w:ascii="Arial Narrow" w:hAnsi="Arial Narrow"/>
        </w:rPr>
      </w:pPr>
      <w:r>
        <w:rPr>
          <w:rFonts w:ascii="Arial Narrow" w:hAnsi="Arial Narrow"/>
        </w:rPr>
        <w:t xml:space="preserve">Nedílnou součástí této smlouvy je příloha č. </w:t>
      </w:r>
      <w:r>
        <w:rPr>
          <w:rFonts w:ascii="Arial Narrow" w:hAnsi="Arial Narrow"/>
        </w:rPr>
        <w:t>2</w:t>
      </w:r>
      <w:r>
        <w:rPr>
          <w:rFonts w:ascii="Arial Narrow" w:hAnsi="Arial Narrow"/>
        </w:rPr>
        <w:t xml:space="preserve"> – přehled rezervovaných termínů. V těchto rezervovaných termínech mají smluvní strany předběžný zájem uzavřít na základě této rámcové smlouvy dílčí nájemní smlouvy o pronájmu.</w:t>
      </w:r>
    </w:p>
    <w:p w14:paraId="40029028" w14:textId="77777777" w:rsidR="007B6B27" w:rsidRPr="0007442B" w:rsidRDefault="007B6B27" w:rsidP="007B6B27">
      <w:pPr>
        <w:pStyle w:val="Odstavecseseznamem"/>
        <w:jc w:val="both"/>
        <w:rPr>
          <w:rFonts w:ascii="Arial Narrow" w:hAnsi="Arial Narrow"/>
          <w:sz w:val="16"/>
        </w:rPr>
      </w:pPr>
      <w:r w:rsidRPr="0007442B">
        <w:rPr>
          <w:rFonts w:ascii="Arial Narrow" w:hAnsi="Arial Narrow"/>
        </w:rPr>
        <w:t xml:space="preserve"> </w:t>
      </w:r>
    </w:p>
    <w:p w14:paraId="3F6F22E3" w14:textId="5F3841D9" w:rsidR="00191BF6" w:rsidRDefault="00191BF6" w:rsidP="00191BF6">
      <w:pPr>
        <w:pStyle w:val="Odstavecseseznamem"/>
        <w:numPr>
          <w:ilvl w:val="0"/>
          <w:numId w:val="2"/>
        </w:numPr>
        <w:jc w:val="both"/>
        <w:rPr>
          <w:rFonts w:ascii="Arial Narrow" w:hAnsi="Arial Narrow"/>
        </w:rPr>
      </w:pPr>
      <w:r>
        <w:rPr>
          <w:rFonts w:ascii="Arial Narrow" w:hAnsi="Arial Narrow"/>
        </w:rPr>
        <w:t xml:space="preserve">Součástí této smlouvy je také vzor dílčí nájemní smlouvy (objednávkový formulář) – příloha č. </w:t>
      </w:r>
      <w:r>
        <w:rPr>
          <w:rFonts w:ascii="Arial Narrow" w:hAnsi="Arial Narrow"/>
        </w:rPr>
        <w:t>3</w:t>
      </w:r>
      <w:r>
        <w:rPr>
          <w:rFonts w:ascii="Arial Narrow" w:hAnsi="Arial Narrow"/>
        </w:rPr>
        <w:t>.</w:t>
      </w:r>
    </w:p>
    <w:p w14:paraId="4A5258D6" w14:textId="77777777" w:rsidR="00191BF6" w:rsidRPr="00191BF6" w:rsidRDefault="00191BF6" w:rsidP="00191BF6">
      <w:pPr>
        <w:pStyle w:val="Odstavecseseznamem"/>
        <w:rPr>
          <w:rFonts w:ascii="Arial Narrow" w:hAnsi="Arial Narrow"/>
        </w:rPr>
      </w:pPr>
    </w:p>
    <w:p w14:paraId="5936B74C" w14:textId="77777777" w:rsidR="00191BF6" w:rsidRDefault="00191BF6" w:rsidP="00191BF6">
      <w:pPr>
        <w:pStyle w:val="Odstavecseseznamem"/>
        <w:numPr>
          <w:ilvl w:val="0"/>
          <w:numId w:val="2"/>
        </w:numPr>
        <w:jc w:val="both"/>
        <w:rPr>
          <w:rFonts w:ascii="Arial Narrow" w:hAnsi="Arial Narrow"/>
        </w:rPr>
      </w:pPr>
      <w:r>
        <w:rPr>
          <w:rFonts w:ascii="Arial Narrow" w:hAnsi="Arial Narrow"/>
        </w:rPr>
        <w:t>Smluvní strany se dohodly na následujících odchylkách od Pravidel pronájmů:</w:t>
      </w:r>
    </w:p>
    <w:p w14:paraId="2322CCD5" w14:textId="77777777" w:rsidR="00191BF6" w:rsidRPr="00E43EE2" w:rsidRDefault="00191BF6" w:rsidP="00191BF6">
      <w:pPr>
        <w:pStyle w:val="Odstavecseseznamem"/>
        <w:rPr>
          <w:rFonts w:ascii="Arial Narrow" w:hAnsi="Arial Narrow"/>
        </w:rPr>
      </w:pPr>
    </w:p>
    <w:p w14:paraId="0918C247" w14:textId="77777777" w:rsidR="00191BF6" w:rsidRDefault="00191BF6" w:rsidP="00191BF6">
      <w:pPr>
        <w:pStyle w:val="Odstavecseseznamem"/>
        <w:numPr>
          <w:ilvl w:val="0"/>
          <w:numId w:val="3"/>
        </w:numPr>
        <w:jc w:val="both"/>
        <w:rPr>
          <w:rFonts w:ascii="Arial Narrow" w:hAnsi="Arial Narrow"/>
        </w:rPr>
      </w:pPr>
      <w:r>
        <w:rPr>
          <w:rFonts w:ascii="Arial Narrow" w:hAnsi="Arial Narrow"/>
        </w:rPr>
        <w:t>lhůta splatnosti faktur se sjednává odchylně od článku VI., odstavec VI.4 Pravidel pronájmů na 24 dnů od vystavení jednotlivé faktury nebo 21 dnů od jejího doručení nájemci, podle toho, co uplyne později;</w:t>
      </w:r>
    </w:p>
    <w:p w14:paraId="15E1C86E" w14:textId="77777777" w:rsidR="00191BF6" w:rsidRDefault="00191BF6" w:rsidP="00191BF6">
      <w:pPr>
        <w:pStyle w:val="Odstavecseseznamem"/>
        <w:numPr>
          <w:ilvl w:val="0"/>
          <w:numId w:val="3"/>
        </w:numPr>
        <w:jc w:val="both"/>
        <w:rPr>
          <w:rFonts w:ascii="Arial Narrow" w:hAnsi="Arial Narrow"/>
        </w:rPr>
      </w:pPr>
      <w:r>
        <w:rPr>
          <w:rFonts w:ascii="Arial Narrow" w:hAnsi="Arial Narrow"/>
        </w:rPr>
        <w:t>článek VI odstavec VI.6 druhá a třetí věta Pravidel pronájmů se nepoužijí;</w:t>
      </w:r>
    </w:p>
    <w:p w14:paraId="11D2E500" w14:textId="77777777" w:rsidR="00191BF6" w:rsidRPr="00E43EE2" w:rsidRDefault="00191BF6" w:rsidP="00191BF6">
      <w:pPr>
        <w:pStyle w:val="Odstavecseseznamem"/>
        <w:numPr>
          <w:ilvl w:val="0"/>
          <w:numId w:val="3"/>
        </w:numPr>
        <w:jc w:val="both"/>
        <w:rPr>
          <w:rFonts w:ascii="Arial Narrow" w:hAnsi="Arial Narrow"/>
        </w:rPr>
      </w:pPr>
      <w:r>
        <w:rPr>
          <w:rFonts w:ascii="Arial Narrow" w:hAnsi="Arial Narrow"/>
        </w:rPr>
        <w:t>obě smluvní strany na sebe přebírají nebezpečí změny okolností podle §</w:t>
      </w:r>
      <w:r>
        <w:rPr>
          <w:rFonts w:ascii="Arial Narrow" w:hAnsi="Arial Narrow"/>
          <w:lang w:val="en-US"/>
        </w:rPr>
        <w:t xml:space="preserve"> 1765 </w:t>
      </w:r>
      <w:proofErr w:type="spellStart"/>
      <w:r>
        <w:rPr>
          <w:rFonts w:ascii="Arial Narrow" w:hAnsi="Arial Narrow"/>
          <w:lang w:val="en-US"/>
        </w:rPr>
        <w:t>odst</w:t>
      </w:r>
      <w:proofErr w:type="spellEnd"/>
      <w:r>
        <w:rPr>
          <w:rFonts w:ascii="Arial Narrow" w:hAnsi="Arial Narrow"/>
          <w:lang w:val="en-US"/>
        </w:rPr>
        <w:t xml:space="preserve">. 2 </w:t>
      </w:r>
      <w:proofErr w:type="spellStart"/>
      <w:r>
        <w:rPr>
          <w:rFonts w:ascii="Arial Narrow" w:hAnsi="Arial Narrow"/>
          <w:lang w:val="en-US"/>
        </w:rPr>
        <w:t>občanského</w:t>
      </w:r>
      <w:proofErr w:type="spellEnd"/>
      <w:r>
        <w:rPr>
          <w:rFonts w:ascii="Arial Narrow" w:hAnsi="Arial Narrow"/>
          <w:lang w:val="en-US"/>
        </w:rPr>
        <w:t xml:space="preserve"> </w:t>
      </w:r>
      <w:proofErr w:type="spellStart"/>
      <w:r>
        <w:rPr>
          <w:rFonts w:ascii="Arial Narrow" w:hAnsi="Arial Narrow"/>
          <w:lang w:val="en-US"/>
        </w:rPr>
        <w:t>zákoníku</w:t>
      </w:r>
      <w:proofErr w:type="spellEnd"/>
      <w:r>
        <w:rPr>
          <w:rFonts w:ascii="Arial Narrow" w:hAnsi="Arial Narrow"/>
          <w:lang w:val="en-US"/>
        </w:rPr>
        <w:t xml:space="preserve"> a </w:t>
      </w:r>
      <w:proofErr w:type="spellStart"/>
      <w:r>
        <w:rPr>
          <w:rFonts w:ascii="Arial Narrow" w:hAnsi="Arial Narrow"/>
          <w:lang w:val="en-US"/>
        </w:rPr>
        <w:t>nejsou</w:t>
      </w:r>
      <w:proofErr w:type="spellEnd"/>
      <w:r>
        <w:rPr>
          <w:rFonts w:ascii="Arial Narrow" w:hAnsi="Arial Narrow"/>
          <w:lang w:val="en-US"/>
        </w:rPr>
        <w:t xml:space="preserve"> </w:t>
      </w:r>
      <w:proofErr w:type="spellStart"/>
      <w:r>
        <w:rPr>
          <w:rFonts w:ascii="Arial Narrow" w:hAnsi="Arial Narrow"/>
          <w:lang w:val="en-US"/>
        </w:rPr>
        <w:t>oprávněny</w:t>
      </w:r>
      <w:proofErr w:type="spellEnd"/>
      <w:r>
        <w:rPr>
          <w:rFonts w:ascii="Arial Narrow" w:hAnsi="Arial Narrow"/>
          <w:lang w:val="en-US"/>
        </w:rPr>
        <w:t xml:space="preserve"> </w:t>
      </w:r>
      <w:proofErr w:type="spellStart"/>
      <w:r>
        <w:rPr>
          <w:rFonts w:ascii="Arial Narrow" w:hAnsi="Arial Narrow"/>
          <w:lang w:val="en-US"/>
        </w:rPr>
        <w:t>domáhat</w:t>
      </w:r>
      <w:proofErr w:type="spellEnd"/>
      <w:r>
        <w:rPr>
          <w:rFonts w:ascii="Arial Narrow" w:hAnsi="Arial Narrow"/>
          <w:lang w:val="en-US"/>
        </w:rPr>
        <w:t xml:space="preserve"> se </w:t>
      </w:r>
      <w:proofErr w:type="spellStart"/>
      <w:r>
        <w:rPr>
          <w:rFonts w:ascii="Arial Narrow" w:hAnsi="Arial Narrow"/>
          <w:lang w:val="en-US"/>
        </w:rPr>
        <w:t>obnovení</w:t>
      </w:r>
      <w:proofErr w:type="spellEnd"/>
      <w:r>
        <w:rPr>
          <w:rFonts w:ascii="Arial Narrow" w:hAnsi="Arial Narrow"/>
          <w:lang w:val="en-US"/>
        </w:rPr>
        <w:t xml:space="preserve"> </w:t>
      </w:r>
      <w:proofErr w:type="spellStart"/>
      <w:r>
        <w:rPr>
          <w:rFonts w:ascii="Arial Narrow" w:hAnsi="Arial Narrow"/>
          <w:lang w:val="en-US"/>
        </w:rPr>
        <w:t>jednání</w:t>
      </w:r>
      <w:proofErr w:type="spellEnd"/>
      <w:r>
        <w:rPr>
          <w:rFonts w:ascii="Arial Narrow" w:hAnsi="Arial Narrow"/>
          <w:lang w:val="en-US"/>
        </w:rPr>
        <w:t xml:space="preserve"> o </w:t>
      </w:r>
      <w:proofErr w:type="spellStart"/>
      <w:r>
        <w:rPr>
          <w:rFonts w:ascii="Arial Narrow" w:hAnsi="Arial Narrow"/>
          <w:lang w:val="en-US"/>
        </w:rPr>
        <w:t>smlouvě</w:t>
      </w:r>
      <w:proofErr w:type="spellEnd"/>
      <w:r>
        <w:rPr>
          <w:rFonts w:ascii="Arial Narrow" w:hAnsi="Arial Narrow"/>
          <w:lang w:val="en-US"/>
        </w:rPr>
        <w:t>;</w:t>
      </w:r>
    </w:p>
    <w:p w14:paraId="62A7FDF3" w14:textId="77777777" w:rsidR="00191BF6" w:rsidRPr="00191BF6" w:rsidRDefault="00191BF6" w:rsidP="00191BF6">
      <w:pPr>
        <w:pStyle w:val="Odstavecseseznamem"/>
        <w:numPr>
          <w:ilvl w:val="0"/>
          <w:numId w:val="3"/>
        </w:numPr>
        <w:jc w:val="both"/>
        <w:rPr>
          <w:rFonts w:ascii="Arial Narrow" w:hAnsi="Arial Narrow"/>
        </w:rPr>
      </w:pPr>
      <w:proofErr w:type="spellStart"/>
      <w:r>
        <w:rPr>
          <w:rFonts w:ascii="Arial Narrow" w:hAnsi="Arial Narrow"/>
          <w:lang w:val="en-US"/>
        </w:rPr>
        <w:t>výše</w:t>
      </w:r>
      <w:proofErr w:type="spellEnd"/>
      <w:r>
        <w:rPr>
          <w:rFonts w:ascii="Arial Narrow" w:hAnsi="Arial Narrow"/>
          <w:lang w:val="en-US"/>
        </w:rPr>
        <w:t xml:space="preserve"> </w:t>
      </w:r>
      <w:proofErr w:type="spellStart"/>
      <w:r>
        <w:rPr>
          <w:rFonts w:ascii="Arial Narrow" w:hAnsi="Arial Narrow"/>
          <w:lang w:val="en-US"/>
        </w:rPr>
        <w:t>částky</w:t>
      </w:r>
      <w:proofErr w:type="spellEnd"/>
      <w:r>
        <w:rPr>
          <w:rFonts w:ascii="Arial Narrow" w:hAnsi="Arial Narrow"/>
          <w:lang w:val="en-US"/>
        </w:rPr>
        <w:t xml:space="preserve"> </w:t>
      </w:r>
      <w:proofErr w:type="spellStart"/>
      <w:r>
        <w:rPr>
          <w:rFonts w:ascii="Arial Narrow" w:hAnsi="Arial Narrow"/>
          <w:lang w:val="en-US"/>
        </w:rPr>
        <w:t>sazby</w:t>
      </w:r>
      <w:proofErr w:type="spellEnd"/>
      <w:r>
        <w:rPr>
          <w:rFonts w:ascii="Arial Narrow" w:hAnsi="Arial Narrow"/>
          <w:lang w:val="en-US"/>
        </w:rPr>
        <w:t xml:space="preserve"> </w:t>
      </w:r>
      <w:proofErr w:type="spellStart"/>
      <w:r>
        <w:rPr>
          <w:rFonts w:ascii="Arial Narrow" w:hAnsi="Arial Narrow"/>
          <w:lang w:val="en-US"/>
        </w:rPr>
        <w:t>smluvní</w:t>
      </w:r>
      <w:proofErr w:type="spellEnd"/>
      <w:r>
        <w:rPr>
          <w:rFonts w:ascii="Arial Narrow" w:hAnsi="Arial Narrow"/>
          <w:lang w:val="en-US"/>
        </w:rPr>
        <w:t xml:space="preserve"> </w:t>
      </w:r>
      <w:proofErr w:type="spellStart"/>
      <w:r>
        <w:rPr>
          <w:rFonts w:ascii="Arial Narrow" w:hAnsi="Arial Narrow"/>
          <w:lang w:val="en-US"/>
        </w:rPr>
        <w:t>pokuty</w:t>
      </w:r>
      <w:proofErr w:type="spellEnd"/>
      <w:r>
        <w:rPr>
          <w:rFonts w:ascii="Arial Narrow" w:hAnsi="Arial Narrow"/>
          <w:lang w:val="en-US"/>
        </w:rPr>
        <w:t xml:space="preserve"> se pro </w:t>
      </w:r>
      <w:proofErr w:type="spellStart"/>
      <w:r>
        <w:rPr>
          <w:rFonts w:ascii="Arial Narrow" w:hAnsi="Arial Narrow"/>
          <w:lang w:val="en-US"/>
        </w:rPr>
        <w:t>všechny</w:t>
      </w:r>
      <w:proofErr w:type="spellEnd"/>
      <w:r>
        <w:rPr>
          <w:rFonts w:ascii="Arial Narrow" w:hAnsi="Arial Narrow"/>
          <w:lang w:val="en-US"/>
        </w:rPr>
        <w:t xml:space="preserve"> </w:t>
      </w:r>
      <w:proofErr w:type="spellStart"/>
      <w:r>
        <w:rPr>
          <w:rFonts w:ascii="Arial Narrow" w:hAnsi="Arial Narrow"/>
          <w:lang w:val="en-US"/>
        </w:rPr>
        <w:t>případy</w:t>
      </w:r>
      <w:proofErr w:type="spellEnd"/>
      <w:r>
        <w:rPr>
          <w:rFonts w:ascii="Arial Narrow" w:hAnsi="Arial Narrow"/>
          <w:lang w:val="en-US"/>
        </w:rPr>
        <w:t xml:space="preserve"> </w:t>
      </w:r>
      <w:proofErr w:type="spellStart"/>
      <w:r>
        <w:rPr>
          <w:rFonts w:ascii="Arial Narrow" w:hAnsi="Arial Narrow"/>
          <w:lang w:val="en-US"/>
        </w:rPr>
        <w:t>uvedené</w:t>
      </w:r>
      <w:proofErr w:type="spellEnd"/>
      <w:r>
        <w:rPr>
          <w:rFonts w:ascii="Arial Narrow" w:hAnsi="Arial Narrow"/>
          <w:lang w:val="en-US"/>
        </w:rPr>
        <w:t xml:space="preserve"> v </w:t>
      </w:r>
      <w:proofErr w:type="spellStart"/>
      <w:r>
        <w:rPr>
          <w:rFonts w:ascii="Arial Narrow" w:hAnsi="Arial Narrow"/>
          <w:lang w:val="en-US"/>
        </w:rPr>
        <w:t>článku</w:t>
      </w:r>
      <w:proofErr w:type="spellEnd"/>
      <w:r>
        <w:rPr>
          <w:rFonts w:ascii="Arial Narrow" w:hAnsi="Arial Narrow"/>
          <w:lang w:val="en-US"/>
        </w:rPr>
        <w:t xml:space="preserve"> VIII. </w:t>
      </w:r>
      <w:proofErr w:type="spellStart"/>
      <w:r>
        <w:rPr>
          <w:rFonts w:ascii="Arial Narrow" w:hAnsi="Arial Narrow"/>
          <w:lang w:val="en-US"/>
        </w:rPr>
        <w:t>odstavci</w:t>
      </w:r>
      <w:proofErr w:type="spellEnd"/>
      <w:r>
        <w:rPr>
          <w:rFonts w:ascii="Arial Narrow" w:hAnsi="Arial Narrow"/>
          <w:lang w:val="en-US"/>
        </w:rPr>
        <w:t xml:space="preserve"> VIII.2 </w:t>
      </w:r>
      <w:proofErr w:type="spellStart"/>
      <w:r>
        <w:rPr>
          <w:rFonts w:ascii="Arial Narrow" w:hAnsi="Arial Narrow"/>
          <w:lang w:val="en-US"/>
        </w:rPr>
        <w:t>Pravidel</w:t>
      </w:r>
      <w:proofErr w:type="spellEnd"/>
      <w:r>
        <w:rPr>
          <w:rFonts w:ascii="Arial Narrow" w:hAnsi="Arial Narrow"/>
          <w:lang w:val="en-US"/>
        </w:rPr>
        <w:t xml:space="preserve"> </w:t>
      </w:r>
      <w:proofErr w:type="spellStart"/>
      <w:r>
        <w:rPr>
          <w:rFonts w:ascii="Arial Narrow" w:hAnsi="Arial Narrow"/>
          <w:lang w:val="en-US"/>
        </w:rPr>
        <w:t>pronájmů</w:t>
      </w:r>
      <w:proofErr w:type="spellEnd"/>
      <w:r>
        <w:rPr>
          <w:rFonts w:ascii="Arial Narrow" w:hAnsi="Arial Narrow"/>
          <w:lang w:val="en-US"/>
        </w:rPr>
        <w:t xml:space="preserve"> </w:t>
      </w:r>
      <w:proofErr w:type="spellStart"/>
      <w:r>
        <w:rPr>
          <w:rFonts w:ascii="Arial Narrow" w:hAnsi="Arial Narrow"/>
          <w:lang w:val="en-US"/>
        </w:rPr>
        <w:t>sjednává</w:t>
      </w:r>
      <w:proofErr w:type="spellEnd"/>
      <w:r>
        <w:rPr>
          <w:rFonts w:ascii="Arial Narrow" w:hAnsi="Arial Narrow"/>
          <w:lang w:val="en-US"/>
        </w:rPr>
        <w:t xml:space="preserve"> </w:t>
      </w:r>
      <w:proofErr w:type="spellStart"/>
      <w:r>
        <w:rPr>
          <w:rFonts w:ascii="Arial Narrow" w:hAnsi="Arial Narrow"/>
          <w:lang w:val="en-US"/>
        </w:rPr>
        <w:t>na</w:t>
      </w:r>
      <w:proofErr w:type="spellEnd"/>
      <w:r>
        <w:rPr>
          <w:rFonts w:ascii="Arial Narrow" w:hAnsi="Arial Narrow"/>
          <w:lang w:val="en-US"/>
        </w:rPr>
        <w:t xml:space="preserve"> </w:t>
      </w:r>
      <w:proofErr w:type="gramStart"/>
      <w:r>
        <w:rPr>
          <w:rFonts w:ascii="Arial Narrow" w:hAnsi="Arial Narrow"/>
          <w:lang w:val="en-US"/>
        </w:rPr>
        <w:t>50.000,-</w:t>
      </w:r>
      <w:proofErr w:type="gramEnd"/>
      <w:r>
        <w:rPr>
          <w:rFonts w:ascii="Arial Narrow" w:hAnsi="Arial Narrow"/>
          <w:lang w:val="en-US"/>
        </w:rPr>
        <w:t xml:space="preserve"> </w:t>
      </w:r>
      <w:proofErr w:type="spellStart"/>
      <w:r>
        <w:rPr>
          <w:rFonts w:ascii="Arial Narrow" w:hAnsi="Arial Narrow"/>
          <w:lang w:val="en-US"/>
        </w:rPr>
        <w:t>Kč</w:t>
      </w:r>
      <w:proofErr w:type="spellEnd"/>
      <w:r>
        <w:rPr>
          <w:rFonts w:ascii="Arial Narrow" w:hAnsi="Arial Narrow"/>
          <w:lang w:val="en-US"/>
        </w:rPr>
        <w:t xml:space="preserve"> (</w:t>
      </w:r>
      <w:proofErr w:type="spellStart"/>
      <w:r>
        <w:rPr>
          <w:rFonts w:ascii="Arial Narrow" w:hAnsi="Arial Narrow"/>
          <w:lang w:val="en-US"/>
        </w:rPr>
        <w:t>namísto</w:t>
      </w:r>
      <w:proofErr w:type="spellEnd"/>
      <w:r>
        <w:rPr>
          <w:rFonts w:ascii="Arial Narrow" w:hAnsi="Arial Narrow"/>
          <w:lang w:val="en-US"/>
        </w:rPr>
        <w:t xml:space="preserve"> 100.000 </w:t>
      </w:r>
      <w:proofErr w:type="spellStart"/>
      <w:r>
        <w:rPr>
          <w:rFonts w:ascii="Arial Narrow" w:hAnsi="Arial Narrow"/>
          <w:lang w:val="en-US"/>
        </w:rPr>
        <w:t>Kč</w:t>
      </w:r>
      <w:proofErr w:type="spellEnd"/>
      <w:r>
        <w:rPr>
          <w:rFonts w:ascii="Arial Narrow" w:hAnsi="Arial Narrow"/>
          <w:lang w:val="en-US"/>
        </w:rPr>
        <w:t xml:space="preserve">), v </w:t>
      </w:r>
      <w:proofErr w:type="spellStart"/>
      <w:r>
        <w:rPr>
          <w:rFonts w:ascii="Arial Narrow" w:hAnsi="Arial Narrow"/>
          <w:lang w:val="en-US"/>
        </w:rPr>
        <w:t>ostatním</w:t>
      </w:r>
      <w:proofErr w:type="spellEnd"/>
      <w:r>
        <w:rPr>
          <w:rFonts w:ascii="Arial Narrow" w:hAnsi="Arial Narrow"/>
          <w:lang w:val="en-US"/>
        </w:rPr>
        <w:t xml:space="preserve"> </w:t>
      </w:r>
      <w:proofErr w:type="spellStart"/>
      <w:r>
        <w:rPr>
          <w:rFonts w:ascii="Arial Narrow" w:hAnsi="Arial Narrow"/>
          <w:lang w:val="en-US"/>
        </w:rPr>
        <w:t>však</w:t>
      </w:r>
      <w:proofErr w:type="spellEnd"/>
      <w:r>
        <w:rPr>
          <w:rFonts w:ascii="Arial Narrow" w:hAnsi="Arial Narrow"/>
          <w:lang w:val="en-US"/>
        </w:rPr>
        <w:t xml:space="preserve"> </w:t>
      </w:r>
      <w:proofErr w:type="spellStart"/>
      <w:r>
        <w:rPr>
          <w:rFonts w:ascii="Arial Narrow" w:hAnsi="Arial Narrow"/>
          <w:lang w:val="en-US"/>
        </w:rPr>
        <w:t>platí</w:t>
      </w:r>
      <w:proofErr w:type="spellEnd"/>
      <w:r>
        <w:rPr>
          <w:rFonts w:ascii="Arial Narrow" w:hAnsi="Arial Narrow"/>
          <w:lang w:val="en-US"/>
        </w:rPr>
        <w:t xml:space="preserve"> </w:t>
      </w:r>
      <w:proofErr w:type="spellStart"/>
      <w:r>
        <w:rPr>
          <w:rFonts w:ascii="Arial Narrow" w:hAnsi="Arial Narrow"/>
          <w:lang w:val="en-US"/>
        </w:rPr>
        <w:t>úprava</w:t>
      </w:r>
      <w:proofErr w:type="spellEnd"/>
      <w:r>
        <w:rPr>
          <w:rFonts w:ascii="Arial Narrow" w:hAnsi="Arial Narrow"/>
          <w:lang w:val="en-US"/>
        </w:rPr>
        <w:t xml:space="preserve"> </w:t>
      </w:r>
      <w:proofErr w:type="spellStart"/>
      <w:r>
        <w:rPr>
          <w:rFonts w:ascii="Arial Narrow" w:hAnsi="Arial Narrow"/>
          <w:lang w:val="en-US"/>
        </w:rPr>
        <w:t>dle</w:t>
      </w:r>
      <w:proofErr w:type="spellEnd"/>
      <w:r>
        <w:rPr>
          <w:rFonts w:ascii="Arial Narrow" w:hAnsi="Arial Narrow"/>
          <w:lang w:val="en-US"/>
        </w:rPr>
        <w:t xml:space="preserve"> </w:t>
      </w:r>
      <w:proofErr w:type="spellStart"/>
      <w:r>
        <w:rPr>
          <w:rFonts w:ascii="Arial Narrow" w:hAnsi="Arial Narrow"/>
          <w:lang w:val="en-US"/>
        </w:rPr>
        <w:t>Pravidel</w:t>
      </w:r>
      <w:proofErr w:type="spellEnd"/>
      <w:r>
        <w:rPr>
          <w:rFonts w:ascii="Arial Narrow" w:hAnsi="Arial Narrow"/>
          <w:lang w:val="en-US"/>
        </w:rPr>
        <w:t xml:space="preserve"> </w:t>
      </w:r>
      <w:proofErr w:type="spellStart"/>
      <w:r>
        <w:rPr>
          <w:rFonts w:ascii="Arial Narrow" w:hAnsi="Arial Narrow"/>
          <w:lang w:val="en-US"/>
        </w:rPr>
        <w:t>pronájmů</w:t>
      </w:r>
      <w:proofErr w:type="spellEnd"/>
      <w:r>
        <w:rPr>
          <w:rFonts w:ascii="Arial Narrow" w:hAnsi="Arial Narrow"/>
          <w:lang w:val="en-US"/>
        </w:rPr>
        <w:t>.</w:t>
      </w:r>
    </w:p>
    <w:p w14:paraId="11FA0A31" w14:textId="77777777" w:rsidR="00191BF6" w:rsidRPr="00E43EE2" w:rsidRDefault="00191BF6" w:rsidP="00191BF6">
      <w:pPr>
        <w:pStyle w:val="Odstavecseseznamem"/>
        <w:ind w:left="1080"/>
        <w:jc w:val="both"/>
        <w:rPr>
          <w:rFonts w:ascii="Arial Narrow" w:hAnsi="Arial Narrow"/>
        </w:rPr>
      </w:pPr>
    </w:p>
    <w:p w14:paraId="0887519B" w14:textId="5EB6816B" w:rsidR="00191BF6" w:rsidRDefault="00191BF6" w:rsidP="00191BF6">
      <w:pPr>
        <w:pStyle w:val="Odstavecseseznamem"/>
        <w:numPr>
          <w:ilvl w:val="0"/>
          <w:numId w:val="2"/>
        </w:numPr>
        <w:jc w:val="both"/>
        <w:rPr>
          <w:rFonts w:ascii="Arial Narrow" w:hAnsi="Arial Narrow"/>
        </w:rPr>
      </w:pPr>
      <w:r>
        <w:rPr>
          <w:rFonts w:ascii="Arial Narrow" w:hAnsi="Arial Narrow"/>
        </w:rPr>
        <w:t xml:space="preserve">Tato smlouva se uzavírá na dobu určitou s účinností od </w:t>
      </w:r>
      <w:r>
        <w:rPr>
          <w:rFonts w:ascii="Arial Narrow" w:hAnsi="Arial Narrow"/>
        </w:rPr>
        <w:t>6</w:t>
      </w:r>
      <w:r>
        <w:rPr>
          <w:rFonts w:ascii="Arial Narrow" w:hAnsi="Arial Narrow"/>
        </w:rPr>
        <w:t xml:space="preserve">. </w:t>
      </w:r>
      <w:r>
        <w:rPr>
          <w:rFonts w:ascii="Arial Narrow" w:hAnsi="Arial Narrow"/>
        </w:rPr>
        <w:t>10</w:t>
      </w:r>
      <w:r>
        <w:rPr>
          <w:rFonts w:ascii="Arial Narrow" w:hAnsi="Arial Narrow"/>
        </w:rPr>
        <w:t>. 202</w:t>
      </w:r>
      <w:r>
        <w:rPr>
          <w:rFonts w:ascii="Arial Narrow" w:hAnsi="Arial Narrow"/>
        </w:rPr>
        <w:t>5</w:t>
      </w:r>
      <w:r>
        <w:rPr>
          <w:rFonts w:ascii="Arial Narrow" w:hAnsi="Arial Narrow"/>
        </w:rPr>
        <w:t xml:space="preserve"> – 30. 6. 202</w:t>
      </w:r>
      <w:r>
        <w:rPr>
          <w:rFonts w:ascii="Arial Narrow" w:hAnsi="Arial Narrow"/>
        </w:rPr>
        <w:t>6.</w:t>
      </w:r>
    </w:p>
    <w:p w14:paraId="50009121" w14:textId="77777777" w:rsidR="00191BF6" w:rsidRDefault="00191BF6" w:rsidP="00191BF6">
      <w:pPr>
        <w:pStyle w:val="Odstavecseseznamem"/>
        <w:jc w:val="both"/>
        <w:rPr>
          <w:rFonts w:ascii="Arial Narrow" w:hAnsi="Arial Narrow"/>
        </w:rPr>
      </w:pPr>
    </w:p>
    <w:p w14:paraId="7521F681" w14:textId="77777777" w:rsidR="00191BF6" w:rsidRPr="00E43EE2" w:rsidRDefault="00191BF6" w:rsidP="00191BF6">
      <w:pPr>
        <w:pStyle w:val="Odstavecseseznamem"/>
        <w:numPr>
          <w:ilvl w:val="0"/>
          <w:numId w:val="2"/>
        </w:numPr>
        <w:jc w:val="both"/>
        <w:rPr>
          <w:rFonts w:ascii="Arial Narrow" w:hAnsi="Arial Narrow"/>
        </w:rPr>
      </w:pPr>
      <w:r w:rsidRPr="00E43EE2">
        <w:rPr>
          <w:rFonts w:ascii="Arial Narrow" w:hAnsi="Arial Narrow"/>
        </w:rPr>
        <w:t>Případné změny této smlouvy se provádějí postupem uvedeným v článku II Pravidel pronájmů. Ta</w:t>
      </w:r>
      <w:r>
        <w:rPr>
          <w:rFonts w:ascii="Arial Narrow" w:hAnsi="Arial Narrow"/>
        </w:rPr>
        <w:t>to smlouva je vyhotovena ve třech vyhotoveních s platností originálu, z nichž pronajímatel obdrží po jednom a nájemce po dvou vyhotoveních.</w:t>
      </w:r>
    </w:p>
    <w:p w14:paraId="02403AF2" w14:textId="77777777" w:rsidR="00191BF6" w:rsidRDefault="00191BF6" w:rsidP="00191BF6">
      <w:pPr>
        <w:ind w:left="360"/>
        <w:jc w:val="both"/>
        <w:rPr>
          <w:rFonts w:ascii="Arial Narrow" w:hAnsi="Arial Narrow"/>
        </w:rPr>
      </w:pPr>
    </w:p>
    <w:p w14:paraId="3F434E7D" w14:textId="77777777" w:rsidR="00191BF6" w:rsidRPr="00191BF6" w:rsidRDefault="00191BF6" w:rsidP="00191BF6">
      <w:pPr>
        <w:ind w:left="360"/>
        <w:jc w:val="both"/>
        <w:rPr>
          <w:rFonts w:ascii="Arial Narrow" w:hAnsi="Arial Narrow"/>
        </w:rPr>
      </w:pPr>
    </w:p>
    <w:p w14:paraId="02203E74" w14:textId="77777777" w:rsidR="00191BF6" w:rsidRDefault="00191BF6" w:rsidP="00191BF6">
      <w:pPr>
        <w:jc w:val="both"/>
        <w:rPr>
          <w:rFonts w:ascii="Arial Narrow" w:hAnsi="Arial Narrow"/>
        </w:rPr>
      </w:pPr>
    </w:p>
    <w:p w14:paraId="39973D50" w14:textId="77777777" w:rsidR="00191BF6" w:rsidRPr="00191BF6" w:rsidRDefault="00191BF6" w:rsidP="00191BF6">
      <w:pPr>
        <w:jc w:val="both"/>
        <w:rPr>
          <w:rFonts w:ascii="Arial Narrow" w:hAnsi="Arial Narrow"/>
        </w:rPr>
      </w:pPr>
    </w:p>
    <w:p w14:paraId="5528413B" w14:textId="77777777" w:rsidR="002B4666" w:rsidRPr="0007442B" w:rsidRDefault="002B4666" w:rsidP="002B4666">
      <w:pPr>
        <w:pStyle w:val="Odstavecseseznamem"/>
        <w:rPr>
          <w:rFonts w:ascii="Arial Narrow" w:hAnsi="Arial Narrow"/>
          <w:sz w:val="16"/>
        </w:rPr>
      </w:pPr>
    </w:p>
    <w:p w14:paraId="045B64C1" w14:textId="77777777" w:rsidR="007B6B27" w:rsidRPr="0007442B" w:rsidRDefault="002B4666" w:rsidP="0007442B">
      <w:pPr>
        <w:pStyle w:val="Odstavecseseznamem"/>
        <w:numPr>
          <w:ilvl w:val="0"/>
          <w:numId w:val="2"/>
        </w:numPr>
        <w:jc w:val="both"/>
        <w:rPr>
          <w:rFonts w:ascii="Arial Narrow" w:hAnsi="Arial Narrow"/>
        </w:rPr>
      </w:pPr>
      <w:r w:rsidRPr="0007442B">
        <w:rPr>
          <w:rFonts w:ascii="Arial Narrow" w:hAnsi="Arial Narrow"/>
        </w:rPr>
        <w:t>Tato smlouva nabývá platnosti uzavřením a účinnosti uveřejněním v registru smluv podle zákona č. 340/2015 Sb., ve znění pozdějších předpisů. Uveřejnění této smlouvy v registru smluv podle zákona č. 340/2015 Sb., ve znění pozdějších předpisů, zajistí pronajímatel. Smluvní strany konstatují, že tato smlouva obsahuje ujednání či údaje, které nebudou v souladu se zákonem č. 340/2015 Sb., ve znění pozdějších předpisů, uveřejněny v registru smluv podle uvedeného zákona (dále jen „neveřejné údaje“). Neveřejné údaje představují obchodní tajemství smluvních stran, informace o výpočtu ceny nebo jiné v souladu se zákonem neuveřejňované informace. Smluvní strany se dohodly, že ta z nich, která smlouvu uveřejní, zajistí znečitelnění neveřejných údajů a neuvede je ani v metadatech. Neveřejnými údaji v této smlouvě jsou: v příloze údaje o datech a časech a o výpočtu ceny (včetně jednotlivých položek výpočtu ceny, základních cen, úprav ceny a výsledných jednotkových cen, avšak kromě celkové ceny).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r w:rsidR="007B6B27" w:rsidRPr="007B6B27">
        <w:t xml:space="preserve"> </w:t>
      </w:r>
    </w:p>
    <w:p w14:paraId="290CC709" w14:textId="77777777" w:rsidR="007B6B27" w:rsidRPr="007B6B27" w:rsidRDefault="007B6B27" w:rsidP="007B6B27">
      <w:r w:rsidRPr="007B6B27">
        <w:t xml:space="preserve"> </w:t>
      </w:r>
    </w:p>
    <w:p w14:paraId="19BAF4E2" w14:textId="77777777" w:rsidR="00042A19" w:rsidRDefault="00042A19" w:rsidP="007B6B27">
      <w:pPr>
        <w:tabs>
          <w:tab w:val="right" w:pos="10773"/>
        </w:tabs>
      </w:pPr>
    </w:p>
    <w:p w14:paraId="2E66B390" w14:textId="77777777" w:rsidR="00042A19" w:rsidRDefault="00042A19" w:rsidP="007B6B27">
      <w:pPr>
        <w:tabs>
          <w:tab w:val="right" w:pos="10773"/>
        </w:tabs>
      </w:pPr>
    </w:p>
    <w:p w14:paraId="5F0B9DD9" w14:textId="77777777" w:rsidR="00042A19" w:rsidRDefault="00042A19" w:rsidP="007B6B27">
      <w:pPr>
        <w:tabs>
          <w:tab w:val="right" w:pos="10773"/>
        </w:tabs>
      </w:pPr>
    </w:p>
    <w:p w14:paraId="1117EF8F" w14:textId="77777777" w:rsidR="00042A19" w:rsidRDefault="00042A19" w:rsidP="007B6B27">
      <w:pPr>
        <w:tabs>
          <w:tab w:val="right" w:pos="10773"/>
        </w:tabs>
      </w:pPr>
    </w:p>
    <w:p w14:paraId="6A3C6FCC" w14:textId="5BB38591" w:rsidR="007B6B27" w:rsidRPr="007B6B27" w:rsidRDefault="007B6B27" w:rsidP="007B6B27">
      <w:pPr>
        <w:tabs>
          <w:tab w:val="right" w:pos="10773"/>
        </w:tabs>
      </w:pPr>
      <w:r w:rsidRPr="007B6B27">
        <w:t>V Praze dne……………………………</w:t>
      </w:r>
      <w:r>
        <w:t>…</w:t>
      </w:r>
      <w:proofErr w:type="gramStart"/>
      <w:r>
        <w:t>…….</w:t>
      </w:r>
      <w:proofErr w:type="gramEnd"/>
      <w:r>
        <w:t xml:space="preserve">.               </w:t>
      </w:r>
      <w:r>
        <w:tab/>
        <w:t xml:space="preserve">    </w:t>
      </w:r>
      <w:r w:rsidRPr="007B6B27">
        <w:t>V Praze dne………………………………</w:t>
      </w:r>
      <w:proofErr w:type="gramStart"/>
      <w:r w:rsidRPr="007B6B27">
        <w:t>…….</w:t>
      </w:r>
      <w:proofErr w:type="gramEnd"/>
      <w:r w:rsidRPr="007B6B27">
        <w:t>.</w:t>
      </w:r>
    </w:p>
    <w:p w14:paraId="2B99C28C" w14:textId="77777777" w:rsidR="007B6B27" w:rsidRPr="007B6B27" w:rsidRDefault="007B6B27" w:rsidP="007B6B27">
      <w:r w:rsidRPr="007B6B27">
        <w:t xml:space="preserve"> </w:t>
      </w:r>
    </w:p>
    <w:p w14:paraId="44C93BBE" w14:textId="77777777" w:rsidR="007B6B27" w:rsidRPr="007B6B27" w:rsidRDefault="007B6B27" w:rsidP="007B6B27">
      <w:r w:rsidRPr="007B6B27">
        <w:t xml:space="preserve"> </w:t>
      </w:r>
    </w:p>
    <w:p w14:paraId="7705BB6A" w14:textId="4B5AADF3" w:rsidR="007B6B27" w:rsidRPr="007B6B27" w:rsidRDefault="007B6B27" w:rsidP="007B6B27">
      <w:pPr>
        <w:tabs>
          <w:tab w:val="left" w:pos="709"/>
          <w:tab w:val="left" w:pos="6946"/>
        </w:tabs>
      </w:pPr>
      <w:r>
        <w:t xml:space="preserve"> </w:t>
      </w:r>
      <w:r>
        <w:tab/>
      </w:r>
      <w:r w:rsidR="00251123">
        <w:t xml:space="preserve">     </w:t>
      </w:r>
      <w:r w:rsidRPr="007B6B27">
        <w:t>………………………………………</w:t>
      </w:r>
      <w:r w:rsidRPr="007B6B27">
        <w:tab/>
      </w:r>
      <w:r w:rsidR="00251123">
        <w:t xml:space="preserve">       </w:t>
      </w:r>
      <w:r w:rsidRPr="007B6B27">
        <w:t>………………………………………</w:t>
      </w:r>
    </w:p>
    <w:p w14:paraId="31F3D815" w14:textId="77777777" w:rsidR="007B6B27" w:rsidRDefault="007B6B27" w:rsidP="0007442B">
      <w:pPr>
        <w:tabs>
          <w:tab w:val="left" w:pos="1701"/>
          <w:tab w:val="left" w:pos="8222"/>
        </w:tabs>
      </w:pPr>
      <w:r w:rsidRPr="007B6B27">
        <w:tab/>
        <w:t>pronajímatel</w:t>
      </w:r>
      <w:r w:rsidRPr="007B6B27">
        <w:tab/>
        <w:t>nájemce</w:t>
      </w:r>
    </w:p>
    <w:p w14:paraId="72B559CB" w14:textId="77777777" w:rsidR="007B6B27" w:rsidRPr="007B6B27" w:rsidRDefault="007B6B27" w:rsidP="007B6B27">
      <w:r w:rsidRPr="007B6B27">
        <w:t xml:space="preserve"> </w:t>
      </w:r>
    </w:p>
    <w:p w14:paraId="5156A536" w14:textId="77777777" w:rsidR="00251123" w:rsidRDefault="00251123" w:rsidP="0007442B">
      <w:pPr>
        <w:spacing w:before="120"/>
        <w:rPr>
          <w:sz w:val="20"/>
        </w:rPr>
      </w:pPr>
    </w:p>
    <w:p w14:paraId="7E91C613" w14:textId="77777777" w:rsidR="00251123" w:rsidRDefault="00251123" w:rsidP="0007442B">
      <w:pPr>
        <w:spacing w:before="120"/>
        <w:rPr>
          <w:sz w:val="20"/>
        </w:rPr>
      </w:pPr>
    </w:p>
    <w:p w14:paraId="05463624" w14:textId="77777777" w:rsidR="00251123" w:rsidRDefault="00251123" w:rsidP="0007442B">
      <w:pPr>
        <w:spacing w:before="120"/>
        <w:rPr>
          <w:sz w:val="20"/>
        </w:rPr>
      </w:pPr>
    </w:p>
    <w:p w14:paraId="6434D7E7" w14:textId="77777777" w:rsidR="00251123" w:rsidRDefault="00251123" w:rsidP="0007442B">
      <w:pPr>
        <w:spacing w:before="120"/>
        <w:rPr>
          <w:sz w:val="20"/>
        </w:rPr>
      </w:pPr>
    </w:p>
    <w:p w14:paraId="3242BB7B" w14:textId="7197B62D" w:rsidR="007B6B27" w:rsidRPr="007B6B27" w:rsidRDefault="007B6B27" w:rsidP="0007442B">
      <w:pPr>
        <w:spacing w:before="120"/>
      </w:pPr>
      <w:r w:rsidRPr="007B6B27">
        <w:rPr>
          <w:sz w:val="20"/>
        </w:rPr>
        <w:t>Za správnost zodpovídá:</w:t>
      </w:r>
      <w:r w:rsidR="00B37849">
        <w:rPr>
          <w:sz w:val="20"/>
        </w:rPr>
        <w:t xml:space="preserve"> Lajdová Ilona</w:t>
      </w:r>
      <w:r w:rsidRPr="007B6B27">
        <w:rPr>
          <w:sz w:val="20"/>
        </w:rPr>
        <w:t xml:space="preserve">, </w:t>
      </w:r>
      <w:r w:rsidR="00FB514A">
        <w:rPr>
          <w:sz w:val="20"/>
        </w:rPr>
        <w:t>obchodní manažerka</w:t>
      </w:r>
    </w:p>
    <w:p w14:paraId="451F258A" w14:textId="7BEC1123" w:rsidR="007B6B27" w:rsidRDefault="00AF2AE9" w:rsidP="007B6B27">
      <w:r>
        <w:rPr>
          <w:sz w:val="20"/>
        </w:rPr>
        <w:t>Kontroloval(a)</w:t>
      </w:r>
      <w:r w:rsidRPr="007B6B27">
        <w:rPr>
          <w:sz w:val="20"/>
        </w:rPr>
        <w:t>:</w:t>
      </w:r>
    </w:p>
    <w:sectPr w:rsidR="007B6B27" w:rsidSect="00657A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7313"/>
    <w:multiLevelType w:val="hybridMultilevel"/>
    <w:tmpl w:val="94CE4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341864"/>
    <w:multiLevelType w:val="hybridMultilevel"/>
    <w:tmpl w:val="FF7E0A9C"/>
    <w:lvl w:ilvl="0" w:tplc="2F368F40">
      <w:numFmt w:val="bullet"/>
      <w:lvlText w:val="-"/>
      <w:lvlJc w:val="left"/>
      <w:pPr>
        <w:ind w:left="1080" w:hanging="360"/>
      </w:pPr>
      <w:rPr>
        <w:rFonts w:ascii="Arial Narrow" w:eastAsiaTheme="minorHAnsi" w:hAnsi="Arial Narrow"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DCD0373"/>
    <w:multiLevelType w:val="hybridMultilevel"/>
    <w:tmpl w:val="FAD8C5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0209755">
    <w:abstractNumId w:val="0"/>
  </w:num>
  <w:num w:numId="2" w16cid:durableId="2058118427">
    <w:abstractNumId w:val="2"/>
  </w:num>
  <w:num w:numId="3" w16cid:durableId="96438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B27"/>
    <w:rsid w:val="00010109"/>
    <w:rsid w:val="00013324"/>
    <w:rsid w:val="00016076"/>
    <w:rsid w:val="00021BBB"/>
    <w:rsid w:val="000220CE"/>
    <w:rsid w:val="0003397A"/>
    <w:rsid w:val="000354A3"/>
    <w:rsid w:val="00042A19"/>
    <w:rsid w:val="0005101B"/>
    <w:rsid w:val="00052185"/>
    <w:rsid w:val="00055005"/>
    <w:rsid w:val="0007442B"/>
    <w:rsid w:val="00081926"/>
    <w:rsid w:val="00082D80"/>
    <w:rsid w:val="00083D5C"/>
    <w:rsid w:val="0008436E"/>
    <w:rsid w:val="00093AC1"/>
    <w:rsid w:val="000A0511"/>
    <w:rsid w:val="000A63A7"/>
    <w:rsid w:val="000B36C7"/>
    <w:rsid w:val="000B61F7"/>
    <w:rsid w:val="000C48D0"/>
    <w:rsid w:val="000D14D9"/>
    <w:rsid w:val="000D2A45"/>
    <w:rsid w:val="000D6D49"/>
    <w:rsid w:val="000E2B25"/>
    <w:rsid w:val="000E3C02"/>
    <w:rsid w:val="000F5F1E"/>
    <w:rsid w:val="000F6B5D"/>
    <w:rsid w:val="001002CC"/>
    <w:rsid w:val="0010712C"/>
    <w:rsid w:val="00115300"/>
    <w:rsid w:val="001243B1"/>
    <w:rsid w:val="00130094"/>
    <w:rsid w:val="00133D06"/>
    <w:rsid w:val="00133E3B"/>
    <w:rsid w:val="00134409"/>
    <w:rsid w:val="00137ABA"/>
    <w:rsid w:val="00140DBE"/>
    <w:rsid w:val="00145063"/>
    <w:rsid w:val="0014630F"/>
    <w:rsid w:val="0014669D"/>
    <w:rsid w:val="001612B7"/>
    <w:rsid w:val="001725ED"/>
    <w:rsid w:val="00191BF6"/>
    <w:rsid w:val="00196B2C"/>
    <w:rsid w:val="001A0C64"/>
    <w:rsid w:val="001A48CF"/>
    <w:rsid w:val="001B6BD8"/>
    <w:rsid w:val="001C33B4"/>
    <w:rsid w:val="001E0692"/>
    <w:rsid w:val="001E4F92"/>
    <w:rsid w:val="001E6AE4"/>
    <w:rsid w:val="00202E4E"/>
    <w:rsid w:val="0020384F"/>
    <w:rsid w:val="002124D0"/>
    <w:rsid w:val="0021478F"/>
    <w:rsid w:val="00216909"/>
    <w:rsid w:val="002331CF"/>
    <w:rsid w:val="00234A04"/>
    <w:rsid w:val="00236B9E"/>
    <w:rsid w:val="002370A4"/>
    <w:rsid w:val="002370FF"/>
    <w:rsid w:val="00241B97"/>
    <w:rsid w:val="00245ABC"/>
    <w:rsid w:val="00250F65"/>
    <w:rsid w:val="00251123"/>
    <w:rsid w:val="00261122"/>
    <w:rsid w:val="00264973"/>
    <w:rsid w:val="00275028"/>
    <w:rsid w:val="002778D8"/>
    <w:rsid w:val="00282B79"/>
    <w:rsid w:val="00284E60"/>
    <w:rsid w:val="002878B1"/>
    <w:rsid w:val="00287E97"/>
    <w:rsid w:val="00290129"/>
    <w:rsid w:val="00292C89"/>
    <w:rsid w:val="002B4666"/>
    <w:rsid w:val="002C0E85"/>
    <w:rsid w:val="002C48A6"/>
    <w:rsid w:val="002D1490"/>
    <w:rsid w:val="002D3959"/>
    <w:rsid w:val="002D6B73"/>
    <w:rsid w:val="002F649C"/>
    <w:rsid w:val="00303AF5"/>
    <w:rsid w:val="00305B48"/>
    <w:rsid w:val="00315DC5"/>
    <w:rsid w:val="003423F9"/>
    <w:rsid w:val="0034477D"/>
    <w:rsid w:val="00344CB9"/>
    <w:rsid w:val="00361F00"/>
    <w:rsid w:val="00377F07"/>
    <w:rsid w:val="00381EE9"/>
    <w:rsid w:val="003831C2"/>
    <w:rsid w:val="0038757A"/>
    <w:rsid w:val="0039392E"/>
    <w:rsid w:val="003A409F"/>
    <w:rsid w:val="003B0FA4"/>
    <w:rsid w:val="003C6287"/>
    <w:rsid w:val="003C6DCA"/>
    <w:rsid w:val="003C7DBB"/>
    <w:rsid w:val="003D444A"/>
    <w:rsid w:val="003E1720"/>
    <w:rsid w:val="003E707F"/>
    <w:rsid w:val="00410212"/>
    <w:rsid w:val="00415EAC"/>
    <w:rsid w:val="00420517"/>
    <w:rsid w:val="00422BD9"/>
    <w:rsid w:val="00435C2B"/>
    <w:rsid w:val="004364D3"/>
    <w:rsid w:val="00441CB8"/>
    <w:rsid w:val="00444182"/>
    <w:rsid w:val="0044773B"/>
    <w:rsid w:val="00455251"/>
    <w:rsid w:val="0045567A"/>
    <w:rsid w:val="00457BAE"/>
    <w:rsid w:val="00462D1C"/>
    <w:rsid w:val="00465F59"/>
    <w:rsid w:val="00467176"/>
    <w:rsid w:val="004769E7"/>
    <w:rsid w:val="00480CC5"/>
    <w:rsid w:val="0048161E"/>
    <w:rsid w:val="00495CA3"/>
    <w:rsid w:val="004A11EF"/>
    <w:rsid w:val="004A3962"/>
    <w:rsid w:val="004A5A5F"/>
    <w:rsid w:val="004C0945"/>
    <w:rsid w:val="004D34D6"/>
    <w:rsid w:val="004D447E"/>
    <w:rsid w:val="004D4F01"/>
    <w:rsid w:val="004D623F"/>
    <w:rsid w:val="004E08EE"/>
    <w:rsid w:val="004F6A33"/>
    <w:rsid w:val="00515B56"/>
    <w:rsid w:val="005374A6"/>
    <w:rsid w:val="00544D33"/>
    <w:rsid w:val="00550EDD"/>
    <w:rsid w:val="00553D75"/>
    <w:rsid w:val="005869F5"/>
    <w:rsid w:val="00590F11"/>
    <w:rsid w:val="00592F56"/>
    <w:rsid w:val="005945B8"/>
    <w:rsid w:val="005965FB"/>
    <w:rsid w:val="005A3916"/>
    <w:rsid w:val="005A7778"/>
    <w:rsid w:val="005B50D6"/>
    <w:rsid w:val="005B56D3"/>
    <w:rsid w:val="005B59F5"/>
    <w:rsid w:val="005B7586"/>
    <w:rsid w:val="005B76D5"/>
    <w:rsid w:val="005B7D41"/>
    <w:rsid w:val="005C00F8"/>
    <w:rsid w:val="005C5B52"/>
    <w:rsid w:val="005E3263"/>
    <w:rsid w:val="005F7411"/>
    <w:rsid w:val="005F78E2"/>
    <w:rsid w:val="00600EED"/>
    <w:rsid w:val="00612590"/>
    <w:rsid w:val="00620D1E"/>
    <w:rsid w:val="00632FB2"/>
    <w:rsid w:val="00634D5A"/>
    <w:rsid w:val="00643CEC"/>
    <w:rsid w:val="006504C6"/>
    <w:rsid w:val="006505BF"/>
    <w:rsid w:val="00650D8A"/>
    <w:rsid w:val="00653EA8"/>
    <w:rsid w:val="00657972"/>
    <w:rsid w:val="00657ACF"/>
    <w:rsid w:val="00665D2F"/>
    <w:rsid w:val="00666248"/>
    <w:rsid w:val="006679F0"/>
    <w:rsid w:val="006714D3"/>
    <w:rsid w:val="0068241F"/>
    <w:rsid w:val="00691357"/>
    <w:rsid w:val="006934C0"/>
    <w:rsid w:val="00695B67"/>
    <w:rsid w:val="006B362D"/>
    <w:rsid w:val="006C027F"/>
    <w:rsid w:val="006C0DAA"/>
    <w:rsid w:val="006C3D5E"/>
    <w:rsid w:val="006F4344"/>
    <w:rsid w:val="00707CA2"/>
    <w:rsid w:val="007166A8"/>
    <w:rsid w:val="00716B84"/>
    <w:rsid w:val="00723B97"/>
    <w:rsid w:val="007313A8"/>
    <w:rsid w:val="00735B64"/>
    <w:rsid w:val="007366C6"/>
    <w:rsid w:val="00740F88"/>
    <w:rsid w:val="007467CA"/>
    <w:rsid w:val="00747D57"/>
    <w:rsid w:val="00754B32"/>
    <w:rsid w:val="00780248"/>
    <w:rsid w:val="007945EB"/>
    <w:rsid w:val="00797F94"/>
    <w:rsid w:val="007A3799"/>
    <w:rsid w:val="007B4FAB"/>
    <w:rsid w:val="007B6217"/>
    <w:rsid w:val="007B6B27"/>
    <w:rsid w:val="007C0DEA"/>
    <w:rsid w:val="007D4788"/>
    <w:rsid w:val="007E61A7"/>
    <w:rsid w:val="007F7C7C"/>
    <w:rsid w:val="00800657"/>
    <w:rsid w:val="0082776C"/>
    <w:rsid w:val="00832A50"/>
    <w:rsid w:val="00840D42"/>
    <w:rsid w:val="00855B34"/>
    <w:rsid w:val="00862C46"/>
    <w:rsid w:val="008849F0"/>
    <w:rsid w:val="008874F1"/>
    <w:rsid w:val="00892513"/>
    <w:rsid w:val="00892DAF"/>
    <w:rsid w:val="008A179A"/>
    <w:rsid w:val="008A41B0"/>
    <w:rsid w:val="008A483F"/>
    <w:rsid w:val="008A650E"/>
    <w:rsid w:val="008A6766"/>
    <w:rsid w:val="008B2962"/>
    <w:rsid w:val="008B30FC"/>
    <w:rsid w:val="008B5C0A"/>
    <w:rsid w:val="008C6F99"/>
    <w:rsid w:val="008D108F"/>
    <w:rsid w:val="008D158D"/>
    <w:rsid w:val="008D1C9F"/>
    <w:rsid w:val="008D2399"/>
    <w:rsid w:val="008E0518"/>
    <w:rsid w:val="008E15F3"/>
    <w:rsid w:val="008F1FB8"/>
    <w:rsid w:val="008F2692"/>
    <w:rsid w:val="008F6C5C"/>
    <w:rsid w:val="009024D3"/>
    <w:rsid w:val="00921B98"/>
    <w:rsid w:val="00922D7D"/>
    <w:rsid w:val="00931348"/>
    <w:rsid w:val="0093226C"/>
    <w:rsid w:val="00942000"/>
    <w:rsid w:val="00964EB2"/>
    <w:rsid w:val="00966D6B"/>
    <w:rsid w:val="009674A4"/>
    <w:rsid w:val="00967E87"/>
    <w:rsid w:val="00971164"/>
    <w:rsid w:val="00973E4D"/>
    <w:rsid w:val="00976579"/>
    <w:rsid w:val="0099316B"/>
    <w:rsid w:val="0099687C"/>
    <w:rsid w:val="009A6658"/>
    <w:rsid w:val="009B2096"/>
    <w:rsid w:val="009B285D"/>
    <w:rsid w:val="009B36F7"/>
    <w:rsid w:val="009B6ECB"/>
    <w:rsid w:val="009D20BE"/>
    <w:rsid w:val="009F0639"/>
    <w:rsid w:val="009F0F16"/>
    <w:rsid w:val="009F597B"/>
    <w:rsid w:val="009F7774"/>
    <w:rsid w:val="00A064D9"/>
    <w:rsid w:val="00A173B0"/>
    <w:rsid w:val="00A2199B"/>
    <w:rsid w:val="00A24C52"/>
    <w:rsid w:val="00A25D99"/>
    <w:rsid w:val="00A27ED8"/>
    <w:rsid w:val="00A34E5C"/>
    <w:rsid w:val="00A44CC9"/>
    <w:rsid w:val="00A52741"/>
    <w:rsid w:val="00A63755"/>
    <w:rsid w:val="00A64049"/>
    <w:rsid w:val="00A76C6C"/>
    <w:rsid w:val="00A86119"/>
    <w:rsid w:val="00A9521C"/>
    <w:rsid w:val="00A96C43"/>
    <w:rsid w:val="00AA553E"/>
    <w:rsid w:val="00AB21F6"/>
    <w:rsid w:val="00AC55AD"/>
    <w:rsid w:val="00AC7F19"/>
    <w:rsid w:val="00AD1789"/>
    <w:rsid w:val="00AF05F2"/>
    <w:rsid w:val="00AF11D8"/>
    <w:rsid w:val="00AF2AE9"/>
    <w:rsid w:val="00AF347B"/>
    <w:rsid w:val="00AF5674"/>
    <w:rsid w:val="00B00C52"/>
    <w:rsid w:val="00B00D49"/>
    <w:rsid w:val="00B116CB"/>
    <w:rsid w:val="00B23FD2"/>
    <w:rsid w:val="00B3630A"/>
    <w:rsid w:val="00B37849"/>
    <w:rsid w:val="00B40712"/>
    <w:rsid w:val="00B41877"/>
    <w:rsid w:val="00B851DD"/>
    <w:rsid w:val="00B904B4"/>
    <w:rsid w:val="00B93143"/>
    <w:rsid w:val="00B94A89"/>
    <w:rsid w:val="00BA0A9D"/>
    <w:rsid w:val="00BB6416"/>
    <w:rsid w:val="00BC0A08"/>
    <w:rsid w:val="00BC4504"/>
    <w:rsid w:val="00BD1EA8"/>
    <w:rsid w:val="00C07200"/>
    <w:rsid w:val="00C13BA8"/>
    <w:rsid w:val="00C23700"/>
    <w:rsid w:val="00C25D27"/>
    <w:rsid w:val="00C37A45"/>
    <w:rsid w:val="00C404A4"/>
    <w:rsid w:val="00C55348"/>
    <w:rsid w:val="00C56868"/>
    <w:rsid w:val="00C5702E"/>
    <w:rsid w:val="00C742E7"/>
    <w:rsid w:val="00C80971"/>
    <w:rsid w:val="00C842B9"/>
    <w:rsid w:val="00C8692D"/>
    <w:rsid w:val="00C96A06"/>
    <w:rsid w:val="00CB6A43"/>
    <w:rsid w:val="00CC0E9B"/>
    <w:rsid w:val="00CD41D3"/>
    <w:rsid w:val="00CE0AF0"/>
    <w:rsid w:val="00CE3243"/>
    <w:rsid w:val="00CE71B0"/>
    <w:rsid w:val="00CE78B3"/>
    <w:rsid w:val="00CF35E0"/>
    <w:rsid w:val="00CF4C97"/>
    <w:rsid w:val="00CF4F8E"/>
    <w:rsid w:val="00D2119B"/>
    <w:rsid w:val="00D227B5"/>
    <w:rsid w:val="00D25447"/>
    <w:rsid w:val="00D31E3A"/>
    <w:rsid w:val="00D353EC"/>
    <w:rsid w:val="00D36FA3"/>
    <w:rsid w:val="00D56E8D"/>
    <w:rsid w:val="00D74625"/>
    <w:rsid w:val="00D76F51"/>
    <w:rsid w:val="00D77CDD"/>
    <w:rsid w:val="00D81677"/>
    <w:rsid w:val="00D84DC1"/>
    <w:rsid w:val="00DA2A87"/>
    <w:rsid w:val="00DA4A6C"/>
    <w:rsid w:val="00DB595F"/>
    <w:rsid w:val="00DC3BC6"/>
    <w:rsid w:val="00DC5F9C"/>
    <w:rsid w:val="00DC779D"/>
    <w:rsid w:val="00DE3B53"/>
    <w:rsid w:val="00DE666B"/>
    <w:rsid w:val="00DF61FF"/>
    <w:rsid w:val="00DF7B65"/>
    <w:rsid w:val="00E000AD"/>
    <w:rsid w:val="00E0249C"/>
    <w:rsid w:val="00E23565"/>
    <w:rsid w:val="00E25255"/>
    <w:rsid w:val="00E259D0"/>
    <w:rsid w:val="00E315AD"/>
    <w:rsid w:val="00E3573B"/>
    <w:rsid w:val="00E42DA2"/>
    <w:rsid w:val="00E47983"/>
    <w:rsid w:val="00E5424A"/>
    <w:rsid w:val="00E75ACC"/>
    <w:rsid w:val="00E8062F"/>
    <w:rsid w:val="00E84353"/>
    <w:rsid w:val="00E96DA5"/>
    <w:rsid w:val="00E97C13"/>
    <w:rsid w:val="00E97D8E"/>
    <w:rsid w:val="00EA234B"/>
    <w:rsid w:val="00EA50A4"/>
    <w:rsid w:val="00EA6FBA"/>
    <w:rsid w:val="00EA747D"/>
    <w:rsid w:val="00EB4080"/>
    <w:rsid w:val="00EB4FEB"/>
    <w:rsid w:val="00EC1CE8"/>
    <w:rsid w:val="00EE3CBC"/>
    <w:rsid w:val="00EE407E"/>
    <w:rsid w:val="00EE6034"/>
    <w:rsid w:val="00EE787C"/>
    <w:rsid w:val="00EF1581"/>
    <w:rsid w:val="00F01860"/>
    <w:rsid w:val="00F0290A"/>
    <w:rsid w:val="00F02CBB"/>
    <w:rsid w:val="00F13AE2"/>
    <w:rsid w:val="00F17E87"/>
    <w:rsid w:val="00F23B98"/>
    <w:rsid w:val="00F37BC5"/>
    <w:rsid w:val="00F42B06"/>
    <w:rsid w:val="00F45D85"/>
    <w:rsid w:val="00F555BC"/>
    <w:rsid w:val="00F56A75"/>
    <w:rsid w:val="00F62126"/>
    <w:rsid w:val="00F62E97"/>
    <w:rsid w:val="00F64765"/>
    <w:rsid w:val="00F813F6"/>
    <w:rsid w:val="00F83695"/>
    <w:rsid w:val="00F9039E"/>
    <w:rsid w:val="00F924B9"/>
    <w:rsid w:val="00F96506"/>
    <w:rsid w:val="00FA1587"/>
    <w:rsid w:val="00FB23B0"/>
    <w:rsid w:val="00FB514A"/>
    <w:rsid w:val="00FC073C"/>
    <w:rsid w:val="00FD7F4C"/>
    <w:rsid w:val="00FE52A2"/>
    <w:rsid w:val="00FE7358"/>
    <w:rsid w:val="00F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5EA6"/>
  <w15:chartTrackingRefBased/>
  <w15:docId w15:val="{E3334008-E5A9-41DA-A2D8-947750EF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AE9"/>
    <w:rPr>
      <w:rFonts w:ascii="Arial" w:hAnsi="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6B27"/>
    <w:pPr>
      <w:ind w:left="720"/>
      <w:contextualSpacing/>
    </w:pPr>
  </w:style>
  <w:style w:type="table" w:styleId="Mkatabulky">
    <w:name w:val="Table Grid"/>
    <w:basedOn w:val="Normlntabulka"/>
    <w:uiPriority w:val="59"/>
    <w:rsid w:val="0096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75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764</Words>
  <Characters>4513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Bělohradský Jiří</dc:creator>
  <cp:keywords/>
  <dc:description/>
  <cp:lastModifiedBy>Lajdová Ilona</cp:lastModifiedBy>
  <cp:revision>2</cp:revision>
  <dcterms:created xsi:type="dcterms:W3CDTF">2025-06-19T13:54:00Z</dcterms:created>
  <dcterms:modified xsi:type="dcterms:W3CDTF">2025-06-19T13:54:00Z</dcterms:modified>
</cp:coreProperties>
</file>