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32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 Dohodě o narovnání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 (dodatek č. 3)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66/2024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72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Podhora – plovoucí FVE”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projektu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1"/>
      <w:bookmarkEnd w:id="52"/>
      <w:bookmarkEnd w:id="5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KEROSIN s.r.o.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Michelská 18/12A, Michle, 140 00 Praha 4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09095861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CZ09095861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330854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00"/>
      <w:bookmarkEnd w:id="101"/>
      <w:bookmarkEnd w:id="9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 a prohlášení smluvních stran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after="60" w:line="240" w:lineRule="auto"/>
        <w:ind w:left="740" w:right="0" w:hanging="32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2.2.2024 uzavřely smluvní strany Smlouvu o dílo číslo smlouvy objednatele: 66/2024 s názvem „VD Podhora – plovoucí FVE“, ke které byl dne 7.11.2024 uzavřen Dodatek č. 1 (dále jen jako „Smlouva“) a dne 14.02.2025 Dohoda o narovnání (dodatek č. 2). Smluvní strany shodně konstatují, že se nepodaří zajistit schválení prvního paralelního připojení ze strany ČEZ Distribuce, a.s., což bylo podmínkou pro předání a převzetí dokončeného díla dle Dohody o narovnání ze dne 14.2.2025, která je Dodatkem č. 2 Smlouvy. Předmětem plnění dle Smlouvy je dodávka a realizace plovoucí fotovoltaické elektrárny umístěné na hladině vodní nádrže Podhora. Dne 11.7.2025 proběhla technická přejímka stavby a daný termín byl tímto splněn dle platné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after="200" w:line="240" w:lineRule="auto"/>
        <w:ind w:left="0" w:right="0" w:firstLine="38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 Dohodě o narovnání je v pořadí 3. dodatkem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after="240" w:line="240" w:lineRule="auto"/>
        <w:ind w:left="740" w:right="0" w:hanging="32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after="300" w:line="240" w:lineRule="auto"/>
        <w:ind w:left="0" w:right="0" w:firstLine="38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úpravě termínu a ceny díla z následujících důvodů: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860" w:right="0" w:hanging="44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předání a převzetí dokončeného díla je z důvodu probíhajícího projednávání legislativních opatření, které zajišťuje objednatel i zhotovitel a změn předmětu plnění. Na kontrolním dnu 10.4.2025 byl objednatel informován zhotovitelem o nových podmínkách připojení FVE k distribuční síti platných od 1.1.2025. Každý střídač musí mít platné osvědčení (certifikát) vydané akreditovaným certifikátorem nebo platným protokolem vydaným odbornou laboratoří (laboratoře EG.D. a ČEZ Distribuce). Dále je nutná úprava v rozvodně pro nové elektroměry LANDIS s přenosem dat do systému CONVERGE. Termín dokončení díla závisí na získání schválení prvního paralelního připojení od ČEZ Distribuce a.s.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860" w:right="0" w:hanging="44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Inspektor plavidel potvrdil na kontrolním dnu stavby dne 10.4.2025 požadavek na změnu velikosti-hmotnosti kotevních bloků, daných novou projektovou dokumentací na plavidlo, zpracovanou společností Mostecká montážní, a to na 4 x 2200 kg. Zhotovitel doposud pracoval s údaji, které vycházely ze systémového řešení Seeaflex dle původní dokumentace ze zadání zakázky, zpracované projekční firmou Sunnywatt, 4 x 1000 kg.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860" w:right="0" w:hanging="44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určení přesného místa výkopu v koruně hráze pro uložení ocelového svařence kabelového vedení z PFVE byla stanovena skutečná výměra. Zhotovitel doposud pracoval s údaji z původní dokumentace ze zadání zakázky zpracované firmou Sunnywatt, tedy s délkou ocelového nerezového svařence 6 m. Skutečná délka v místě uložení je dle zaměření v terénu 10 m. Bylo potřeba upravit délku ocelového svařence a tím i další související činnosti – výkop, zpětný zásyp, hutnění, ohumusování.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860" w:right="0" w:hanging="44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platné Smlouvy měl zhotovitel nainstalovat inteligentní energetický regulátor Goodwe SEC 1000, který však neumožňuje propojení mezi hybridním střídačem pro PFVE dle projektové dokumentace, ale jen se síťovým střídačem z FVE a nelze ani připojit bateriové úložiště a řídit celou výrobnu. Zástupci zhotovitele a objednatele se dohodli na kontrolním dnu 10.4.2025 na výměně regulátoru Goodwe SEC 1000 za nadřazený systém řízení PLC, který umožní řízení všech podvýroben – MVE, FVE, PFVE, bateriového úložiště, aktuálně požadovaného přetoku do distribuční soustavy a řízení vlastní spotřeby.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6" w:val="left"/>
        </w:tabs>
        <w:bidi w:val="0"/>
        <w:spacing w:before="0" w:after="300" w:line="240" w:lineRule="auto"/>
        <w:ind w:left="860" w:right="0" w:hanging="44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se objednatel a zhotovitel dohodli na základě požadavku objednatele z 05/2025 na úpravě části rozvodny, která umožní osazení elektroměrů LANDIS (dodávka těchto elektroměrů není předmětem úpravy) s přenosem dat do systému CONVERGE. Úprava spočívá v dodávce a montáži elektroměrového rozvaděče, úpravu RFVE pro vyvedení proudových a napěťových výstupů. Tyto výstupy budou z každého výrobního zdroje samostatné. Dále je součástí příprava pro vyvedení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dvou datových kabelů, zpracování dokumentace včetně jednopólového schéma zapojení měření.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11" w:name="bookmark1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1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Narovnání vzájemných práv a povinností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720" w:right="0" w:hanging="34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úpravě čl. II Dohody tak, jak je uvedeno v příloze č. 1 tohoto Dodatku. V této příloze jsou vyznačeny méně práce, které nebudou realizovány, ale také více práce, které je nutné, vzhledem k okolnostem popsaným v čl. I odst. 4 tohoto Dodatku, realizovat.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720" w:right="0" w:hanging="34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úpravu předmětu díla se smluvní strany dále dohodly na úpravě čl. II. odst. 3 a odst. 4 Dohody takto: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celkové smluvní ceny bez DPH:</w:t>
        <w:tab/>
        <w:t>2 433 079 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celkové smluvní ceny bez DPH:</w:t>
        <w:tab/>
        <w:t>2 838 884 Kč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720" w:right="0" w:hanging="34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úpravu předmětu díla se smluvní strany dále dohodly na úpravě čl. II. odst. 4, písm. c) Dohody: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čl. II. odst. 4, písm. c) Dohody: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předání a převzetí dokončeného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 dnů od technické přejímky dle písm. b1). Převzetí díla je podmíněno schválením prvního paralelního připojení ze strany ČEZ Distribuce,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čl. II. odst. 4, písm. c) Dohody: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14 dnů od získání schváleného prvního paralelního připojení od ČEZ Distribuce,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15" w:name="bookmark1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1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720" w:right="0" w:hanging="34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jeho podpisu poslední ze smluvních stran a účinnosti zveřejněním v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720" w:right="0" w:hanging="34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a vztahy z něj vyplývající se řídí českým právním řádem. Práva a povinnosti výslovně neupravené tímto Dodatkem se řídí zejména ustanoveními občanského zákoníku.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720" w:right="0" w:hanging="34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může být měněn pouze ve formě písemných dodatků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720" w:right="0" w:hanging="34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tento Dodatek řádně přečetly, jeho obsahu porozuměly a že je projevem jejich pravé, svobodné a vážné vůle prosté omylu a dále že tento Dodatek nebyl ujednán v tísni, ani za jinak nápadně nevýhodných podmínek a veškerá prohlášení v Dodatku odpovídají skutečnosti, což níže stvrzují svými podpisy.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62" w:left="1394" w:right="1389" w:bottom="1208" w:header="434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Oceněný soupis prací změn závazku ze dne 11.06.2025</w:t>
      </w: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86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Humpolci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524510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69999999999999pt;margin-top:1.pt;width:41.300000000000004pt;height:17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5474" w:bottom="9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012190" cy="2254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KEROSIN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1.69999999999999pt;margin-top:1.pt;width:79.700000000000003pt;height:17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KEROSIN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085" w:left="1394" w:right="5474" w:bottom="1219" w:header="65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9988550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6.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Pavlasová Jitka</dc:creator>
  <cp:keywords/>
</cp:coreProperties>
</file>