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4AE50E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860AD1">
        <w:rPr>
          <w:rFonts w:asciiTheme="minorHAnsi" w:hAnsiTheme="minorHAnsi"/>
          <w:b/>
          <w:sz w:val="28"/>
          <w:szCs w:val="28"/>
        </w:rPr>
        <w:t>243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D545846" w14:textId="77777777" w:rsidR="00F50919" w:rsidRPr="00634164" w:rsidRDefault="00F50919" w:rsidP="00F5091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7CB38F0" w14:textId="77777777" w:rsidR="00F50919" w:rsidRPr="00A57572" w:rsidRDefault="00F50919" w:rsidP="00F509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Tělocvičná jednota Sokol Pardubice I,</w:t>
      </w:r>
    </w:p>
    <w:p w14:paraId="4A544247" w14:textId="77777777" w:rsidR="00F50919" w:rsidRPr="00A57572" w:rsidRDefault="00F50919" w:rsidP="00F509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sídlo: Jiráskova 29, Zelené Předměstí (Pardubice I), 530 02 Pardubice,</w:t>
      </w:r>
    </w:p>
    <w:p w14:paraId="1D7F77A2" w14:textId="77777777" w:rsidR="00F50919" w:rsidRPr="00A57572" w:rsidRDefault="00F50919" w:rsidP="00F509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IČO: 00527785,</w:t>
      </w:r>
      <w:r w:rsidRPr="00A57572">
        <w:rPr>
          <w:rFonts w:ascii="Calibri" w:hAnsi="Calibri"/>
          <w:color w:val="000000" w:themeColor="text1"/>
          <w:sz w:val="22"/>
          <w:szCs w:val="22"/>
        </w:rPr>
        <w:tab/>
      </w:r>
    </w:p>
    <w:p w14:paraId="3E1D5386" w14:textId="77777777" w:rsidR="00F50919" w:rsidRPr="00A57572" w:rsidRDefault="00F50919" w:rsidP="00F509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číslo bankovního účtu: 1202886369/0800,</w:t>
      </w:r>
    </w:p>
    <w:p w14:paraId="061A1513" w14:textId="77777777" w:rsidR="00F50919" w:rsidRPr="00320AC5" w:rsidRDefault="00F50919" w:rsidP="00F509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Ing. Lenkou Pařízkovou, starostkou</w:t>
      </w:r>
      <w:r w:rsidRPr="00A57572">
        <w:rPr>
          <w:rFonts w:ascii="Calibri" w:hAnsi="Calibri"/>
          <w:color w:val="000000" w:themeColor="text1"/>
          <w:sz w:val="22"/>
          <w:szCs w:val="22"/>
        </w:rPr>
        <w:t>, Ing. Pavlou Avramovou, jednatelkou</w:t>
      </w:r>
    </w:p>
    <w:p w14:paraId="31A721C4" w14:textId="77777777" w:rsidR="00F50919" w:rsidRPr="000F7E7A" w:rsidRDefault="00F50919" w:rsidP="00F509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5ABDEC46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F50919">
        <w:rPr>
          <w:rFonts w:asciiTheme="minorHAnsi" w:hAnsiTheme="minorHAnsi"/>
          <w:b/>
          <w:sz w:val="22"/>
          <w:szCs w:val="22"/>
        </w:rPr>
        <w:t>3.159.100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50919">
        <w:rPr>
          <w:rFonts w:asciiTheme="minorHAnsi" w:hAnsiTheme="minorHAnsi"/>
          <w:sz w:val="22"/>
          <w:szCs w:val="22"/>
        </w:rPr>
        <w:t>tři miliony jedno sto padesát devět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0BB26982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F50919">
        <w:rPr>
          <w:rFonts w:asciiTheme="minorHAnsi" w:hAnsiTheme="minorHAnsi"/>
          <w:b/>
          <w:sz w:val="22"/>
          <w:szCs w:val="22"/>
        </w:rPr>
        <w:t>688.000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F50919">
        <w:rPr>
          <w:rFonts w:asciiTheme="minorHAnsi" w:hAnsiTheme="minorHAnsi"/>
          <w:sz w:val="22"/>
          <w:szCs w:val="22"/>
        </w:rPr>
        <w:t>šest set osmdesát osm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1DBB8C05" w14:textId="03BAC59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7D1DB7">
        <w:rPr>
          <w:rFonts w:asciiTheme="minorHAnsi" w:hAnsiTheme="minorHAnsi"/>
          <w:b/>
          <w:bCs/>
          <w:sz w:val="22"/>
          <w:szCs w:val="22"/>
        </w:rPr>
        <w:t>nesoutěžní pohybové aktivity a pohybová gramotnost dětí a mládeže</w:t>
      </w:r>
      <w:r>
        <w:rPr>
          <w:rFonts w:asciiTheme="minorHAnsi" w:hAnsiTheme="minorHAnsi"/>
          <w:sz w:val="22"/>
          <w:szCs w:val="22"/>
        </w:rPr>
        <w:t xml:space="preserve">“ v částce </w:t>
      </w:r>
      <w:r w:rsidR="00F50919">
        <w:rPr>
          <w:rFonts w:asciiTheme="minorHAnsi" w:hAnsiTheme="minorHAnsi"/>
          <w:b/>
          <w:bCs/>
          <w:sz w:val="22"/>
          <w:szCs w:val="22"/>
        </w:rPr>
        <w:t>159.200</w:t>
      </w:r>
      <w:r w:rsidRPr="007D1DB7">
        <w:rPr>
          <w:rFonts w:asciiTheme="minorHAnsi" w:hAnsiTheme="minorHAnsi"/>
          <w:b/>
          <w:bCs/>
          <w:sz w:val="22"/>
          <w:szCs w:val="22"/>
        </w:rPr>
        <w:t>,- Kč</w:t>
      </w:r>
      <w:r>
        <w:rPr>
          <w:rFonts w:asciiTheme="minorHAnsi" w:hAnsiTheme="minorHAnsi"/>
          <w:sz w:val="22"/>
          <w:szCs w:val="22"/>
        </w:rPr>
        <w:t xml:space="preserve"> (slovy: </w:t>
      </w:r>
      <w:r w:rsidR="00F50919">
        <w:rPr>
          <w:rFonts w:asciiTheme="minorHAnsi" w:hAnsiTheme="minorHAnsi"/>
          <w:sz w:val="22"/>
          <w:szCs w:val="22"/>
        </w:rPr>
        <w:t>jedno sto padesát devět tisíc dvě stě</w:t>
      </w:r>
      <w:r>
        <w:rPr>
          <w:rFonts w:asciiTheme="minorHAnsi" w:hAnsiTheme="minorHAnsi"/>
          <w:sz w:val="22"/>
          <w:szCs w:val="22"/>
        </w:rPr>
        <w:t xml:space="preserve"> korun českých);</w:t>
      </w:r>
    </w:p>
    <w:p w14:paraId="4289AC84" w14:textId="095C6612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F50919">
        <w:rPr>
          <w:rFonts w:asciiTheme="minorHAnsi" w:hAnsiTheme="minorHAnsi"/>
          <w:b/>
          <w:sz w:val="22"/>
          <w:szCs w:val="22"/>
        </w:rPr>
        <w:t>719.400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50919">
        <w:rPr>
          <w:rFonts w:asciiTheme="minorHAnsi" w:hAnsiTheme="minorHAnsi"/>
          <w:sz w:val="22"/>
          <w:szCs w:val="22"/>
        </w:rPr>
        <w:t>sedm set devatenáct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1EB3E83F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F50919">
        <w:rPr>
          <w:rFonts w:asciiTheme="minorHAnsi" w:hAnsiTheme="minorHAnsi"/>
          <w:b/>
          <w:sz w:val="22"/>
          <w:szCs w:val="22"/>
        </w:rPr>
        <w:t>1.482.500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50919">
        <w:rPr>
          <w:rFonts w:asciiTheme="minorHAnsi" w:hAnsiTheme="minorHAnsi"/>
          <w:sz w:val="22"/>
          <w:szCs w:val="22"/>
        </w:rPr>
        <w:t>jeden milion čtyři sta osmdesát dva tisíce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B1ED992" w14:textId="7851F8B0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F50919">
        <w:rPr>
          <w:rFonts w:asciiTheme="minorHAnsi" w:hAnsiTheme="minorHAnsi"/>
          <w:b/>
          <w:sz w:val="22"/>
          <w:szCs w:val="22"/>
        </w:rPr>
        <w:t>110.000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F50919">
        <w:rPr>
          <w:rFonts w:asciiTheme="minorHAnsi" w:hAnsiTheme="minorHAnsi"/>
          <w:sz w:val="22"/>
          <w:szCs w:val="22"/>
        </w:rPr>
        <w:t>jedno sto deset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3270F3C3" w:rsidR="006D6794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F50919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F50919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F50919">
        <w:rPr>
          <w:rFonts w:asciiTheme="minorHAnsi" w:hAnsiTheme="minorHAnsi"/>
          <w:sz w:val="22"/>
          <w:szCs w:val="22"/>
        </w:rPr>
        <w:t>23.01.2025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F50919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F50919">
        <w:rPr>
          <w:rFonts w:asciiTheme="minorHAnsi" w:hAnsiTheme="minorHAnsi"/>
          <w:sz w:val="22"/>
          <w:szCs w:val="22"/>
        </w:rPr>
        <w:t>10386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F50919">
        <w:rPr>
          <w:rFonts w:asciiTheme="minorHAnsi" w:hAnsiTheme="minorHAnsi"/>
          <w:sz w:val="22"/>
          <w:szCs w:val="22"/>
        </w:rPr>
        <w:t xml:space="preserve"> MmP 10731/2025, MmP 10719/2025, MmP 10359/2025, MmP 10374/2025 a MmP 10746/2025</w:t>
      </w:r>
      <w:r w:rsidR="00E95082">
        <w:rPr>
          <w:rFonts w:asciiTheme="minorHAnsi" w:hAnsiTheme="minorHAnsi"/>
          <w:sz w:val="22"/>
          <w:szCs w:val="22"/>
        </w:rPr>
        <w:t>,</w:t>
      </w:r>
      <w:r w:rsidRPr="00235531">
        <w:rPr>
          <w:rFonts w:asciiTheme="minorHAnsi" w:hAnsiTheme="minorHAnsi"/>
          <w:sz w:val="22"/>
          <w:szCs w:val="22"/>
        </w:rPr>
        <w:t xml:space="preserve"> v žádost</w:t>
      </w:r>
      <w:r w:rsidR="00F50919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F50919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F50919">
        <w:rPr>
          <w:rFonts w:asciiTheme="minorHAnsi" w:hAnsiTheme="minorHAnsi"/>
          <w:sz w:val="22"/>
          <w:szCs w:val="22"/>
        </w:rPr>
        <w:t>24.01.2025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F50919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F50919">
        <w:rPr>
          <w:rFonts w:asciiTheme="minorHAnsi" w:hAnsiTheme="minorHAnsi"/>
          <w:sz w:val="22"/>
          <w:szCs w:val="22"/>
        </w:rPr>
        <w:t>10989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="00F50919">
        <w:rPr>
          <w:rFonts w:asciiTheme="minorHAnsi" w:hAnsiTheme="minorHAnsi"/>
          <w:sz w:val="22"/>
          <w:szCs w:val="22"/>
        </w:rPr>
        <w:t>, MmP 10958/2025, 11471/2025 a MmP 11001/2025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F50919">
        <w:rPr>
          <w:rFonts w:asciiTheme="minorHAnsi" w:hAnsiTheme="minorHAnsi"/>
          <w:sz w:val="22"/>
          <w:szCs w:val="22"/>
        </w:rPr>
        <w:t>04.02.2025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F50919">
        <w:rPr>
          <w:rFonts w:asciiTheme="minorHAnsi" w:hAnsiTheme="minorHAnsi"/>
          <w:sz w:val="22"/>
          <w:szCs w:val="22"/>
        </w:rPr>
        <w:t>15887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="006D6794" w:rsidRPr="00F50919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2AAF63B1" w14:textId="572E8900" w:rsidR="00012406" w:rsidRPr="00471106" w:rsidRDefault="00012406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>v rámci projektu „provoz otevřeného hřiště pro veřejnost“ v souladu s Pravidly řádně spravovat, tj. pravidelnou údržbou zajistit řádnou provozuschopnost sportoviště a jeho způsobilost ke sportování, a to na hřištích uvedených</w:t>
      </w:r>
      <w:r w:rsidR="00954A30">
        <w:rPr>
          <w:rFonts w:asciiTheme="minorHAnsi" w:hAnsiTheme="minorHAnsi"/>
          <w:sz w:val="22"/>
          <w:szCs w:val="22"/>
        </w:rPr>
        <w:t xml:space="preserve"> v</w:t>
      </w:r>
      <w:r w:rsidRPr="00471106">
        <w:rPr>
          <w:rFonts w:asciiTheme="minorHAnsi" w:hAnsiTheme="minorHAnsi"/>
          <w:sz w:val="22"/>
          <w:szCs w:val="22"/>
        </w:rPr>
        <w:t xml:space="preserve"> příloze č. 1 této smlouvy,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lastRenderedPageBreak/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lastRenderedPageBreak/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6940F62B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7C30C003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75431E9C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 čl. VI. odst. 1 písm. e) této smlouvy; v tomto případě činí odvod za porušení rozpočtové kázně 35 % z dotace poskytnuté na projekt „</w:t>
      </w:r>
      <w:r w:rsidRPr="00471106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471106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2661C750" w14:textId="77777777" w:rsidR="00E45455" w:rsidRPr="00471106" w:rsidRDefault="00E45455" w:rsidP="00E45455">
      <w:pPr>
        <w:jc w:val="center"/>
        <w:rPr>
          <w:rFonts w:asciiTheme="minorHAnsi" w:hAnsiTheme="minorHAnsi"/>
          <w:b/>
        </w:rPr>
      </w:pPr>
      <w:r w:rsidRPr="00471106">
        <w:rPr>
          <w:rFonts w:asciiTheme="minorHAnsi" w:hAnsiTheme="minorHAnsi"/>
          <w:b/>
        </w:rPr>
        <w:t>XI. Závěrečná ustanovení</w:t>
      </w:r>
    </w:p>
    <w:p w14:paraId="102815EB" w14:textId="77777777" w:rsidR="00E45455" w:rsidRPr="00471106" w:rsidRDefault="00E45455" w:rsidP="00E45455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CDD8148" w14:textId="77777777" w:rsidR="00E45455" w:rsidRPr="00471106" w:rsidRDefault="00E45455" w:rsidP="00E45455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471106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08B587BE" w14:textId="77777777" w:rsidR="00E45455" w:rsidRPr="00471106" w:rsidRDefault="00E45455" w:rsidP="00E45455">
      <w:pPr>
        <w:ind w:left="426" w:hanging="426"/>
      </w:pPr>
    </w:p>
    <w:p w14:paraId="37253CB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A98321F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BC794B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2A13F4C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06020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488A1F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8B9FE8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2678386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D81C5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71106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7110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71106">
        <w:rPr>
          <w:rFonts w:asciiTheme="minorHAnsi" w:hAnsiTheme="minorHAnsi" w:cstheme="minorHAnsi"/>
          <w:sz w:val="22"/>
          <w:szCs w:val="22"/>
        </w:rPr>
        <w:t>GDPR).</w:t>
      </w:r>
    </w:p>
    <w:p w14:paraId="04D85775" w14:textId="77777777" w:rsidR="00E45455" w:rsidRPr="00471106" w:rsidRDefault="00E45455" w:rsidP="00E4545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9FE4C3" w14:textId="77777777" w:rsidR="00E45455" w:rsidRPr="00471106" w:rsidRDefault="00E45455" w:rsidP="00CC1C8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2 této smlouvy, o splnění některých, Zásadami stanovených, podmínek pro poskytnutí dotace. </w:t>
      </w:r>
    </w:p>
    <w:p w14:paraId="6318150F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ECC2FB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471106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6F00EB8D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596E4C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2EE906A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B0A1C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5F3B7E8C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72BB9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55CF2C" w14:textId="77777777" w:rsidR="00E45455" w:rsidRPr="00E45455" w:rsidRDefault="00536010" w:rsidP="00E45455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45455" w:rsidRPr="00E45455">
        <w:rPr>
          <w:rFonts w:asciiTheme="minorHAnsi" w:hAnsiTheme="minorHAnsi"/>
          <w:sz w:val="22"/>
          <w:szCs w:val="22"/>
        </w:rPr>
        <w:t>č. 1 – seznam sportovišť na otevřeném hřišti pro veřejnost</w:t>
      </w:r>
    </w:p>
    <w:p w14:paraId="39196BA8" w14:textId="31F9BC21" w:rsidR="00B418F9" w:rsidRPr="00EE45FD" w:rsidRDefault="00E45455" w:rsidP="00E45455">
      <w:pPr>
        <w:jc w:val="both"/>
        <w:rPr>
          <w:rFonts w:asciiTheme="minorHAnsi" w:hAnsiTheme="minorHAnsi"/>
          <w:sz w:val="22"/>
          <w:szCs w:val="22"/>
        </w:rPr>
      </w:pPr>
      <w:r w:rsidRPr="00E45455">
        <w:rPr>
          <w:rFonts w:asciiTheme="minorHAnsi" w:hAnsiTheme="minorHAnsi"/>
          <w:sz w:val="22"/>
          <w:szCs w:val="22"/>
        </w:rPr>
        <w:tab/>
      </w:r>
      <w:r w:rsidRPr="00E45455"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A7E6148" w14:textId="5BB79D51" w:rsidR="00F50919" w:rsidRDefault="00F50919" w:rsidP="00F50919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81248A">
        <w:rPr>
          <w:rFonts w:asciiTheme="minorHAnsi" w:hAnsiTheme="minorHAnsi"/>
          <w:sz w:val="22"/>
          <w:szCs w:val="22"/>
        </w:rPr>
        <w:t xml:space="preserve"> </w:t>
      </w:r>
      <w:r w:rsidR="0081248A">
        <w:rPr>
          <w:rFonts w:asciiTheme="minorHAnsi" w:hAnsiTheme="minorHAnsi"/>
          <w:sz w:val="22"/>
          <w:szCs w:val="22"/>
        </w:rPr>
        <w:t>01.08.2025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>
        <w:rPr>
          <w:rFonts w:asciiTheme="minorHAnsi" w:hAnsiTheme="minorHAnsi"/>
          <w:sz w:val="22"/>
          <w:szCs w:val="22"/>
        </w:rPr>
        <w:t xml:space="preserve"> </w:t>
      </w:r>
      <w:r w:rsidR="0081248A">
        <w:rPr>
          <w:rFonts w:asciiTheme="minorHAnsi" w:hAnsiTheme="minorHAnsi"/>
          <w:sz w:val="22"/>
          <w:szCs w:val="22"/>
        </w:rPr>
        <w:t>15.07.2025</w:t>
      </w:r>
    </w:p>
    <w:p w14:paraId="5D66F141" w14:textId="77777777" w:rsidR="00F50919" w:rsidRDefault="00F50919" w:rsidP="00F50919">
      <w:pPr>
        <w:rPr>
          <w:rFonts w:asciiTheme="minorHAnsi" w:hAnsiTheme="minorHAnsi"/>
          <w:sz w:val="22"/>
          <w:szCs w:val="22"/>
        </w:rPr>
      </w:pPr>
    </w:p>
    <w:p w14:paraId="51422C3E" w14:textId="77777777" w:rsidR="00F50919" w:rsidRDefault="00F50919" w:rsidP="00F50919">
      <w:pPr>
        <w:rPr>
          <w:rFonts w:asciiTheme="minorHAnsi" w:hAnsiTheme="minorHAnsi"/>
          <w:sz w:val="22"/>
          <w:szCs w:val="22"/>
        </w:rPr>
      </w:pPr>
    </w:p>
    <w:p w14:paraId="3AD3D495" w14:textId="77777777" w:rsidR="00F50919" w:rsidRDefault="00F50919" w:rsidP="00F50919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</w:t>
      </w:r>
    </w:p>
    <w:p w14:paraId="6B8F2707" w14:textId="77777777" w:rsidR="00F50919" w:rsidRDefault="00F50919" w:rsidP="00F50919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Ing. Lenka Pařízková </w:t>
      </w:r>
    </w:p>
    <w:p w14:paraId="3CE537EA" w14:textId="77777777" w:rsidR="00F50919" w:rsidRDefault="00F50919" w:rsidP="00F50919">
      <w:pPr>
        <w:rPr>
          <w:rFonts w:asciiTheme="minorHAnsi" w:hAnsiTheme="minorHAnsi"/>
          <w:sz w:val="22"/>
          <w:szCs w:val="22"/>
        </w:rPr>
      </w:pPr>
    </w:p>
    <w:p w14:paraId="3BC9A08C" w14:textId="77777777" w:rsidR="00F50919" w:rsidRPr="00515D12" w:rsidRDefault="00F50919" w:rsidP="00F50919">
      <w:pPr>
        <w:rPr>
          <w:rFonts w:asciiTheme="minorHAnsi" w:hAnsiTheme="minorHAnsi"/>
          <w:sz w:val="22"/>
          <w:szCs w:val="22"/>
        </w:rPr>
      </w:pPr>
    </w:p>
    <w:p w14:paraId="409EEE2A" w14:textId="77777777" w:rsidR="00F50919" w:rsidRPr="00515D12" w:rsidRDefault="00F50919" w:rsidP="00F50919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239926" w14:textId="77777777" w:rsidR="00F50919" w:rsidRDefault="00F50919" w:rsidP="00F50919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Pr="00CB76DE">
        <w:rPr>
          <w:rFonts w:asciiTheme="minorHAnsi" w:hAnsiTheme="minorHAnsi"/>
          <w:sz w:val="22"/>
          <w:szCs w:val="22"/>
        </w:rPr>
        <w:t>Ing. Pavla Avramová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6170C16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D654F9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860AD1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D654F9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F5091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993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C30B1EC" w14:textId="77777777" w:rsidR="0027721F" w:rsidRPr="001A7F5F" w:rsidRDefault="0027721F" w:rsidP="0027721F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032682B4" w14:textId="77777777" w:rsidR="0027721F" w:rsidRDefault="0027721F" w:rsidP="0027721F">
      <w:pPr>
        <w:rPr>
          <w:rFonts w:ascii="Calibri" w:eastAsia="Calibri" w:hAnsi="Calibri" w:cs="Calibri"/>
          <w:b/>
          <w:sz w:val="22"/>
          <w:highlight w:val="green"/>
        </w:rPr>
      </w:pPr>
    </w:p>
    <w:p w14:paraId="7770F04E" w14:textId="77777777" w:rsidR="0027721F" w:rsidRPr="001A7F5F" w:rsidRDefault="0027721F" w:rsidP="0027721F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Adresa hřiště:</w:t>
      </w:r>
    </w:p>
    <w:p w14:paraId="42BFD407" w14:textId="77777777" w:rsidR="0027721F" w:rsidRDefault="0027721F" w:rsidP="0027721F">
      <w:pPr>
        <w:rPr>
          <w:rFonts w:ascii="Calibri" w:eastAsia="Calibri" w:hAnsi="Calibri" w:cs="Calibri"/>
          <w:b/>
          <w:sz w:val="22"/>
          <w:highlight w:val="green"/>
        </w:rPr>
      </w:pPr>
      <w:r w:rsidRPr="000A5690">
        <w:rPr>
          <w:rFonts w:ascii="Calibri" w:eastAsia="Calibri" w:hAnsi="Calibri" w:cs="Calibri"/>
          <w:bCs/>
          <w:sz w:val="22"/>
        </w:rPr>
        <w:t>Jiráskova 29, Pardubice 53002</w:t>
      </w:r>
    </w:p>
    <w:p w14:paraId="5435EC7B" w14:textId="77777777" w:rsidR="0027721F" w:rsidRDefault="0027721F" w:rsidP="0027721F">
      <w:pPr>
        <w:rPr>
          <w:rFonts w:ascii="Calibri" w:eastAsia="Calibri" w:hAnsi="Calibri" w:cs="Calibri"/>
          <w:b/>
          <w:sz w:val="22"/>
          <w:highlight w:val="green"/>
        </w:rPr>
      </w:pPr>
    </w:p>
    <w:p w14:paraId="33BDFFA7" w14:textId="77777777" w:rsidR="0027721F" w:rsidRPr="001A7F5F" w:rsidRDefault="0027721F" w:rsidP="0027721F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Seznam sportovišť na otevřeném hřišti pro veřejnost:</w:t>
      </w:r>
    </w:p>
    <w:p w14:paraId="1B0582C3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Běžecký ovál s rovinkou</w:t>
      </w:r>
    </w:p>
    <w:p w14:paraId="3D762531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 xml:space="preserve">Skok daleký </w:t>
      </w:r>
    </w:p>
    <w:p w14:paraId="787DA509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Koulařský sektor</w:t>
      </w:r>
    </w:p>
    <w:p w14:paraId="07313B1E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Hřiště pro street basketbal</w:t>
      </w:r>
    </w:p>
    <w:p w14:paraId="06B5904B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Stůl na stolní tenis</w:t>
      </w:r>
    </w:p>
    <w:p w14:paraId="7E6D4F08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Odbíjecí stěna pro volejbal</w:t>
      </w:r>
    </w:p>
    <w:p w14:paraId="427DD22E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Petanque</w:t>
      </w:r>
    </w:p>
    <w:p w14:paraId="6FF4F451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Kondiční prvky (bradla, hrazda, ribstole)</w:t>
      </w:r>
    </w:p>
    <w:p w14:paraId="234DBDD1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Posilovací stroje</w:t>
      </w:r>
    </w:p>
    <w:p w14:paraId="7877AE19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Dětské hřiště</w:t>
      </w:r>
    </w:p>
    <w:p w14:paraId="225EF79C" w14:textId="77777777" w:rsidR="0027721F" w:rsidRPr="0073772A" w:rsidRDefault="0027721F" w:rsidP="0027721F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73772A">
        <w:rPr>
          <w:rFonts w:ascii="Calibri" w:eastAsia="Calibri" w:hAnsi="Calibri" w:cs="Calibri"/>
          <w:bCs/>
          <w:sz w:val="22"/>
        </w:rPr>
        <w:t>Víceúčelové hřiště (umělá tráva)</w:t>
      </w:r>
    </w:p>
    <w:p w14:paraId="304DDF55" w14:textId="77777777" w:rsidR="0027721F" w:rsidRPr="00EE45FD" w:rsidRDefault="0027721F" w:rsidP="0027721F">
      <w:pPr>
        <w:rPr>
          <w:rFonts w:asciiTheme="minorHAnsi" w:hAnsiTheme="minorHAnsi"/>
          <w:b/>
          <w:bCs/>
          <w:sz w:val="22"/>
          <w:szCs w:val="22"/>
        </w:rPr>
        <w:sectPr w:rsidR="0027721F" w:rsidRPr="00EE45FD" w:rsidSect="0027721F">
          <w:headerReference w:type="first" r:id="rId18"/>
          <w:footerReference w:type="first" r:id="rId19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4DE63446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C8F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13704264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AFAB74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725152A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34DD0F36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1F9D612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73A533DD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C39A8D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Dále příjemce zastoupený oprávněnou osobou čestně prohlašuje, že:</w:t>
      </w:r>
    </w:p>
    <w:p w14:paraId="220CD10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se nenachází v likvidaci, </w:t>
      </w:r>
    </w:p>
    <w:p w14:paraId="60BC40D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předpisů,</w:t>
      </w:r>
    </w:p>
    <w:p w14:paraId="3110CB54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není vůči němu vedeno exekuční řízení.  </w:t>
      </w:r>
    </w:p>
    <w:p w14:paraId="6C553113" w14:textId="77777777" w:rsidR="00CC1C8F" w:rsidRPr="00CC1C8F" w:rsidRDefault="00CC1C8F" w:rsidP="00CC1C8F">
      <w:pPr>
        <w:pStyle w:val="Odstavecseseznamem1"/>
        <w:spacing w:after="0"/>
        <w:ind w:left="0"/>
        <w:jc w:val="both"/>
      </w:pPr>
    </w:p>
    <w:p w14:paraId="1B48A4C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4CE56DE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18B554EA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7F87585D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0655F34E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2A63B335" w14:textId="77777777" w:rsidR="00CC1C8F" w:rsidRPr="00D10B5C" w:rsidRDefault="00CC1C8F" w:rsidP="00CC1C8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20"/>
      <w:footerReference w:type="first" r:id="rId21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16FA" w14:textId="77777777" w:rsidR="0027721F" w:rsidRDefault="0027721F">
    <w:pPr>
      <w:pStyle w:val="Zpat"/>
      <w:jc w:val="center"/>
    </w:pPr>
  </w:p>
  <w:p w14:paraId="5BFB4478" w14:textId="77777777" w:rsidR="0027721F" w:rsidRDefault="0027721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225F" w14:textId="77777777" w:rsidR="0070278F" w:rsidRDefault="0070278F">
    <w:pPr>
      <w:pStyle w:val="Zhlav"/>
    </w:pPr>
  </w:p>
  <w:p w14:paraId="7E2103DB" w14:textId="77777777" w:rsidR="0070278F" w:rsidRDefault="007027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9A8B" w14:textId="77777777" w:rsidR="0027721F" w:rsidRDefault="0027721F">
    <w:pPr>
      <w:pStyle w:val="Zhlav"/>
    </w:pPr>
  </w:p>
  <w:p w14:paraId="0B9E9819" w14:textId="77777777" w:rsidR="0027721F" w:rsidRDefault="0027721F">
    <w:pPr>
      <w:pStyle w:val="Zhlav"/>
    </w:pPr>
  </w:p>
  <w:p w14:paraId="5E3DA323" w14:textId="77777777" w:rsidR="0027721F" w:rsidRDefault="0027721F" w:rsidP="00AE6FDF">
    <w:pPr>
      <w:pStyle w:val="Zhlav"/>
      <w:rPr>
        <w:rFonts w:asciiTheme="minorHAnsi" w:hAnsiTheme="minorHAnsi" w:cstheme="minorHAnsi"/>
        <w:i/>
      </w:rPr>
    </w:pPr>
    <w:r w:rsidRPr="00BC5864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4AEAC6A9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CC1C8F">
      <w:rPr>
        <w:rFonts w:asciiTheme="minorHAnsi" w:hAnsiTheme="minorHAnsi"/>
        <w:b/>
        <w:sz w:val="22"/>
        <w:szCs w:val="22"/>
      </w:rPr>
      <w:t>2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9"/>
  </w:num>
  <w:num w:numId="2" w16cid:durableId="1551842377">
    <w:abstractNumId w:val="23"/>
  </w:num>
  <w:num w:numId="3" w16cid:durableId="428237234">
    <w:abstractNumId w:val="4"/>
  </w:num>
  <w:num w:numId="4" w16cid:durableId="442461602">
    <w:abstractNumId w:val="24"/>
  </w:num>
  <w:num w:numId="5" w16cid:durableId="577909268">
    <w:abstractNumId w:val="10"/>
  </w:num>
  <w:num w:numId="6" w16cid:durableId="777912683">
    <w:abstractNumId w:val="13"/>
  </w:num>
  <w:num w:numId="7" w16cid:durableId="1083794899">
    <w:abstractNumId w:val="22"/>
  </w:num>
  <w:num w:numId="8" w16cid:durableId="1194345321">
    <w:abstractNumId w:val="12"/>
  </w:num>
  <w:num w:numId="9" w16cid:durableId="526984777">
    <w:abstractNumId w:val="16"/>
  </w:num>
  <w:num w:numId="10" w16cid:durableId="1662200045">
    <w:abstractNumId w:val="0"/>
  </w:num>
  <w:num w:numId="11" w16cid:durableId="1050152069">
    <w:abstractNumId w:val="18"/>
  </w:num>
  <w:num w:numId="12" w16cid:durableId="989944569">
    <w:abstractNumId w:val="21"/>
  </w:num>
  <w:num w:numId="13" w16cid:durableId="1496457219">
    <w:abstractNumId w:val="25"/>
  </w:num>
  <w:num w:numId="14" w16cid:durableId="1835030415">
    <w:abstractNumId w:val="6"/>
  </w:num>
  <w:num w:numId="15" w16cid:durableId="1051613682">
    <w:abstractNumId w:val="7"/>
  </w:num>
  <w:num w:numId="16" w16cid:durableId="849175896">
    <w:abstractNumId w:val="14"/>
  </w:num>
  <w:num w:numId="17" w16cid:durableId="1421413630">
    <w:abstractNumId w:val="11"/>
  </w:num>
  <w:num w:numId="18" w16cid:durableId="484517853">
    <w:abstractNumId w:val="15"/>
  </w:num>
  <w:num w:numId="19" w16cid:durableId="461508836">
    <w:abstractNumId w:val="2"/>
  </w:num>
  <w:num w:numId="20" w16cid:durableId="1985815208">
    <w:abstractNumId w:val="5"/>
  </w:num>
  <w:num w:numId="21" w16cid:durableId="1043335361">
    <w:abstractNumId w:val="17"/>
  </w:num>
  <w:num w:numId="22" w16cid:durableId="1639914540">
    <w:abstractNumId w:val="1"/>
  </w:num>
  <w:num w:numId="23" w16cid:durableId="599459434">
    <w:abstractNumId w:val="8"/>
  </w:num>
  <w:num w:numId="24" w16cid:durableId="10958531">
    <w:abstractNumId w:val="9"/>
  </w:num>
  <w:num w:numId="25" w16cid:durableId="563834189">
    <w:abstractNumId w:val="20"/>
  </w:num>
  <w:num w:numId="26" w16cid:durableId="885218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2406"/>
    <w:rsid w:val="000153EA"/>
    <w:rsid w:val="00016D40"/>
    <w:rsid w:val="000329A1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17F"/>
    <w:rsid w:val="001B1447"/>
    <w:rsid w:val="001C42DC"/>
    <w:rsid w:val="001C4966"/>
    <w:rsid w:val="001D4FD4"/>
    <w:rsid w:val="001E5D57"/>
    <w:rsid w:val="002169E0"/>
    <w:rsid w:val="00235531"/>
    <w:rsid w:val="00254011"/>
    <w:rsid w:val="00263F80"/>
    <w:rsid w:val="002704BD"/>
    <w:rsid w:val="00271822"/>
    <w:rsid w:val="0027527A"/>
    <w:rsid w:val="0027721F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D6580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7AC8"/>
    <w:rsid w:val="00420D16"/>
    <w:rsid w:val="004243B0"/>
    <w:rsid w:val="00427888"/>
    <w:rsid w:val="00443056"/>
    <w:rsid w:val="00451637"/>
    <w:rsid w:val="00452081"/>
    <w:rsid w:val="00471106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0EC4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B5CE3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807FB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0278F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248A"/>
    <w:rsid w:val="008149BC"/>
    <w:rsid w:val="00822EFA"/>
    <w:rsid w:val="00844BB2"/>
    <w:rsid w:val="008455D8"/>
    <w:rsid w:val="00851314"/>
    <w:rsid w:val="00860AD1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54A30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6FDF"/>
    <w:rsid w:val="00B041A0"/>
    <w:rsid w:val="00B075D7"/>
    <w:rsid w:val="00B10BC8"/>
    <w:rsid w:val="00B159A7"/>
    <w:rsid w:val="00B24CD3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BB6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C1C8F"/>
    <w:rsid w:val="00CD34B4"/>
    <w:rsid w:val="00CD3B0A"/>
    <w:rsid w:val="00CD5864"/>
    <w:rsid w:val="00CD7C7F"/>
    <w:rsid w:val="00CE582C"/>
    <w:rsid w:val="00CF2BB9"/>
    <w:rsid w:val="00CF7F90"/>
    <w:rsid w:val="00D00357"/>
    <w:rsid w:val="00D218B9"/>
    <w:rsid w:val="00D31897"/>
    <w:rsid w:val="00D330DD"/>
    <w:rsid w:val="00D33593"/>
    <w:rsid w:val="00D37FCA"/>
    <w:rsid w:val="00D46FC5"/>
    <w:rsid w:val="00D5347D"/>
    <w:rsid w:val="00D57760"/>
    <w:rsid w:val="00D64D3F"/>
    <w:rsid w:val="00D654F9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5455"/>
    <w:rsid w:val="00E477A5"/>
    <w:rsid w:val="00E522E8"/>
    <w:rsid w:val="00E57D96"/>
    <w:rsid w:val="00E67506"/>
    <w:rsid w:val="00E70037"/>
    <w:rsid w:val="00E71A13"/>
    <w:rsid w:val="00E721AB"/>
    <w:rsid w:val="00E76B44"/>
    <w:rsid w:val="00E77A44"/>
    <w:rsid w:val="00E80632"/>
    <w:rsid w:val="00E85EBF"/>
    <w:rsid w:val="00E95082"/>
    <w:rsid w:val="00EA136B"/>
    <w:rsid w:val="00EA598B"/>
    <w:rsid w:val="00EB5D17"/>
    <w:rsid w:val="00EB5E74"/>
    <w:rsid w:val="00EC36C7"/>
    <w:rsid w:val="00EC510D"/>
    <w:rsid w:val="00ED2D4B"/>
    <w:rsid w:val="00EE1818"/>
    <w:rsid w:val="00EE45FD"/>
    <w:rsid w:val="00EF3158"/>
    <w:rsid w:val="00EF353F"/>
    <w:rsid w:val="00EF4294"/>
    <w:rsid w:val="00EF4BE6"/>
    <w:rsid w:val="00F032F8"/>
    <w:rsid w:val="00F03365"/>
    <w:rsid w:val="00F230FE"/>
    <w:rsid w:val="00F32745"/>
    <w:rsid w:val="00F50919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terms/"/>
    <ds:schemaRef ds:uri="f94004b3-5c85-4b6f-b2cb-b6e165aced0d"/>
    <ds:schemaRef ds:uri="df30a891-99dc-44a0-9782-3a4c8c525d86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2703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2025-05-14T16:42:00Z</cp:lastPrinted>
  <dcterms:created xsi:type="dcterms:W3CDTF">2025-04-16T06:04:00Z</dcterms:created>
  <dcterms:modified xsi:type="dcterms:W3CDTF">2025-08-01T10:46:00Z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