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2">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3">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4">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5">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6">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7">
      <w:pPr>
        <w:jc w:val="center"/>
        <w:rPr>
          <w:smallCaps w:val="1"/>
          <w:sz w:val="28"/>
          <w:szCs w:val="28"/>
          <w:vertAlign w:val="baseline"/>
        </w:rPr>
      </w:pPr>
      <w:r w:rsidDel="00000000" w:rsidR="00000000" w:rsidRPr="00000000">
        <w:rPr>
          <w:rtl w:val="0"/>
        </w:rPr>
      </w:r>
    </w:p>
    <w:p w:rsidR="00000000" w:rsidDel="00000000" w:rsidP="00000000" w:rsidRDefault="00000000" w:rsidRPr="00000000" w14:paraId="00000008">
      <w:pPr>
        <w:rPr>
          <w:smallCaps w:val="1"/>
          <w:sz w:val="28"/>
          <w:szCs w:val="28"/>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jc w:val="cente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jc w:val="center"/>
        <w:rPr>
          <w:b w:val="1"/>
          <w:sz w:val="40"/>
          <w:szCs w:val="40"/>
          <w:vertAlign w:val="baseline"/>
        </w:rPr>
      </w:pPr>
      <w:r w:rsidDel="00000000" w:rsidR="00000000" w:rsidRPr="00000000">
        <w:rPr>
          <w:b w:val="1"/>
          <w:sz w:val="40"/>
          <w:szCs w:val="40"/>
          <w:vertAlign w:val="baseline"/>
          <w:rtl w:val="0"/>
        </w:rPr>
        <w:t xml:space="preserve">Smlouva o poskytování ICT služeb</w:t>
      </w:r>
    </w:p>
    <w:p w:rsidR="00000000" w:rsidDel="00000000" w:rsidP="00000000" w:rsidRDefault="00000000" w:rsidRPr="00000000" w14:paraId="00000017">
      <w:pPr>
        <w:rPr>
          <w:b w:val="1"/>
          <w:sz w:val="40"/>
          <w:szCs w:val="40"/>
          <w:vertAlign w:val="baseline"/>
        </w:rPr>
      </w:pPr>
      <w:r w:rsidDel="00000000" w:rsidR="00000000" w:rsidRPr="00000000">
        <w:rPr>
          <w:rtl w:val="0"/>
        </w:rPr>
      </w:r>
    </w:p>
    <w:p w:rsidR="00000000" w:rsidDel="00000000" w:rsidP="00000000" w:rsidRDefault="00000000" w:rsidRPr="00000000" w14:paraId="00000018">
      <w:pPr>
        <w:jc w:val="center"/>
        <w:rPr>
          <w:vertAlign w:val="baseline"/>
        </w:rPr>
      </w:pPr>
      <w:r w:rsidDel="00000000" w:rsidR="00000000" w:rsidRPr="00000000">
        <w:rPr>
          <w:vertAlign w:val="baseline"/>
        </w:rPr>
        <w:drawing>
          <wp:inline distB="0" distT="0" distL="114300" distR="114300">
            <wp:extent cx="3190240" cy="5949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90240" cy="59499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jc w:val="center"/>
        <w:rPr>
          <w:vertAlign w:val="baseline"/>
        </w:rPr>
      </w:pPr>
      <w:r w:rsidDel="00000000" w:rsidR="00000000" w:rsidRPr="00000000">
        <w:rPr>
          <w:rtl w:val="0"/>
        </w:rPr>
      </w:r>
    </w:p>
    <w:p w:rsidR="00000000" w:rsidDel="00000000" w:rsidP="00000000" w:rsidRDefault="00000000" w:rsidRPr="00000000" w14:paraId="0000001A">
      <w:pPr>
        <w:jc w:val="center"/>
        <w:rPr>
          <w:vertAlign w:val="baseline"/>
        </w:rPr>
      </w:pPr>
      <w:r w:rsidDel="00000000" w:rsidR="00000000" w:rsidRPr="00000000">
        <w:rPr>
          <w:rtl w:val="0"/>
        </w:rPr>
      </w:r>
    </w:p>
    <w:p w:rsidR="00000000" w:rsidDel="00000000" w:rsidP="00000000" w:rsidRDefault="00000000" w:rsidRPr="00000000" w14:paraId="0000001B">
      <w:pPr>
        <w:jc w:val="center"/>
        <w:rPr>
          <w:vertAlign w:val="baseline"/>
        </w:rPr>
      </w:pPr>
      <w:r w:rsidDel="00000000" w:rsidR="00000000" w:rsidRPr="00000000">
        <w:rPr>
          <w:vertAlign w:val="baseline"/>
          <w:rtl w:val="0"/>
        </w:rPr>
        <w:t xml:space="preserve">pro společnost</w:t>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jc w:val="center"/>
        <w:rPr>
          <w:vertAlign w:val="baseline"/>
        </w:rPr>
      </w:pPr>
      <w:r w:rsidDel="00000000" w:rsidR="00000000" w:rsidRPr="00000000">
        <w:rPr>
          <w:vertAlign w:val="baseline"/>
          <w:rtl w:val="0"/>
        </w:rPr>
        <w:t xml:space="preserve">Základní škola, Ostrava-Poruba, J. Valčíka 4411, příspěvková organizace</w:t>
      </w:r>
    </w:p>
    <w:p w:rsidR="00000000" w:rsidDel="00000000" w:rsidP="00000000" w:rsidRDefault="00000000" w:rsidRPr="00000000" w14:paraId="0000001E">
      <w:pPr>
        <w:jc w:val="center"/>
        <w:rPr>
          <w:vertAlign w:val="baseline"/>
        </w:rPr>
      </w:pPr>
      <w:r w:rsidDel="00000000" w:rsidR="00000000" w:rsidRPr="00000000">
        <w:rPr>
          <w:rtl w:val="0"/>
        </w:rPr>
      </w:r>
    </w:p>
    <w:p w:rsidR="00000000" w:rsidDel="00000000" w:rsidP="00000000" w:rsidRDefault="00000000" w:rsidRPr="00000000" w14:paraId="0000001F">
      <w:pPr>
        <w:jc w:val="center"/>
        <w:rPr>
          <w:vertAlign w:val="baseline"/>
        </w:rPr>
      </w:pPr>
      <w:r w:rsidDel="00000000" w:rsidR="00000000" w:rsidRPr="00000000">
        <w:rPr>
          <w:vertAlign w:val="baseline"/>
          <w:rtl w:val="0"/>
        </w:rPr>
        <w:t xml:space="preserve">Číslo smlouvy: 2025/SOPITS/55/01</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pageBreakBefore w:val="1"/>
        <w:pBdr>
          <w:top w:color="000000" w:space="0" w:sz="0" w:val="none"/>
          <w:left w:color="000000" w:space="0" w:sz="0" w:val="none"/>
          <w:bottom w:color="000000" w:space="1" w:sz="4" w:val="single"/>
          <w:right w:color="000000" w:space="0" w:sz="0" w:val="none"/>
        </w:pBdr>
        <w:rPr>
          <w:b w:val="1"/>
          <w:sz w:val="28"/>
          <w:szCs w:val="28"/>
          <w:vertAlign w:val="baseline"/>
        </w:rPr>
      </w:pPr>
      <w:r w:rsidDel="00000000" w:rsidR="00000000" w:rsidRPr="00000000">
        <w:rPr>
          <w:b w:val="1"/>
          <w:sz w:val="28"/>
          <w:szCs w:val="28"/>
          <w:vertAlign w:val="baseline"/>
          <w:rtl w:val="0"/>
        </w:rPr>
        <w:t xml:space="preserve">Smlouva o poskytování ICT služeb</w:t>
      </w:r>
    </w:p>
    <w:p w:rsidR="00000000" w:rsidDel="00000000" w:rsidP="00000000" w:rsidRDefault="00000000" w:rsidRPr="00000000" w14:paraId="0000002E">
      <w:pPr>
        <w:rPr>
          <w:b w:val="1"/>
          <w:sz w:val="28"/>
          <w:szCs w:val="28"/>
          <w:vertAlign w:val="baseline"/>
        </w:rPr>
      </w:pPr>
      <w:r w:rsidDel="00000000" w:rsidR="00000000" w:rsidRPr="00000000">
        <w:rPr>
          <w:rtl w:val="0"/>
        </w:rPr>
      </w:r>
    </w:p>
    <w:p w:rsidR="00000000" w:rsidDel="00000000" w:rsidP="00000000" w:rsidRDefault="00000000" w:rsidRPr="00000000" w14:paraId="0000002F">
      <w:pPr>
        <w:shd w:fill="e6e6e6" w:val="clear"/>
        <w:jc w:val="center"/>
        <w:rPr>
          <w:b w:val="1"/>
          <w:sz w:val="22"/>
          <w:szCs w:val="22"/>
          <w:vertAlign w:val="baseline"/>
        </w:rPr>
      </w:pPr>
      <w:r w:rsidDel="00000000" w:rsidR="00000000" w:rsidRPr="00000000">
        <w:rPr>
          <w:b w:val="1"/>
          <w:sz w:val="22"/>
          <w:szCs w:val="22"/>
          <w:vertAlign w:val="baseline"/>
          <w:rtl w:val="0"/>
        </w:rPr>
        <w:t xml:space="preserve">Smluvní strany</w:t>
      </w:r>
    </w:p>
    <w:p w:rsidR="00000000" w:rsidDel="00000000" w:rsidP="00000000" w:rsidRDefault="00000000" w:rsidRPr="00000000" w14:paraId="00000030">
      <w:pPr>
        <w:rPr>
          <w:b w:val="1"/>
          <w:sz w:val="22"/>
          <w:szCs w:val="22"/>
          <w:vertAlign w:val="baseline"/>
        </w:rPr>
      </w:pPr>
      <w:r w:rsidDel="00000000" w:rsidR="00000000" w:rsidRPr="00000000">
        <w:rPr>
          <w:rtl w:val="0"/>
        </w:rPr>
      </w:r>
    </w:p>
    <w:tbl>
      <w:tblPr>
        <w:tblStyle w:val="Table1"/>
        <w:tblW w:w="9070.0" w:type="dxa"/>
        <w:jc w:val="left"/>
        <w:tblInd w:w="-108.0" w:type="dxa"/>
        <w:tblLayout w:type="fixed"/>
        <w:tblLook w:val="0000"/>
      </w:tblPr>
      <w:tblGrid>
        <w:gridCol w:w="1964"/>
        <w:gridCol w:w="586"/>
        <w:gridCol w:w="1995"/>
        <w:gridCol w:w="217"/>
        <w:gridCol w:w="1345"/>
        <w:gridCol w:w="961"/>
        <w:gridCol w:w="2002"/>
        <w:tblGridChange w:id="0">
          <w:tblGrid>
            <w:gridCol w:w="1964"/>
            <w:gridCol w:w="586"/>
            <w:gridCol w:w="1995"/>
            <w:gridCol w:w="217"/>
            <w:gridCol w:w="1345"/>
            <w:gridCol w:w="961"/>
            <w:gridCol w:w="2002"/>
          </w:tblGrid>
        </w:tblGridChange>
      </w:tblGrid>
      <w:tr>
        <w:trPr>
          <w:cantSplit w:val="0"/>
          <w:tblHeader w:val="0"/>
        </w:trPr>
        <w:tc>
          <w:tcPr>
            <w:gridSpan w:val="3"/>
            <w:tcBorders>
              <w:bottom w:color="000000" w:space="0" w:sz="4" w:val="single"/>
            </w:tcBorders>
            <w:shd w:fill="auto" w:val="clear"/>
            <w:vAlign w:val="top"/>
          </w:tcPr>
          <w:p w:rsidR="00000000" w:rsidDel="00000000" w:rsidP="00000000" w:rsidRDefault="00000000" w:rsidRPr="00000000" w14:paraId="00000031">
            <w:pPr>
              <w:rPr>
                <w:vertAlign w:val="baseline"/>
              </w:rPr>
            </w:pPr>
            <w:r w:rsidDel="00000000" w:rsidR="00000000" w:rsidRPr="00000000">
              <w:rPr>
                <w:b w:val="1"/>
                <w:sz w:val="20"/>
                <w:szCs w:val="20"/>
                <w:vertAlign w:val="baseline"/>
                <w:rtl w:val="0"/>
              </w:rPr>
              <w:t xml:space="preserve">Odběratel:</w:t>
            </w:r>
            <w:r w:rsidDel="00000000" w:rsidR="00000000" w:rsidRPr="00000000">
              <w:rPr>
                <w:rtl w:val="0"/>
              </w:rPr>
            </w:r>
          </w:p>
        </w:tc>
        <w:tc>
          <w:tcPr>
            <w:shd w:fill="auto" w:val="clear"/>
            <w:vAlign w:val="top"/>
          </w:tcPr>
          <w:p w:rsidR="00000000" w:rsidDel="00000000" w:rsidP="00000000" w:rsidRDefault="00000000" w:rsidRPr="00000000" w14:paraId="00000034">
            <w:pPr>
              <w:rPr>
                <w:b w:val="1"/>
                <w:sz w:val="20"/>
                <w:szCs w:val="20"/>
                <w:vertAlign w:val="baseline"/>
              </w:rPr>
            </w:pPr>
            <w:r w:rsidDel="00000000" w:rsidR="00000000" w:rsidRPr="00000000">
              <w:rPr>
                <w:rtl w:val="0"/>
              </w:rPr>
            </w:r>
          </w:p>
        </w:tc>
        <w:tc>
          <w:tcPr>
            <w:gridSpan w:val="3"/>
            <w:tcBorders>
              <w:bottom w:color="000000" w:space="0" w:sz="4" w:val="single"/>
            </w:tcBorders>
            <w:shd w:fill="auto" w:val="clear"/>
            <w:vAlign w:val="top"/>
          </w:tcPr>
          <w:p w:rsidR="00000000" w:rsidDel="00000000" w:rsidP="00000000" w:rsidRDefault="00000000" w:rsidRPr="00000000" w14:paraId="00000035">
            <w:pPr>
              <w:rPr>
                <w:vertAlign w:val="baseline"/>
              </w:rPr>
            </w:pPr>
            <w:r w:rsidDel="00000000" w:rsidR="00000000" w:rsidRPr="00000000">
              <w:rPr>
                <w:b w:val="1"/>
                <w:sz w:val="20"/>
                <w:szCs w:val="20"/>
                <w:vertAlign w:val="baseline"/>
                <w:rtl w:val="0"/>
              </w:rPr>
              <w:t xml:space="preserve">Dodavatel:</w:t>
            </w:r>
            <w:r w:rsidDel="00000000" w:rsidR="00000000" w:rsidRPr="00000000">
              <w:rPr>
                <w:rtl w:val="0"/>
              </w:rPr>
            </w:r>
          </w:p>
        </w:tc>
      </w:tr>
      <w:tr>
        <w:trPr>
          <w:cantSplit w:val="0"/>
          <w:tblHeader w:val="0"/>
        </w:trPr>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38">
            <w:pPr>
              <w:rPr>
                <w:vertAlign w:val="baseline"/>
              </w:rPr>
            </w:pPr>
            <w:r w:rsidDel="00000000" w:rsidR="00000000" w:rsidRPr="00000000">
              <w:rPr>
                <w:sz w:val="20"/>
                <w:szCs w:val="20"/>
                <w:vertAlign w:val="baseline"/>
                <w:rtl w:val="0"/>
              </w:rPr>
              <w:t xml:space="preserve">Obchodní jméno (dále jen „odběratel“)</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3B">
            <w:pPr>
              <w:rPr>
                <w:sz w:val="16"/>
                <w:szCs w:val="16"/>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3C">
            <w:pPr>
              <w:rPr>
                <w:vertAlign w:val="baseline"/>
              </w:rPr>
            </w:pPr>
            <w:r w:rsidDel="00000000" w:rsidR="00000000" w:rsidRPr="00000000">
              <w:rPr>
                <w:sz w:val="20"/>
                <w:szCs w:val="20"/>
                <w:vertAlign w:val="baseline"/>
                <w:rtl w:val="0"/>
              </w:rPr>
              <w:t xml:space="preserve">Obchodní jméno (dále jen „dodavatel“)</w:t>
            </w: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F">
            <w:pPr>
              <w:rPr>
                <w:vertAlign w:val="baseline"/>
              </w:rPr>
            </w:pPr>
            <w:r w:rsidDel="00000000" w:rsidR="00000000" w:rsidRPr="00000000">
              <w:rPr>
                <w:sz w:val="20"/>
                <w:szCs w:val="20"/>
                <w:vertAlign w:val="baseline"/>
                <w:rtl w:val="0"/>
              </w:rPr>
              <w:t xml:space="preserve">Základní škola, Ostrava-Poruba, J. Valčíka 4411, příspěvková organizace</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42">
            <w:pPr>
              <w:rPr>
                <w:sz w:val="16"/>
                <w:szCs w:val="16"/>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3">
            <w:pPr>
              <w:rPr>
                <w:vertAlign w:val="baseline"/>
              </w:rPr>
            </w:pPr>
            <w:r w:rsidDel="00000000" w:rsidR="00000000" w:rsidRPr="00000000">
              <w:rPr>
                <w:sz w:val="20"/>
                <w:szCs w:val="20"/>
                <w:vertAlign w:val="baseline"/>
                <w:rtl w:val="0"/>
              </w:rPr>
              <w:t xml:space="preserve">SYSTEMCONTROL s.r.o.</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46">
            <w:pPr>
              <w:rPr>
                <w:vertAlign w:val="baseline"/>
              </w:rPr>
            </w:pPr>
            <w:r w:rsidDel="00000000" w:rsidR="00000000" w:rsidRPr="00000000">
              <w:rPr>
                <w:sz w:val="20"/>
                <w:szCs w:val="20"/>
                <w:vertAlign w:val="baseline"/>
                <w:rtl w:val="0"/>
              </w:rPr>
              <w:t xml:space="preserve">IČ</w:t>
            </w:r>
            <w:r w:rsidDel="00000000" w:rsidR="00000000" w:rsidRPr="00000000">
              <w:rPr>
                <w:rtl w:val="0"/>
              </w:rPr>
            </w:r>
          </w:p>
        </w:tc>
        <w:tc>
          <w:tcPr>
            <w:gridSpan w:val="2"/>
            <w:tcBorders>
              <w:top w:color="000000" w:space="0" w:sz="4" w:val="single"/>
              <w:right w:color="000000" w:space="0" w:sz="4" w:val="single"/>
            </w:tcBorders>
            <w:shd w:fill="e6e6e6" w:val="clear"/>
            <w:vAlign w:val="top"/>
          </w:tcPr>
          <w:p w:rsidR="00000000" w:rsidDel="00000000" w:rsidP="00000000" w:rsidRDefault="00000000" w:rsidRPr="00000000" w14:paraId="00000047">
            <w:pPr>
              <w:rPr>
                <w:vertAlign w:val="baseline"/>
              </w:rPr>
            </w:pPr>
            <w:r w:rsidDel="00000000" w:rsidR="00000000" w:rsidRPr="00000000">
              <w:rPr>
                <w:sz w:val="20"/>
                <w:szCs w:val="20"/>
                <w:vertAlign w:val="baseline"/>
                <w:rtl w:val="0"/>
              </w:rPr>
              <w:t xml:space="preserve">DIČ</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49">
            <w:pPr>
              <w:rPr>
                <w:sz w:val="16"/>
                <w:szCs w:val="16"/>
                <w:vertAlign w:val="baseline"/>
              </w:rPr>
            </w:pPr>
            <w:r w:rsidDel="00000000" w:rsidR="00000000" w:rsidRPr="00000000">
              <w:rPr>
                <w:rtl w:val="0"/>
              </w:rPr>
            </w:r>
          </w:p>
        </w:tc>
        <w:tc>
          <w:tcPr>
            <w:tcBorders>
              <w:top w:color="000000" w:space="0" w:sz="4" w:val="single"/>
              <w:left w:color="000000" w:space="0" w:sz="4" w:val="single"/>
            </w:tcBorders>
            <w:shd w:fill="e6e6e6" w:val="clear"/>
            <w:vAlign w:val="top"/>
          </w:tcPr>
          <w:p w:rsidR="00000000" w:rsidDel="00000000" w:rsidP="00000000" w:rsidRDefault="00000000" w:rsidRPr="00000000" w14:paraId="0000004A">
            <w:pPr>
              <w:rPr>
                <w:vertAlign w:val="baseline"/>
              </w:rPr>
            </w:pPr>
            <w:r w:rsidDel="00000000" w:rsidR="00000000" w:rsidRPr="00000000">
              <w:rPr>
                <w:sz w:val="20"/>
                <w:szCs w:val="20"/>
                <w:vertAlign w:val="baseline"/>
                <w:rtl w:val="0"/>
              </w:rPr>
              <w:t xml:space="preserve">IČ</w:t>
            </w:r>
            <w:r w:rsidDel="00000000" w:rsidR="00000000" w:rsidRPr="00000000">
              <w:rPr>
                <w:rtl w:val="0"/>
              </w:rPr>
            </w:r>
          </w:p>
        </w:tc>
        <w:tc>
          <w:tcPr>
            <w:gridSpan w:val="2"/>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4B">
            <w:pPr>
              <w:rPr>
                <w:vertAlign w:val="baseline"/>
              </w:rPr>
            </w:pPr>
            <w:r w:rsidDel="00000000" w:rsidR="00000000" w:rsidRPr="00000000">
              <w:rPr>
                <w:sz w:val="20"/>
                <w:szCs w:val="20"/>
                <w:vertAlign w:val="baseline"/>
                <w:rtl w:val="0"/>
              </w:rPr>
              <w:t xml:space="preserve">DIČ</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rPr>
                <w:vertAlign w:val="baseline"/>
              </w:rPr>
            </w:pPr>
            <w:r w:rsidDel="00000000" w:rsidR="00000000" w:rsidRPr="00000000">
              <w:rPr>
                <w:sz w:val="20"/>
                <w:szCs w:val="20"/>
                <w:vertAlign w:val="baseline"/>
                <w:rtl w:val="0"/>
              </w:rPr>
              <w:t xml:space="preserve">64627918</w:t>
            </w:r>
            <w:r w:rsidDel="00000000" w:rsidR="00000000" w:rsidRPr="00000000">
              <w:rPr>
                <w:rtl w:val="0"/>
              </w:rPr>
            </w:r>
          </w:p>
        </w:tc>
        <w:tc>
          <w:tcPr>
            <w:gridSpan w:val="2"/>
            <w:tcBorders>
              <w:bottom w:color="000000" w:space="0" w:sz="4" w:val="single"/>
              <w:right w:color="000000" w:space="0" w:sz="4" w:val="single"/>
            </w:tcBorders>
            <w:shd w:fill="auto" w:val="clear"/>
            <w:vAlign w:val="top"/>
          </w:tcPr>
          <w:p w:rsidR="00000000" w:rsidDel="00000000" w:rsidP="00000000" w:rsidRDefault="00000000" w:rsidRPr="00000000" w14:paraId="0000004E">
            <w:pPr>
              <w:rPr>
                <w:sz w:val="20"/>
                <w:szCs w:val="20"/>
                <w:vertAlign w:val="baseline"/>
              </w:rPr>
            </w:pPr>
            <w:r w:rsidDel="00000000" w:rsidR="00000000" w:rsidRPr="00000000">
              <w:rPr>
                <w:sz w:val="20"/>
                <w:szCs w:val="20"/>
                <w:vertAlign w:val="baseline"/>
                <w:rtl w:val="0"/>
              </w:rPr>
              <w:t xml:space="preserve">CZ 64627918</w:t>
            </w:r>
          </w:p>
          <w:p w:rsidR="00000000" w:rsidDel="00000000" w:rsidP="00000000" w:rsidRDefault="00000000" w:rsidRPr="00000000" w14:paraId="0000004F">
            <w:pPr>
              <w:rPr>
                <w:vertAlign w:val="baseline"/>
              </w:rPr>
            </w:pPr>
            <w:r w:rsidDel="00000000" w:rsidR="00000000" w:rsidRPr="00000000">
              <w:rPr>
                <w:sz w:val="20"/>
                <w:szCs w:val="20"/>
                <w:vertAlign w:val="baseline"/>
                <w:rtl w:val="0"/>
              </w:rPr>
              <w:t xml:space="preserve">neplátce DPH</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51">
            <w:pPr>
              <w:rPr>
                <w:sz w:val="16"/>
                <w:szCs w:val="16"/>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52">
            <w:pPr>
              <w:rPr>
                <w:vertAlign w:val="baseline"/>
              </w:rPr>
            </w:pPr>
            <w:r w:rsidDel="00000000" w:rsidR="00000000" w:rsidRPr="00000000">
              <w:rPr>
                <w:sz w:val="20"/>
                <w:szCs w:val="20"/>
                <w:vertAlign w:val="baseline"/>
                <w:rtl w:val="0"/>
              </w:rPr>
              <w:t xml:space="preserve">28579216</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3">
            <w:pPr>
              <w:rPr>
                <w:sz w:val="20"/>
                <w:szCs w:val="20"/>
                <w:vertAlign w:val="baseline"/>
              </w:rPr>
            </w:pPr>
            <w:r w:rsidDel="00000000" w:rsidR="00000000" w:rsidRPr="00000000">
              <w:rPr>
                <w:sz w:val="20"/>
                <w:szCs w:val="20"/>
                <w:vertAlign w:val="baseline"/>
                <w:rtl w:val="0"/>
              </w:rPr>
              <w:t xml:space="preserve">CZ28579216,</w:t>
            </w:r>
          </w:p>
          <w:p w:rsidR="00000000" w:rsidDel="00000000" w:rsidP="00000000" w:rsidRDefault="00000000" w:rsidRPr="00000000" w14:paraId="00000054">
            <w:pPr>
              <w:rPr>
                <w:vertAlign w:val="baseline"/>
              </w:rPr>
            </w:pPr>
            <w:r w:rsidDel="00000000" w:rsidR="00000000" w:rsidRPr="00000000">
              <w:rPr>
                <w:sz w:val="20"/>
                <w:szCs w:val="20"/>
                <w:vertAlign w:val="baseline"/>
                <w:rtl w:val="0"/>
              </w:rPr>
              <w:t xml:space="preserve">plátce DPH</w:t>
            </w:r>
            <w:r w:rsidDel="00000000" w:rsidR="00000000" w:rsidRPr="00000000">
              <w:rPr>
                <w:rtl w:val="0"/>
              </w:rPr>
            </w:r>
          </w:p>
        </w:tc>
      </w:tr>
      <w:tr>
        <w:trPr>
          <w:cantSplit w:val="0"/>
          <w:tblHeader w:val="0"/>
        </w:trPr>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56">
            <w:pPr>
              <w:rPr>
                <w:vertAlign w:val="baseline"/>
              </w:rPr>
            </w:pPr>
            <w:r w:rsidDel="00000000" w:rsidR="00000000" w:rsidRPr="00000000">
              <w:rPr>
                <w:sz w:val="20"/>
                <w:szCs w:val="20"/>
                <w:vertAlign w:val="baseline"/>
                <w:rtl w:val="0"/>
              </w:rPr>
              <w:t xml:space="preserve">Společnost je zapsána v obchodním rejstříku (OR) u</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59">
            <w:pPr>
              <w:rPr>
                <w:sz w:val="16"/>
                <w:szCs w:val="16"/>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5A">
            <w:pPr>
              <w:rPr>
                <w:vertAlign w:val="baseline"/>
              </w:rPr>
            </w:pPr>
            <w:r w:rsidDel="00000000" w:rsidR="00000000" w:rsidRPr="00000000">
              <w:rPr>
                <w:sz w:val="20"/>
                <w:szCs w:val="20"/>
                <w:vertAlign w:val="baseline"/>
                <w:rtl w:val="0"/>
              </w:rPr>
              <w:t xml:space="preserve">Společnost je zapsána v OR u</w:t>
            </w: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D">
            <w:pPr>
              <w:rPr>
                <w:sz w:val="20"/>
                <w:szCs w:val="20"/>
                <w:vertAlign w:val="baseline"/>
              </w:rPr>
            </w:pP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60">
            <w:pPr>
              <w:rPr>
                <w:sz w:val="16"/>
                <w:szCs w:val="16"/>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1">
            <w:pPr>
              <w:rPr>
                <w:vertAlign w:val="baseline"/>
              </w:rPr>
            </w:pPr>
            <w:r w:rsidDel="00000000" w:rsidR="00000000" w:rsidRPr="00000000">
              <w:rPr>
                <w:sz w:val="20"/>
                <w:szCs w:val="20"/>
                <w:vertAlign w:val="baseline"/>
                <w:rtl w:val="0"/>
              </w:rPr>
              <w:t xml:space="preserve">Krajského soudu v Ostravě, oddíl C, vložka 32901</w:t>
            </w:r>
            <w:r w:rsidDel="00000000" w:rsidR="00000000" w:rsidRPr="00000000">
              <w:rPr>
                <w:rtl w:val="0"/>
              </w:rPr>
            </w:r>
          </w:p>
        </w:tc>
      </w:tr>
      <w:tr>
        <w:trPr>
          <w:cantSplit w:val="0"/>
          <w:tblHeader w:val="0"/>
        </w:trPr>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64">
            <w:pPr>
              <w:rPr>
                <w:vertAlign w:val="baseline"/>
              </w:rPr>
            </w:pPr>
            <w:r w:rsidDel="00000000" w:rsidR="00000000" w:rsidRPr="00000000">
              <w:rPr>
                <w:sz w:val="20"/>
                <w:szCs w:val="20"/>
                <w:vertAlign w:val="baseline"/>
                <w:rtl w:val="0"/>
              </w:rPr>
              <w:t xml:space="preserve">Sídlem</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67">
            <w:pPr>
              <w:rPr>
                <w:sz w:val="16"/>
                <w:szCs w:val="16"/>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68">
            <w:pPr>
              <w:rPr>
                <w:vertAlign w:val="baseline"/>
              </w:rPr>
            </w:pPr>
            <w:r w:rsidDel="00000000" w:rsidR="00000000" w:rsidRPr="00000000">
              <w:rPr>
                <w:sz w:val="20"/>
                <w:szCs w:val="20"/>
                <w:vertAlign w:val="baseline"/>
                <w:rtl w:val="0"/>
              </w:rPr>
              <w:t xml:space="preserve">Sídlem</w:t>
            </w:r>
            <w:r w:rsidDel="00000000" w:rsidR="00000000" w:rsidRPr="00000000">
              <w:rPr>
                <w:rtl w:val="0"/>
              </w:rPr>
            </w:r>
          </w:p>
        </w:tc>
      </w:tr>
      <w:tr>
        <w:trPr>
          <w:cantSplit w:val="0"/>
          <w:trHeight w:val="233" w:hRule="atLeast"/>
          <w:tblHeader w:val="0"/>
        </w:trPr>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6B">
            <w:pPr>
              <w:rPr>
                <w:vertAlign w:val="baseline"/>
              </w:rPr>
            </w:pPr>
            <w:r w:rsidDel="00000000" w:rsidR="00000000" w:rsidRPr="00000000">
              <w:rPr>
                <w:sz w:val="20"/>
                <w:szCs w:val="20"/>
                <w:vertAlign w:val="baseline"/>
                <w:rtl w:val="0"/>
              </w:rPr>
              <w:t xml:space="preserve">Josefa Valčíka 4411/2, 708 00 Ostrava-Poruba, CZ</w:t>
            </w:r>
            <w:r w:rsidDel="00000000" w:rsidR="00000000" w:rsidRPr="00000000">
              <w:rPr>
                <w:rtl w:val="0"/>
              </w:rPr>
            </w:r>
          </w:p>
        </w:tc>
        <w:tc>
          <w:tcPr>
            <w:vMerge w:val="restart"/>
            <w:tcBorders>
              <w:left w:color="000000" w:space="0" w:sz="4" w:val="single"/>
              <w:right w:color="000000" w:space="0" w:sz="4" w:val="single"/>
            </w:tcBorders>
            <w:shd w:fill="auto" w:val="clear"/>
            <w:vAlign w:val="top"/>
          </w:tcPr>
          <w:p w:rsidR="00000000" w:rsidDel="00000000" w:rsidP="00000000" w:rsidRDefault="00000000" w:rsidRPr="00000000" w14:paraId="0000006E">
            <w:pPr>
              <w:rPr>
                <w:sz w:val="16"/>
                <w:szCs w:val="16"/>
                <w:vertAlign w:val="baseline"/>
              </w:rPr>
            </w:pPr>
            <w:r w:rsidDel="00000000" w:rsidR="00000000" w:rsidRPr="00000000">
              <w:rPr>
                <w:rtl w:val="0"/>
              </w:rPr>
            </w:r>
          </w:p>
        </w:tc>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6F">
            <w:pPr>
              <w:rPr>
                <w:vertAlign w:val="baseline"/>
              </w:rPr>
            </w:pPr>
            <w:r w:rsidDel="00000000" w:rsidR="00000000" w:rsidRPr="00000000">
              <w:rPr>
                <w:sz w:val="20"/>
                <w:szCs w:val="20"/>
                <w:vertAlign w:val="baseline"/>
                <w:rtl w:val="0"/>
              </w:rPr>
              <w:t xml:space="preserve">nábřeží Svazu protifašistických bojovníků 216/56,</w:t>
            </w:r>
            <w:r w:rsidDel="00000000" w:rsidR="00000000" w:rsidRPr="00000000">
              <w:rPr>
                <w:rtl w:val="0"/>
              </w:rPr>
            </w:r>
          </w:p>
        </w:tc>
      </w:tr>
      <w:tr>
        <w:trPr>
          <w:cantSplit w:val="0"/>
          <w:trHeight w:val="232" w:hRule="atLeast"/>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2">
            <w:pPr>
              <w:rPr>
                <w:sz w:val="20"/>
                <w:szCs w:val="20"/>
                <w:vertAlign w:val="baseline"/>
              </w:rPr>
            </w:pPr>
            <w:r w:rsidDel="00000000" w:rsidR="00000000" w:rsidRPr="00000000">
              <w:rPr>
                <w:rtl w:val="0"/>
              </w:rPr>
            </w:r>
          </w:p>
        </w:tc>
        <w:tc>
          <w:tcPr>
            <w:vMerge w:val="continue"/>
            <w:tcBorders>
              <w:left w:color="000000" w:space="0" w:sz="4" w:val="single"/>
              <w:right w:color="000000" w:space="0" w:sz="4" w:val="single"/>
            </w:tcBorders>
            <w:shd w:fill="auto" w:val="cle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6">
            <w:pPr>
              <w:rPr>
                <w:vertAlign w:val="baseline"/>
              </w:rPr>
            </w:pPr>
            <w:r w:rsidDel="00000000" w:rsidR="00000000" w:rsidRPr="00000000">
              <w:rPr>
                <w:sz w:val="20"/>
                <w:szCs w:val="20"/>
                <w:vertAlign w:val="baseline"/>
                <w:rtl w:val="0"/>
              </w:rPr>
              <w:t xml:space="preserve">708 00 Ostrava – Poruba, CZ</w:t>
            </w:r>
            <w:r w:rsidDel="00000000" w:rsidR="00000000" w:rsidRPr="00000000">
              <w:rPr>
                <w:rtl w:val="0"/>
              </w:rPr>
            </w:r>
          </w:p>
        </w:tc>
      </w:tr>
      <w:tr>
        <w:trPr>
          <w:cantSplit w:val="0"/>
          <w:trHeight w:val="190" w:hRule="atLeast"/>
          <w:tblHeader w:val="0"/>
        </w:trPr>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79">
            <w:pPr>
              <w:rPr>
                <w:vertAlign w:val="baseline"/>
              </w:rPr>
            </w:pPr>
            <w:r w:rsidDel="00000000" w:rsidR="00000000" w:rsidRPr="00000000">
              <w:rPr>
                <w:sz w:val="20"/>
                <w:szCs w:val="20"/>
                <w:vertAlign w:val="baseline"/>
                <w:rtl w:val="0"/>
              </w:rPr>
              <w:t xml:space="preserve">Zastoupení</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7C">
            <w:pPr>
              <w:rPr>
                <w:sz w:val="16"/>
                <w:szCs w:val="16"/>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7D">
            <w:pPr>
              <w:rPr>
                <w:vertAlign w:val="baseline"/>
              </w:rPr>
            </w:pPr>
            <w:r w:rsidDel="00000000" w:rsidR="00000000" w:rsidRPr="00000000">
              <w:rPr>
                <w:sz w:val="20"/>
                <w:szCs w:val="20"/>
                <w:vertAlign w:val="baseline"/>
                <w:rtl w:val="0"/>
              </w:rPr>
              <w:t xml:space="preserve">Zastoupení</w:t>
            </w:r>
            <w:r w:rsidDel="00000000" w:rsidR="00000000" w:rsidRPr="00000000">
              <w:rPr>
                <w:rtl w:val="0"/>
              </w:rPr>
            </w:r>
          </w:p>
        </w:tc>
      </w:tr>
      <w:tr>
        <w:trPr>
          <w:cantSplit w:val="0"/>
          <w:tblHeader w:val="0"/>
        </w:trPr>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80">
            <w:pPr>
              <w:rPr>
                <w:vertAlign w:val="baseline"/>
              </w:rPr>
            </w:pPr>
            <w:r w:rsidDel="00000000" w:rsidR="00000000" w:rsidRPr="00000000">
              <w:rPr>
                <w:sz w:val="20"/>
                <w:szCs w:val="20"/>
                <w:vertAlign w:val="baseline"/>
                <w:rtl w:val="0"/>
              </w:rPr>
              <w:t xml:space="preserve">Mgr. Miroslav Bučánek</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83">
            <w:pPr>
              <w:rPr>
                <w:sz w:val="16"/>
                <w:szCs w:val="16"/>
                <w:vertAlign w:val="baseline"/>
              </w:rPr>
            </w:pPr>
            <w:r w:rsidDel="00000000" w:rsidR="00000000" w:rsidRPr="00000000">
              <w:rPr>
                <w:rtl w:val="0"/>
              </w:rPr>
            </w:r>
          </w:p>
        </w:tc>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84">
            <w:pPr>
              <w:rPr>
                <w:vertAlign w:val="baseline"/>
              </w:rPr>
            </w:pPr>
            <w:r w:rsidDel="00000000" w:rsidR="00000000" w:rsidRPr="00000000">
              <w:rPr>
                <w:sz w:val="20"/>
                <w:szCs w:val="20"/>
                <w:vertAlign w:val="baseline"/>
                <w:rtl w:val="0"/>
              </w:rPr>
              <w:t xml:space="preserve">Jakub Navrátil</w:t>
            </w: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7">
            <w:pPr>
              <w:rPr>
                <w:vertAlign w:val="baseline"/>
              </w:rPr>
            </w:pPr>
            <w:r w:rsidDel="00000000" w:rsidR="00000000" w:rsidRPr="00000000">
              <w:rPr>
                <w:sz w:val="20"/>
                <w:szCs w:val="20"/>
                <w:vertAlign w:val="baseline"/>
                <w:rtl w:val="0"/>
              </w:rPr>
              <w:t xml:space="preserve">statutární zástupce – ředitel</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8A">
            <w:pPr>
              <w:rPr>
                <w:sz w:val="16"/>
                <w:szCs w:val="16"/>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B">
            <w:pPr>
              <w:rPr>
                <w:vertAlign w:val="baseline"/>
              </w:rPr>
            </w:pPr>
            <w:r w:rsidDel="00000000" w:rsidR="00000000" w:rsidRPr="00000000">
              <w:rPr>
                <w:sz w:val="20"/>
                <w:szCs w:val="20"/>
                <w:vertAlign w:val="baseline"/>
                <w:rtl w:val="0"/>
              </w:rPr>
              <w:t xml:space="preserve">statutární orgán – jednatel</w:t>
            </w:r>
            <w:r w:rsidDel="00000000" w:rsidR="00000000" w:rsidRPr="00000000">
              <w:rPr>
                <w:rtl w:val="0"/>
              </w:rPr>
            </w:r>
          </w:p>
        </w:tc>
      </w:tr>
      <w:tr>
        <w:trPr>
          <w:cantSplit w:val="0"/>
          <w:tblHeader w:val="0"/>
        </w:trPr>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8E">
            <w:pPr>
              <w:rPr>
                <w:vertAlign w:val="baseline"/>
              </w:rPr>
            </w:pPr>
            <w:r w:rsidDel="00000000" w:rsidR="00000000" w:rsidRPr="00000000">
              <w:rPr>
                <w:sz w:val="20"/>
                <w:szCs w:val="20"/>
                <w:vertAlign w:val="baseline"/>
                <w:rtl w:val="0"/>
              </w:rPr>
              <w:t xml:space="preserve">Zmocněnci k jednání</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91">
            <w:pPr>
              <w:rPr>
                <w:sz w:val="16"/>
                <w:szCs w:val="16"/>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92">
            <w:pPr>
              <w:rPr>
                <w:vertAlign w:val="baseline"/>
              </w:rPr>
            </w:pPr>
            <w:r w:rsidDel="00000000" w:rsidR="00000000" w:rsidRPr="00000000">
              <w:rPr>
                <w:sz w:val="20"/>
                <w:szCs w:val="20"/>
                <w:vertAlign w:val="baseline"/>
                <w:rtl w:val="0"/>
              </w:rPr>
              <w:t xml:space="preserve">Jméno a příjmení kontaktní osoby</w:t>
            </w: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5">
            <w:pPr>
              <w:rPr>
                <w:vertAlign w:val="baseline"/>
              </w:rPr>
            </w:pPr>
            <w:r w:rsidDel="00000000" w:rsidR="00000000" w:rsidRPr="00000000">
              <w:rPr>
                <w:sz w:val="20"/>
                <w:szCs w:val="20"/>
                <w:vertAlign w:val="baseline"/>
                <w:rtl w:val="0"/>
              </w:rPr>
              <w:t xml:space="preserve">Mgr. Miroslav Bučánek</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98">
            <w:pPr>
              <w:rPr>
                <w:sz w:val="16"/>
                <w:szCs w:val="16"/>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9">
            <w:pPr>
              <w:rPr>
                <w:vertAlign w:val="baseline"/>
              </w:rPr>
            </w:pPr>
            <w:r w:rsidDel="00000000" w:rsidR="00000000" w:rsidRPr="00000000">
              <w:rPr>
                <w:sz w:val="20"/>
                <w:szCs w:val="20"/>
                <w:vertAlign w:val="baseline"/>
                <w:rtl w:val="0"/>
              </w:rPr>
              <w:t xml:space="preserve">Jakub Navrátil</w:t>
            </w:r>
            <w:r w:rsidDel="00000000" w:rsidR="00000000" w:rsidRPr="00000000">
              <w:rPr>
                <w:rtl w:val="0"/>
              </w:rPr>
            </w:r>
          </w:p>
        </w:tc>
      </w:tr>
      <w:tr>
        <w:trPr>
          <w:cantSplit w:val="0"/>
          <w:trHeight w:val="164" w:hRule="atLeast"/>
          <w:tblHeader w:val="0"/>
        </w:trPr>
        <w:tc>
          <w:tcPr>
            <w:gridSpan w:val="2"/>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9C">
            <w:pPr>
              <w:rPr>
                <w:vertAlign w:val="baseline"/>
              </w:rPr>
            </w:pPr>
            <w:r w:rsidDel="00000000" w:rsidR="00000000" w:rsidRPr="00000000">
              <w:rPr>
                <w:sz w:val="20"/>
                <w:szCs w:val="20"/>
                <w:vertAlign w:val="baseline"/>
                <w:rtl w:val="0"/>
              </w:rPr>
              <w:t xml:space="preserve">Telefon</w:t>
            </w:r>
            <w:r w:rsidDel="00000000" w:rsidR="00000000" w:rsidRPr="00000000">
              <w:rPr>
                <w:rtl w:val="0"/>
              </w:rPr>
            </w:r>
          </w:p>
        </w:tc>
        <w:tc>
          <w:tcPr>
            <w:tcBorders>
              <w:top w:color="000000" w:space="0" w:sz="4" w:val="single"/>
              <w:right w:color="000000" w:space="0" w:sz="4" w:val="single"/>
            </w:tcBorders>
            <w:shd w:fill="e6e6e6" w:val="clear"/>
            <w:vAlign w:val="top"/>
          </w:tcPr>
          <w:p w:rsidR="00000000" w:rsidDel="00000000" w:rsidP="00000000" w:rsidRDefault="00000000" w:rsidRPr="00000000" w14:paraId="0000009E">
            <w:pPr>
              <w:rPr>
                <w:vertAlign w:val="baseline"/>
              </w:rPr>
            </w:pPr>
            <w:r w:rsidDel="00000000" w:rsidR="00000000" w:rsidRPr="00000000">
              <w:rPr>
                <w:sz w:val="20"/>
                <w:szCs w:val="20"/>
                <w:vertAlign w:val="baseline"/>
                <w:rtl w:val="0"/>
              </w:rPr>
              <w:t xml:space="preserve">Telefon</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9F">
            <w:pPr>
              <w:rPr>
                <w:sz w:val="16"/>
                <w:szCs w:val="16"/>
                <w:vertAlign w:val="baseline"/>
              </w:rPr>
            </w:pPr>
            <w:r w:rsidDel="00000000" w:rsidR="00000000" w:rsidRPr="00000000">
              <w:rPr>
                <w:rtl w:val="0"/>
              </w:rPr>
            </w:r>
          </w:p>
        </w:tc>
        <w:tc>
          <w:tcPr>
            <w:gridSpan w:val="2"/>
            <w:tcBorders>
              <w:top w:color="000000" w:space="0" w:sz="4" w:val="single"/>
              <w:left w:color="000000" w:space="0" w:sz="4" w:val="single"/>
            </w:tcBorders>
            <w:shd w:fill="e6e6e6" w:val="clear"/>
            <w:vAlign w:val="top"/>
          </w:tcPr>
          <w:p w:rsidR="00000000" w:rsidDel="00000000" w:rsidP="00000000" w:rsidRDefault="00000000" w:rsidRPr="00000000" w14:paraId="000000A0">
            <w:pPr>
              <w:rPr>
                <w:vertAlign w:val="baseline"/>
              </w:rPr>
            </w:pPr>
            <w:r w:rsidDel="00000000" w:rsidR="00000000" w:rsidRPr="00000000">
              <w:rPr>
                <w:sz w:val="20"/>
                <w:szCs w:val="20"/>
                <w:vertAlign w:val="baseline"/>
                <w:rtl w:val="0"/>
              </w:rPr>
              <w:t xml:space="preserve">Telefon</w:t>
            </w:r>
            <w:r w:rsidDel="00000000" w:rsidR="00000000" w:rsidRPr="00000000">
              <w:rPr>
                <w:rtl w:val="0"/>
              </w:rPr>
            </w:r>
          </w:p>
        </w:tc>
        <w:tc>
          <w:tcPr>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A2">
            <w:pPr>
              <w:rPr>
                <w:vertAlign w:val="baseline"/>
              </w:rPr>
            </w:pPr>
            <w:r w:rsidDel="00000000" w:rsidR="00000000" w:rsidRPr="00000000">
              <w:rPr>
                <w:sz w:val="20"/>
                <w:szCs w:val="20"/>
                <w:vertAlign w:val="baseline"/>
                <w:rtl w:val="0"/>
              </w:rPr>
              <w:t xml:space="preserve">Telefon</w:t>
            </w: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3">
            <w:pPr>
              <w:rPr>
                <w:vertAlign w:val="baseline"/>
              </w:rPr>
            </w:pP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+420 596 919 744</w:t>
            </w:r>
            <w:r w:rsidDel="00000000" w:rsidR="00000000" w:rsidRPr="00000000">
              <w:rPr>
                <w:rtl w:val="0"/>
              </w:rPr>
            </w:r>
          </w:p>
        </w:tc>
        <w:tc>
          <w:tcPr>
            <w:tcBorders>
              <w:bottom w:color="000000" w:space="0" w:sz="4" w:val="single"/>
              <w:right w:color="000000" w:space="0" w:sz="4" w:val="single"/>
            </w:tcBorders>
            <w:shd w:fill="auto" w:val="clear"/>
            <w:vAlign w:val="top"/>
          </w:tcPr>
          <w:p w:rsidR="00000000" w:rsidDel="00000000" w:rsidP="00000000" w:rsidRDefault="00000000" w:rsidRPr="00000000" w14:paraId="000000A5">
            <w:pPr>
              <w:rPr>
                <w:vertAlign w:val="baseline"/>
              </w:rPr>
            </w:pPr>
            <w:r w:rsidDel="00000000" w:rsidR="00000000" w:rsidRPr="00000000">
              <w:rPr>
                <w:sz w:val="20"/>
                <w:szCs w:val="20"/>
                <w:vertAlign w:val="baseline"/>
                <w:rtl w:val="0"/>
              </w:rPr>
              <w:t xml:space="preserve">+ 4</w:t>
            </w:r>
            <w:r w:rsidDel="00000000" w:rsidR="00000000" w:rsidRPr="00000000">
              <w:rPr>
                <w:sz w:val="20"/>
                <w:szCs w:val="20"/>
                <w:vertAlign w:val="baseline"/>
                <w:rtl w:val="0"/>
              </w:rPr>
              <w:t xml:space="preserve">20 </w:t>
            </w:r>
            <w:r w:rsidDel="00000000" w:rsidR="00000000" w:rsidRPr="00000000">
              <w:rPr>
                <w:i w:val="0"/>
                <w:smallCaps w:val="0"/>
                <w:color w:val="000000"/>
                <w:sz w:val="20"/>
                <w:szCs w:val="20"/>
                <w:vertAlign w:val="baseline"/>
                <w:rtl w:val="0"/>
              </w:rPr>
              <w:t xml:space="preserve">720 833 095</w:t>
            </w:r>
            <w:r w:rsidDel="00000000" w:rsidR="00000000" w:rsidRPr="00000000">
              <w:rPr>
                <w:sz w:val="20"/>
                <w:szCs w:val="20"/>
                <w:vertAlign w:val="baseline"/>
                <w:rtl w:val="0"/>
              </w:rPr>
              <w:t xml:space="preserve"> </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A6">
            <w:pPr>
              <w:rPr>
                <w:sz w:val="16"/>
                <w:szCs w:val="16"/>
                <w:vertAlign w:val="baseline"/>
              </w:rPr>
            </w:pPr>
            <w:r w:rsidDel="00000000" w:rsidR="00000000" w:rsidRPr="00000000">
              <w:rPr>
                <w:rtl w:val="0"/>
              </w:rPr>
            </w:r>
          </w:p>
        </w:tc>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A7">
            <w:pPr>
              <w:rPr>
                <w:vertAlign w:val="baseline"/>
              </w:rPr>
            </w:pPr>
            <w:r w:rsidDel="00000000" w:rsidR="00000000" w:rsidRPr="00000000">
              <w:rPr>
                <w:sz w:val="20"/>
                <w:szCs w:val="20"/>
                <w:vertAlign w:val="baseline"/>
                <w:rtl w:val="0"/>
              </w:rPr>
              <w:t xml:space="preserve">+ 420 775 107 092</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9">
            <w:pPr>
              <w:rPr>
                <w:vertAlign w:val="baseline"/>
              </w:rPr>
            </w:pPr>
            <w:r w:rsidDel="00000000" w:rsidR="00000000" w:rsidRPr="00000000">
              <w:rPr>
                <w:sz w:val="20"/>
                <w:szCs w:val="20"/>
                <w:vertAlign w:val="baseline"/>
                <w:rtl w:val="0"/>
              </w:rPr>
              <w:t xml:space="preserve">+ 420 </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AA">
            <w:pPr>
              <w:rPr>
                <w:vertAlign w:val="baseline"/>
              </w:rPr>
            </w:pPr>
            <w:r w:rsidDel="00000000" w:rsidR="00000000" w:rsidRPr="00000000">
              <w:rPr>
                <w:sz w:val="20"/>
                <w:szCs w:val="20"/>
                <w:vertAlign w:val="baseline"/>
                <w:rtl w:val="0"/>
              </w:rPr>
              <w:t xml:space="preserve">E-mail</w:t>
            </w:r>
            <w:r w:rsidDel="00000000" w:rsidR="00000000" w:rsidRPr="00000000">
              <w:rPr>
                <w:rtl w:val="0"/>
              </w:rPr>
            </w:r>
          </w:p>
        </w:tc>
        <w:tc>
          <w:tcPr>
            <w:tcBorders>
              <w:top w:color="000000" w:space="0" w:sz="4" w:val="single"/>
              <w:right w:color="000000" w:space="0" w:sz="4" w:val="single"/>
            </w:tcBorders>
            <w:shd w:fill="e6e6e6" w:val="clear"/>
            <w:vAlign w:val="top"/>
          </w:tcPr>
          <w:p w:rsidR="00000000" w:rsidDel="00000000" w:rsidP="00000000" w:rsidRDefault="00000000" w:rsidRPr="00000000" w14:paraId="000000AC">
            <w:pPr>
              <w:rPr>
                <w:vertAlign w:val="baseline"/>
              </w:rPr>
            </w:pPr>
            <w:r w:rsidDel="00000000" w:rsidR="00000000" w:rsidRPr="00000000">
              <w:rPr>
                <w:sz w:val="20"/>
                <w:szCs w:val="20"/>
                <w:vertAlign w:val="baseline"/>
                <w:rtl w:val="0"/>
              </w:rPr>
              <w:t xml:space="preserve">Jiný kontakt</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AD">
            <w:pPr>
              <w:rPr>
                <w:sz w:val="16"/>
                <w:szCs w:val="16"/>
                <w:vertAlign w:val="baseline"/>
              </w:rPr>
            </w:pPr>
            <w:r w:rsidDel="00000000" w:rsidR="00000000" w:rsidRPr="00000000">
              <w:rPr>
                <w:rtl w:val="0"/>
              </w:rPr>
            </w:r>
          </w:p>
        </w:tc>
        <w:tc>
          <w:tcPr>
            <w:gridSpan w:val="2"/>
            <w:tcBorders>
              <w:top w:color="000000" w:space="0" w:sz="4" w:val="single"/>
              <w:left w:color="000000" w:space="0" w:sz="4" w:val="single"/>
            </w:tcBorders>
            <w:shd w:fill="e6e6e6" w:val="clear"/>
            <w:vAlign w:val="top"/>
          </w:tcPr>
          <w:p w:rsidR="00000000" w:rsidDel="00000000" w:rsidP="00000000" w:rsidRDefault="00000000" w:rsidRPr="00000000" w14:paraId="000000AE">
            <w:pPr>
              <w:rPr>
                <w:vertAlign w:val="baseline"/>
              </w:rPr>
            </w:pPr>
            <w:r w:rsidDel="00000000" w:rsidR="00000000" w:rsidRPr="00000000">
              <w:rPr>
                <w:sz w:val="20"/>
                <w:szCs w:val="20"/>
                <w:vertAlign w:val="baseline"/>
                <w:rtl w:val="0"/>
              </w:rPr>
              <w:t xml:space="preserve">E-mail</w:t>
            </w:r>
            <w:r w:rsidDel="00000000" w:rsidR="00000000" w:rsidRPr="00000000">
              <w:rPr>
                <w:rtl w:val="0"/>
              </w:rPr>
            </w:r>
          </w:p>
        </w:tc>
        <w:tc>
          <w:tcPr>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B0">
            <w:pPr>
              <w:rPr>
                <w:vertAlign w:val="baseline"/>
              </w:rPr>
            </w:pPr>
            <w:r w:rsidDel="00000000" w:rsidR="00000000" w:rsidRPr="00000000">
              <w:rPr>
                <w:sz w:val="20"/>
                <w:szCs w:val="20"/>
                <w:vertAlign w:val="baseline"/>
                <w:rtl w:val="0"/>
              </w:rPr>
              <w:t xml:space="preserve">Jiný kontakt</w:t>
            </w: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1">
            <w:pPr>
              <w:rPr>
                <w:vertAlign w:val="baseline"/>
              </w:rPr>
            </w:pPr>
            <w:r w:rsidDel="00000000" w:rsidR="00000000" w:rsidRPr="00000000">
              <w:rPr>
                <w:sz w:val="18"/>
                <w:szCs w:val="18"/>
                <w:vertAlign w:val="baseline"/>
                <w:rtl w:val="0"/>
              </w:rPr>
              <w:t xml:space="preserve">bucanekmiroslav@zsvalcika.cz</w:t>
            </w:r>
            <w:r w:rsidDel="00000000" w:rsidR="00000000" w:rsidRPr="00000000">
              <w:rPr>
                <w:rtl w:val="0"/>
              </w:rPr>
            </w:r>
          </w:p>
        </w:tc>
        <w:tc>
          <w:tcPr>
            <w:tcBorders>
              <w:bottom w:color="000000" w:space="0" w:sz="4" w:val="single"/>
              <w:right w:color="000000" w:space="0" w:sz="4" w:val="single"/>
            </w:tcBorders>
            <w:shd w:fill="auto" w:val="clear"/>
            <w:vAlign w:val="top"/>
          </w:tcPr>
          <w:p w:rsidR="00000000" w:rsidDel="00000000" w:rsidP="00000000" w:rsidRDefault="00000000" w:rsidRPr="00000000" w14:paraId="000000B3">
            <w:pPr>
              <w:rPr>
                <w:vertAlign w:val="baseline"/>
              </w:rPr>
            </w:pPr>
            <w:r w:rsidDel="00000000" w:rsidR="00000000" w:rsidRPr="00000000">
              <w:rPr>
                <w:sz w:val="18"/>
                <w:szCs w:val="18"/>
                <w:vertAlign w:val="baseline"/>
                <w:rtl w:val="0"/>
              </w:rPr>
              <w:t xml:space="preserve">frydrychpetr@zsvalcika.cz</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B4">
            <w:pPr>
              <w:rPr>
                <w:sz w:val="16"/>
                <w:szCs w:val="16"/>
                <w:vertAlign w:val="baseline"/>
              </w:rPr>
            </w:pPr>
            <w:r w:rsidDel="00000000" w:rsidR="00000000" w:rsidRPr="00000000">
              <w:rPr>
                <w:rtl w:val="0"/>
              </w:rPr>
            </w:r>
          </w:p>
        </w:tc>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B5">
            <w:pPr>
              <w:rPr>
                <w:vertAlign w:val="baseline"/>
              </w:rPr>
            </w:pPr>
            <w:r w:rsidDel="00000000" w:rsidR="00000000" w:rsidRPr="00000000">
              <w:rPr>
                <w:sz w:val="18"/>
                <w:szCs w:val="18"/>
                <w:vertAlign w:val="baseline"/>
                <w:rtl w:val="0"/>
              </w:rPr>
              <w:t xml:space="preserve">navratil@systemcontrol.cz</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7">
            <w:pPr>
              <w:rPr>
                <w:vertAlign w:val="baseline"/>
              </w:rPr>
            </w:pPr>
            <w:r w:rsidDel="00000000" w:rsidR="00000000" w:rsidRPr="00000000">
              <w:rPr>
                <w:sz w:val="18"/>
                <w:szCs w:val="18"/>
                <w:vertAlign w:val="baseline"/>
                <w:rtl w:val="0"/>
              </w:rPr>
              <w:t xml:space="preserve">www.systemcontrol.cz</w:t>
            </w:r>
            <w:r w:rsidDel="00000000" w:rsidR="00000000" w:rsidRPr="00000000">
              <w:rPr>
                <w:rtl w:val="0"/>
              </w:rPr>
            </w:r>
          </w:p>
        </w:tc>
      </w:tr>
      <w:tr>
        <w:trPr>
          <w:cantSplit w:val="0"/>
          <w:tblHeader w:val="0"/>
        </w:trPr>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B8">
            <w:pPr>
              <w:rPr>
                <w:vertAlign w:val="baseline"/>
              </w:rPr>
            </w:pPr>
            <w:r w:rsidDel="00000000" w:rsidR="00000000" w:rsidRPr="00000000">
              <w:rPr>
                <w:sz w:val="20"/>
                <w:szCs w:val="20"/>
                <w:vertAlign w:val="baseline"/>
                <w:rtl w:val="0"/>
              </w:rPr>
              <w:t xml:space="preserve">Bankovní spojení</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BB">
            <w:pPr>
              <w:rPr>
                <w:sz w:val="16"/>
                <w:szCs w:val="16"/>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shd w:fill="e6e6e6" w:val="clear"/>
            <w:vAlign w:val="top"/>
          </w:tcPr>
          <w:p w:rsidR="00000000" w:rsidDel="00000000" w:rsidP="00000000" w:rsidRDefault="00000000" w:rsidRPr="00000000" w14:paraId="000000BC">
            <w:pPr>
              <w:rPr>
                <w:vertAlign w:val="baseline"/>
              </w:rPr>
            </w:pPr>
            <w:r w:rsidDel="00000000" w:rsidR="00000000" w:rsidRPr="00000000">
              <w:rPr>
                <w:sz w:val="20"/>
                <w:szCs w:val="20"/>
                <w:vertAlign w:val="baseline"/>
                <w:rtl w:val="0"/>
              </w:rPr>
              <w:t xml:space="preserve">Bankovní spojení</w:t>
            </w:r>
            <w:r w:rsidDel="00000000" w:rsidR="00000000" w:rsidRPr="00000000">
              <w:rPr>
                <w:rtl w:val="0"/>
              </w:rPr>
            </w:r>
          </w:p>
        </w:tc>
      </w:tr>
      <w:tr>
        <w:trPr>
          <w:cantSplit w:val="0"/>
          <w:tblHeader w:val="0"/>
        </w:trPr>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BF">
            <w:pPr>
              <w:rPr>
                <w:vertAlign w:val="baseline"/>
              </w:rPr>
            </w:pPr>
            <w:r w:rsidDel="00000000" w:rsidR="00000000" w:rsidRPr="00000000">
              <w:rPr>
                <w:i w:val="0"/>
                <w:smallCaps w:val="0"/>
                <w:color w:val="000000"/>
                <w:sz w:val="20"/>
                <w:szCs w:val="20"/>
                <w:vertAlign w:val="baseline"/>
                <w:rtl w:val="0"/>
              </w:rPr>
              <w:t xml:space="preserve">59045 / 5500</w:t>
            </w:r>
            <w:r w:rsidDel="00000000" w:rsidR="00000000" w:rsidRPr="00000000">
              <w:rPr>
                <w:sz w:val="20"/>
                <w:szCs w:val="20"/>
                <w:vertAlign w:val="baseline"/>
                <w:rtl w:val="0"/>
              </w:rPr>
              <w:t xml:space="preserve"> </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C2">
            <w:pPr>
              <w:rPr>
                <w:sz w:val="16"/>
                <w:szCs w:val="16"/>
                <w:vertAlign w:val="baseline"/>
              </w:rPr>
            </w:pPr>
            <w:r w:rsidDel="00000000" w:rsidR="00000000" w:rsidRPr="00000000">
              <w:rPr>
                <w:rtl w:val="0"/>
              </w:rPr>
            </w:r>
          </w:p>
        </w:tc>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C3">
            <w:pPr>
              <w:rPr>
                <w:vertAlign w:val="baseline"/>
              </w:rPr>
            </w:pPr>
            <w:r w:rsidDel="00000000" w:rsidR="00000000" w:rsidRPr="00000000">
              <w:rPr>
                <w:sz w:val="20"/>
                <w:szCs w:val="20"/>
                <w:vertAlign w:val="baseline"/>
                <w:rtl w:val="0"/>
              </w:rPr>
              <w:t xml:space="preserve">000000-1669745359/0800</w:t>
            </w:r>
            <w:r w:rsidDel="00000000" w:rsidR="00000000" w:rsidRPr="00000000">
              <w:rPr>
                <w:rtl w:val="0"/>
              </w:rPr>
            </w:r>
          </w:p>
        </w:tc>
      </w:tr>
      <w:tr>
        <w:trPr>
          <w:cantSplit w:val="0"/>
          <w:tblHeader w:val="0"/>
        </w:trPr>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C6">
            <w:pPr>
              <w:rPr>
                <w:vertAlign w:val="baseline"/>
              </w:rPr>
            </w:pPr>
            <w:r w:rsidDel="00000000" w:rsidR="00000000" w:rsidRPr="00000000">
              <w:rPr>
                <w:i w:val="0"/>
                <w:smallCaps w:val="0"/>
                <w:color w:val="000000"/>
                <w:sz w:val="20"/>
                <w:szCs w:val="20"/>
                <w:vertAlign w:val="baseline"/>
                <w:rtl w:val="0"/>
              </w:rPr>
              <w:t xml:space="preserve">Raiffeisenbank</w:t>
            </w:r>
            <w:r w:rsidDel="00000000" w:rsidR="00000000" w:rsidRPr="00000000">
              <w:rPr>
                <w:sz w:val="20"/>
                <w:szCs w:val="20"/>
                <w:vertAlign w:val="baseline"/>
                <w:rtl w:val="0"/>
              </w:rPr>
              <w:t xml:space="preserve"> </w:t>
            </w: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C9">
            <w:pPr>
              <w:rPr>
                <w:sz w:val="16"/>
                <w:szCs w:val="16"/>
                <w:vertAlign w:val="baseline"/>
              </w:rPr>
            </w:pPr>
            <w:r w:rsidDel="00000000" w:rsidR="00000000" w:rsidRPr="00000000">
              <w:rPr>
                <w:rtl w:val="0"/>
              </w:rPr>
            </w:r>
          </w:p>
        </w:tc>
        <w:tc>
          <w:tcPr>
            <w:gridSpan w:val="3"/>
            <w:tcBorders>
              <w:left w:color="000000" w:space="0" w:sz="4" w:val="single"/>
              <w:right w:color="000000" w:space="0" w:sz="4" w:val="single"/>
            </w:tcBorders>
            <w:shd w:fill="auto" w:val="clear"/>
            <w:vAlign w:val="top"/>
          </w:tcPr>
          <w:p w:rsidR="00000000" w:rsidDel="00000000" w:rsidP="00000000" w:rsidRDefault="00000000" w:rsidRPr="00000000" w14:paraId="000000CA">
            <w:pPr>
              <w:rPr>
                <w:vertAlign w:val="baseline"/>
              </w:rPr>
            </w:pPr>
            <w:r w:rsidDel="00000000" w:rsidR="00000000" w:rsidRPr="00000000">
              <w:rPr>
                <w:sz w:val="20"/>
                <w:szCs w:val="20"/>
                <w:vertAlign w:val="baseline"/>
                <w:rtl w:val="0"/>
              </w:rPr>
              <w:t xml:space="preserve">Česká spořitelna, a.s.,</w:t>
            </w: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D">
            <w:pPr>
              <w:rPr>
                <w:sz w:val="20"/>
                <w:szCs w:val="20"/>
                <w:vertAlign w:val="baseline"/>
              </w:rPr>
            </w:pPr>
            <w:r w:rsidDel="00000000" w:rsidR="00000000" w:rsidRPr="00000000">
              <w:rPr>
                <w:rtl w:val="0"/>
              </w:rPr>
            </w:r>
          </w:p>
        </w:tc>
        <w:tc>
          <w:tcPr>
            <w:tcBorders>
              <w:left w:color="000000" w:space="0" w:sz="4" w:val="single"/>
              <w:right w:color="000000" w:space="0" w:sz="4" w:val="single"/>
            </w:tcBorders>
            <w:shd w:fill="auto" w:val="clear"/>
            <w:vAlign w:val="top"/>
          </w:tcPr>
          <w:p w:rsidR="00000000" w:rsidDel="00000000" w:rsidP="00000000" w:rsidRDefault="00000000" w:rsidRPr="00000000" w14:paraId="000000D0">
            <w:pPr>
              <w:rPr>
                <w:sz w:val="16"/>
                <w:szCs w:val="16"/>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1">
            <w:pPr>
              <w:rPr>
                <w:vertAlign w:val="baseline"/>
              </w:rPr>
            </w:pPr>
            <w:r w:rsidDel="00000000" w:rsidR="00000000" w:rsidRPr="00000000">
              <w:rPr>
                <w:sz w:val="20"/>
                <w:szCs w:val="20"/>
                <w:vertAlign w:val="baseline"/>
                <w:rtl w:val="0"/>
              </w:rPr>
              <w:t xml:space="preserve">pobočka Ostrava-Hrabůvka, Horní 55/1492, CZ</w:t>
            </w:r>
            <w:r w:rsidDel="00000000" w:rsidR="00000000" w:rsidRPr="00000000">
              <w:rPr>
                <w:rtl w:val="0"/>
              </w:rPr>
            </w:r>
          </w:p>
        </w:tc>
      </w:tr>
    </w:tbl>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sz w:val="16"/>
          <w:szCs w:val="16"/>
          <w:vertAlign w:val="baseline"/>
        </w:rPr>
      </w:pPr>
      <w:r w:rsidDel="00000000" w:rsidR="00000000" w:rsidRPr="00000000">
        <w:rPr>
          <w:rtl w:val="0"/>
        </w:rPr>
      </w:r>
    </w:p>
    <w:p w:rsidR="00000000" w:rsidDel="00000000" w:rsidP="00000000" w:rsidRDefault="00000000" w:rsidRPr="00000000" w14:paraId="000000D6">
      <w:pPr>
        <w:rPr>
          <w:sz w:val="16"/>
          <w:szCs w:val="16"/>
          <w:vertAlign w:val="baseline"/>
        </w:rPr>
      </w:pPr>
      <w:r w:rsidDel="00000000" w:rsidR="00000000" w:rsidRPr="00000000">
        <w:rPr>
          <w:rtl w:val="0"/>
        </w:rPr>
      </w:r>
    </w:p>
    <w:p w:rsidR="00000000" w:rsidDel="00000000" w:rsidP="00000000" w:rsidRDefault="00000000" w:rsidRPr="00000000" w14:paraId="000000D7">
      <w:pPr>
        <w:jc w:val="center"/>
        <w:rPr>
          <w:b w:val="1"/>
          <w:sz w:val="22"/>
          <w:szCs w:val="22"/>
          <w:vertAlign w:val="baseline"/>
        </w:rPr>
      </w:pPr>
      <w:r w:rsidDel="00000000" w:rsidR="00000000" w:rsidRPr="00000000">
        <w:rPr>
          <w:b w:val="1"/>
          <w:sz w:val="22"/>
          <w:szCs w:val="22"/>
          <w:vertAlign w:val="baseline"/>
          <w:rtl w:val="0"/>
        </w:rPr>
        <w:t xml:space="preserve">Uzavírají tuto smlouvu:</w:t>
      </w:r>
    </w:p>
    <w:p w:rsidR="00000000" w:rsidDel="00000000" w:rsidP="00000000" w:rsidRDefault="00000000" w:rsidRPr="00000000" w14:paraId="000000D8">
      <w:pPr>
        <w:rPr>
          <w:sz w:val="22"/>
          <w:szCs w:val="22"/>
          <w:vertAlign w:val="baseline"/>
        </w:rPr>
      </w:pPr>
      <w:r w:rsidDel="00000000" w:rsidR="00000000" w:rsidRPr="00000000">
        <w:rPr>
          <w:rtl w:val="0"/>
        </w:rPr>
      </w:r>
    </w:p>
    <w:p w:rsidR="00000000" w:rsidDel="00000000" w:rsidP="00000000" w:rsidRDefault="00000000" w:rsidRPr="00000000" w14:paraId="000000D9">
      <w:pPr>
        <w:shd w:fill="e6e6e6" w:val="clear"/>
        <w:spacing w:after="120" w:before="0" w:lineRule="auto"/>
        <w:jc w:val="center"/>
        <w:rPr>
          <w:b w:val="1"/>
          <w:sz w:val="22"/>
          <w:szCs w:val="22"/>
          <w:u w:val="single"/>
          <w:vertAlign w:val="baseline"/>
        </w:rPr>
      </w:pPr>
      <w:r w:rsidDel="00000000" w:rsidR="00000000" w:rsidRPr="00000000">
        <w:rPr>
          <w:b w:val="1"/>
          <w:sz w:val="22"/>
          <w:szCs w:val="22"/>
          <w:vertAlign w:val="baseline"/>
          <w:rtl w:val="0"/>
        </w:rPr>
        <w:t xml:space="preserve">I. Předmět plnění</w:t>
      </w:r>
      <w:r w:rsidDel="00000000" w:rsidR="00000000" w:rsidRPr="00000000">
        <w:rPr>
          <w:rtl w:val="0"/>
        </w:rPr>
      </w:r>
    </w:p>
    <w:p w:rsidR="00000000" w:rsidDel="00000000" w:rsidP="00000000" w:rsidRDefault="00000000" w:rsidRPr="00000000" w14:paraId="000000DA">
      <w:pPr>
        <w:rPr>
          <w:sz w:val="22"/>
          <w:szCs w:val="22"/>
          <w:vertAlign w:val="baseline"/>
        </w:rPr>
      </w:pPr>
      <w:r w:rsidDel="00000000" w:rsidR="00000000" w:rsidRPr="00000000">
        <w:rPr>
          <w:b w:val="1"/>
          <w:sz w:val="22"/>
          <w:szCs w:val="22"/>
          <w:u w:val="single"/>
          <w:vertAlign w:val="baseline"/>
          <w:rtl w:val="0"/>
        </w:rPr>
        <w:t xml:space="preserve">Předmětem plnění se rozumí:</w:t>
      </w:r>
      <w:r w:rsidDel="00000000" w:rsidR="00000000" w:rsidRPr="00000000">
        <w:rPr>
          <w:rtl w:val="0"/>
        </w:rPr>
      </w:r>
    </w:p>
    <w:p w:rsidR="00000000" w:rsidDel="00000000" w:rsidP="00000000" w:rsidRDefault="00000000" w:rsidRPr="00000000" w14:paraId="000000DB">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Poradenství v oblasti výpočetní techniky – softwaru a hardwaru</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C">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Komplexní správa sítě, serveru, datových zdrojů, aktivních a pasivních prvků s ní přímo spojených. Správou se rozumí udržování těchto zařízení v provozuschopném stavu dle dané aplikace, určení a zajištění funkce nasazeného uživatelského prostředí. Uvedené činnosti nejsou kvantitativně limitovány a odběratel je čerpá v jemu vyhovujícím rozsahu.</w:t>
      </w:r>
      <w:r w:rsidDel="00000000" w:rsidR="00000000" w:rsidRPr="00000000">
        <w:rPr>
          <w:rtl w:val="0"/>
        </w:rPr>
      </w:r>
    </w:p>
    <w:p w:rsidR="00000000" w:rsidDel="00000000" w:rsidP="00000000" w:rsidRDefault="00000000" w:rsidRPr="00000000" w14:paraId="000000DD">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Poskytnutí aplikace PES - Portál Efektivní Správy</w:t>
      </w:r>
      <w:r w:rsidDel="00000000" w:rsidR="00000000" w:rsidRPr="00000000">
        <w:rPr>
          <w:sz w:val="22"/>
          <w:szCs w:val="22"/>
          <w:rtl w:val="0"/>
        </w:rPr>
        <w:t xml:space="preserve">.</w:t>
      </w:r>
    </w:p>
    <w:p w:rsidR="00000000" w:rsidDel="00000000" w:rsidP="00000000" w:rsidRDefault="00000000" w:rsidRPr="00000000" w14:paraId="000000DE">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Telefonická a vzdálené podpora. Počet zásahů vzdálenou správou - neomezeno.</w:t>
      </w:r>
      <w:r w:rsidDel="00000000" w:rsidR="00000000" w:rsidRPr="00000000">
        <w:rPr>
          <w:rtl w:val="0"/>
        </w:rPr>
      </w:r>
    </w:p>
    <w:p w:rsidR="00000000" w:rsidDel="00000000" w:rsidP="00000000" w:rsidRDefault="00000000" w:rsidRPr="00000000" w14:paraId="000000DF">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Zpracování dat specifikovaných odběratelem, služby databank.</w:t>
      </w:r>
      <w:r w:rsidDel="00000000" w:rsidR="00000000" w:rsidRPr="00000000">
        <w:rPr>
          <w:rtl w:val="0"/>
        </w:rPr>
      </w:r>
    </w:p>
    <w:p w:rsidR="00000000" w:rsidDel="00000000" w:rsidP="00000000" w:rsidRDefault="00000000" w:rsidRPr="00000000" w14:paraId="000000E0">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Asistence a procesní zpracování privátních certifikátů a klíčů.</w:t>
      </w:r>
      <w:r w:rsidDel="00000000" w:rsidR="00000000" w:rsidRPr="00000000">
        <w:rPr>
          <w:rtl w:val="0"/>
        </w:rPr>
      </w:r>
    </w:p>
    <w:p w:rsidR="00000000" w:rsidDel="00000000" w:rsidP="00000000" w:rsidRDefault="00000000" w:rsidRPr="00000000" w14:paraId="000000E1">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Zpracování technických posouzení a vyřazovacích protokolů.</w:t>
      </w:r>
      <w:r w:rsidDel="00000000" w:rsidR="00000000" w:rsidRPr="00000000">
        <w:rPr>
          <w:rtl w:val="0"/>
        </w:rPr>
      </w:r>
    </w:p>
    <w:p w:rsidR="00000000" w:rsidDel="00000000" w:rsidP="00000000" w:rsidRDefault="00000000" w:rsidRPr="00000000" w14:paraId="000000E2">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Komunikace s dodavateli služeb spojených s ICT (O2, licence Microsoft apod.).</w:t>
      </w:r>
      <w:r w:rsidDel="00000000" w:rsidR="00000000" w:rsidRPr="00000000">
        <w:rPr>
          <w:rtl w:val="0"/>
        </w:rPr>
      </w:r>
    </w:p>
    <w:p w:rsidR="00000000" w:rsidDel="00000000" w:rsidP="00000000" w:rsidRDefault="00000000" w:rsidRPr="00000000" w14:paraId="000000E3">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Systémová podpora projekční techniky – prvosledová diagnostika projektorů a operace s nimi (objednávky a dodávky lamp, převzetí k servisním úkonům, seřizování).</w:t>
      </w:r>
      <w:r w:rsidDel="00000000" w:rsidR="00000000" w:rsidRPr="00000000">
        <w:rPr>
          <w:rtl w:val="0"/>
        </w:rPr>
      </w:r>
    </w:p>
    <w:p w:rsidR="00000000" w:rsidDel="00000000" w:rsidP="00000000" w:rsidRDefault="00000000" w:rsidRPr="00000000" w14:paraId="000000E4">
      <w:pPr>
        <w:numPr>
          <w:ilvl w:val="0"/>
          <w:numId w:val="2"/>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a podpora webové prezentace na aplikační a uživatelské úrovni.</w:t>
      </w:r>
    </w:p>
    <w:p w:rsidR="00000000" w:rsidDel="00000000" w:rsidP="00000000" w:rsidRDefault="00000000" w:rsidRPr="00000000" w14:paraId="000000E5">
      <w:pPr>
        <w:jc w:val="both"/>
        <w:rPr>
          <w:sz w:val="22"/>
          <w:szCs w:val="22"/>
          <w:vertAlign w:val="baseline"/>
        </w:rPr>
      </w:pPr>
      <w:r w:rsidDel="00000000" w:rsidR="00000000" w:rsidRPr="00000000">
        <w:rPr>
          <w:rtl w:val="0"/>
        </w:rPr>
      </w:r>
    </w:p>
    <w:p w:rsidR="00000000" w:rsidDel="00000000" w:rsidP="00000000" w:rsidRDefault="00000000" w:rsidRPr="00000000" w14:paraId="000000E6">
      <w:pPr>
        <w:jc w:val="both"/>
        <w:rPr>
          <w:sz w:val="22"/>
          <w:szCs w:val="22"/>
          <w:vertAlign w:val="baseline"/>
        </w:rPr>
      </w:pPr>
      <w:r w:rsidDel="00000000" w:rsidR="00000000" w:rsidRPr="00000000">
        <w:rPr>
          <w:b w:val="1"/>
          <w:sz w:val="22"/>
          <w:szCs w:val="22"/>
          <w:u w:val="single"/>
          <w:vertAlign w:val="baseline"/>
          <w:rtl w:val="0"/>
        </w:rPr>
        <w:t xml:space="preserve">Rozsah služeb:</w:t>
      </w:r>
      <w:r w:rsidDel="00000000" w:rsidR="00000000" w:rsidRPr="00000000">
        <w:rPr>
          <w:rtl w:val="0"/>
        </w:rPr>
      </w:r>
    </w:p>
    <w:p w:rsidR="00000000" w:rsidDel="00000000" w:rsidP="00000000" w:rsidRDefault="00000000" w:rsidRPr="00000000" w14:paraId="000000E7">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pracovních stanic (desktopů, notebooků, tabletů, terminálů, dotykových panelů, tiskáren, projektorů a zařízení tvořících se zmíněnými funkční celek, integrální část či soubor či jiná zařízení, která je možno označit za výpočetní techniku). Správou se rozumí především udržování zařízení v provozuschopném stavu, řešení provozních nebo poruchových stavů či představů a to vlastní servisní činností dodavatele nebo s využitím služeb třetích stran v případě zařízení vyžadující zvláštní péči či vysokou odbornost (typicky mechanický servis tiskáren, projektorů či jiné zařízení nebo vyhrazené zařízení). Forma správy je poskytnuta lokální činností (typicky výjezdem technika a jeho servisní činností u zadavatele) a/nebo vzdálenou činností (typicky servisní činností nástroji vzdálené správy a vzdáleného přístupu).</w:t>
      </w:r>
      <w:r w:rsidDel="00000000" w:rsidR="00000000" w:rsidRPr="00000000">
        <w:rPr>
          <w:rtl w:val="0"/>
        </w:rPr>
      </w:r>
    </w:p>
    <w:p w:rsidR="00000000" w:rsidDel="00000000" w:rsidP="00000000" w:rsidRDefault="00000000" w:rsidRPr="00000000" w14:paraId="000000E8">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Hot</w:t>
      </w:r>
      <w:r w:rsidDel="00000000" w:rsidR="00000000" w:rsidRPr="00000000">
        <w:rPr>
          <w:sz w:val="22"/>
          <w:szCs w:val="22"/>
          <w:rtl w:val="0"/>
        </w:rPr>
        <w:t xml:space="preserve">-</w:t>
      </w:r>
      <w:r w:rsidDel="00000000" w:rsidR="00000000" w:rsidRPr="00000000">
        <w:rPr>
          <w:sz w:val="22"/>
          <w:szCs w:val="22"/>
          <w:vertAlign w:val="baseline"/>
          <w:rtl w:val="0"/>
        </w:rPr>
        <w:t xml:space="preserve">line telefonická podpora v pracovních dnech od 8:00 do 16:00 pro hlášení havarijních událostí, událostí prioritních či jiných.</w:t>
      </w:r>
      <w:r w:rsidDel="00000000" w:rsidR="00000000" w:rsidRPr="00000000">
        <w:rPr>
          <w:rtl w:val="0"/>
        </w:rPr>
      </w:r>
    </w:p>
    <w:p w:rsidR="00000000" w:rsidDel="00000000" w:rsidP="00000000" w:rsidRDefault="00000000" w:rsidRPr="00000000" w14:paraId="000000E9">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Webová aplikace pro non-stop zápis požadavků servisního, havarijního či jiného typu s možností příjmu prostým emailem.</w:t>
      </w:r>
      <w:r w:rsidDel="00000000" w:rsidR="00000000" w:rsidRPr="00000000">
        <w:rPr>
          <w:rtl w:val="0"/>
        </w:rPr>
      </w:r>
    </w:p>
    <w:p w:rsidR="00000000" w:rsidDel="00000000" w:rsidP="00000000" w:rsidRDefault="00000000" w:rsidRPr="00000000" w14:paraId="000000EA">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zálohování a kontrola integrity záloh ve smyslu konfigurace této zálohy, sledování funkce (test jejího zpětného nasazení).</w:t>
      </w:r>
      <w:r w:rsidDel="00000000" w:rsidR="00000000" w:rsidRPr="00000000">
        <w:rPr>
          <w:rtl w:val="0"/>
        </w:rPr>
      </w:r>
    </w:p>
    <w:p w:rsidR="00000000" w:rsidDel="00000000" w:rsidP="00000000" w:rsidRDefault="00000000" w:rsidRPr="00000000" w14:paraId="000000EB">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On-line monitoring serverové a páteřní infrastruktury ve smyslu dohledu nad provozními stavy aktivních prvků a datových toků.</w:t>
      </w:r>
      <w:r w:rsidDel="00000000" w:rsidR="00000000" w:rsidRPr="00000000">
        <w:rPr>
          <w:rtl w:val="0"/>
        </w:rPr>
      </w:r>
    </w:p>
    <w:p w:rsidR="00000000" w:rsidDel="00000000" w:rsidP="00000000" w:rsidRDefault="00000000" w:rsidRPr="00000000" w14:paraId="000000EC">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serverových OS ve smyslu instalace, integrace, konfigurace a servisu serverových operačních systémů napříč celou lokalitou</w:t>
      </w:r>
      <w:r w:rsidDel="00000000" w:rsidR="00000000" w:rsidRPr="00000000">
        <w:rPr>
          <w:sz w:val="22"/>
          <w:szCs w:val="22"/>
          <w:rtl w:val="0"/>
        </w:rPr>
        <w:t xml:space="preserve">.</w:t>
      </w:r>
    </w:p>
    <w:p w:rsidR="00000000" w:rsidDel="00000000" w:rsidP="00000000" w:rsidRDefault="00000000" w:rsidRPr="00000000" w14:paraId="000000ED">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Kontrola HW a SW stavu serveru/serverů:</w:t>
      </w:r>
    </w:p>
    <w:p w:rsidR="00000000" w:rsidDel="00000000" w:rsidP="00000000" w:rsidRDefault="00000000" w:rsidRPr="00000000" w14:paraId="000000EE">
      <w:pPr>
        <w:numPr>
          <w:ilvl w:val="1"/>
          <w:numId w:val="1"/>
        </w:numPr>
        <w:ind w:left="1440" w:hanging="360"/>
        <w:jc w:val="both"/>
        <w:rPr>
          <w:sz w:val="22"/>
          <w:szCs w:val="22"/>
          <w:u w:val="none"/>
          <w:vertAlign w:val="baseline"/>
        </w:rPr>
      </w:pPr>
      <w:r w:rsidDel="00000000" w:rsidR="00000000" w:rsidRPr="00000000">
        <w:rPr>
          <w:sz w:val="22"/>
          <w:szCs w:val="22"/>
          <w:rtl w:val="0"/>
        </w:rPr>
        <w:t xml:space="preserve">ř</w:t>
      </w:r>
      <w:r w:rsidDel="00000000" w:rsidR="00000000" w:rsidRPr="00000000">
        <w:rPr>
          <w:sz w:val="22"/>
          <w:szCs w:val="22"/>
          <w:vertAlign w:val="baseline"/>
          <w:rtl w:val="0"/>
        </w:rPr>
        <w:t xml:space="preserve">ešení před – poruchových stavů,</w:t>
      </w:r>
    </w:p>
    <w:p w:rsidR="00000000" w:rsidDel="00000000" w:rsidP="00000000" w:rsidRDefault="00000000" w:rsidRPr="00000000" w14:paraId="000000EF">
      <w:pPr>
        <w:numPr>
          <w:ilvl w:val="1"/>
          <w:numId w:val="1"/>
        </w:numPr>
        <w:ind w:left="1440" w:hanging="360"/>
        <w:jc w:val="both"/>
        <w:rPr>
          <w:sz w:val="22"/>
          <w:szCs w:val="22"/>
          <w:u w:val="none"/>
          <w:vertAlign w:val="baseline"/>
        </w:rPr>
      </w:pPr>
      <w:r w:rsidDel="00000000" w:rsidR="00000000" w:rsidRPr="00000000">
        <w:rPr>
          <w:sz w:val="22"/>
          <w:szCs w:val="22"/>
          <w:rtl w:val="0"/>
        </w:rPr>
        <w:t xml:space="preserve">ř</w:t>
      </w:r>
      <w:r w:rsidDel="00000000" w:rsidR="00000000" w:rsidRPr="00000000">
        <w:rPr>
          <w:sz w:val="22"/>
          <w:szCs w:val="22"/>
          <w:vertAlign w:val="baseline"/>
          <w:rtl w:val="0"/>
        </w:rPr>
        <w:t xml:space="preserve">ešení poruch,</w:t>
      </w:r>
    </w:p>
    <w:p w:rsidR="00000000" w:rsidDel="00000000" w:rsidP="00000000" w:rsidRDefault="00000000" w:rsidRPr="00000000" w14:paraId="000000F0">
      <w:pPr>
        <w:numPr>
          <w:ilvl w:val="1"/>
          <w:numId w:val="1"/>
        </w:numPr>
        <w:ind w:left="1440" w:hanging="360"/>
        <w:jc w:val="both"/>
        <w:rPr>
          <w:sz w:val="22"/>
          <w:szCs w:val="22"/>
          <w:u w:val="none"/>
          <w:vertAlign w:val="baseline"/>
        </w:rPr>
      </w:pPr>
      <w:r w:rsidDel="00000000" w:rsidR="00000000" w:rsidRPr="00000000">
        <w:rPr>
          <w:sz w:val="22"/>
          <w:szCs w:val="22"/>
          <w:rtl w:val="0"/>
        </w:rPr>
        <w:t xml:space="preserve">o</w:t>
      </w:r>
      <w:r w:rsidDel="00000000" w:rsidR="00000000" w:rsidRPr="00000000">
        <w:rPr>
          <w:sz w:val="22"/>
          <w:szCs w:val="22"/>
          <w:vertAlign w:val="baseline"/>
          <w:rtl w:val="0"/>
        </w:rPr>
        <w:t xml:space="preserve">pravy nebo zprostředkování opravy serveru,</w:t>
      </w:r>
    </w:p>
    <w:p w:rsidR="00000000" w:rsidDel="00000000" w:rsidP="00000000" w:rsidRDefault="00000000" w:rsidRPr="00000000" w14:paraId="000000F1">
      <w:pPr>
        <w:numPr>
          <w:ilvl w:val="1"/>
          <w:numId w:val="1"/>
        </w:numPr>
        <w:ind w:left="1440" w:hanging="360"/>
        <w:jc w:val="both"/>
        <w:rPr>
          <w:sz w:val="22"/>
          <w:szCs w:val="22"/>
          <w:u w:val="none"/>
          <w:vertAlign w:val="baseline"/>
        </w:rPr>
      </w:pPr>
      <w:r w:rsidDel="00000000" w:rsidR="00000000" w:rsidRPr="00000000">
        <w:rPr>
          <w:sz w:val="22"/>
          <w:szCs w:val="22"/>
          <w:rtl w:val="0"/>
        </w:rPr>
        <w:t xml:space="preserve">t</w:t>
      </w:r>
      <w:r w:rsidDel="00000000" w:rsidR="00000000" w:rsidRPr="00000000">
        <w:rPr>
          <w:sz w:val="22"/>
          <w:szCs w:val="22"/>
          <w:vertAlign w:val="baseline"/>
          <w:rtl w:val="0"/>
        </w:rPr>
        <w:t xml:space="preserve">echnická podpora a komunikace s dodavateli SW aplikací,</w:t>
      </w:r>
    </w:p>
    <w:p w:rsidR="00000000" w:rsidDel="00000000" w:rsidP="00000000" w:rsidRDefault="00000000" w:rsidRPr="00000000" w14:paraId="000000F2">
      <w:pPr>
        <w:numPr>
          <w:ilvl w:val="1"/>
          <w:numId w:val="1"/>
        </w:numPr>
        <w:ind w:left="1440" w:hanging="360"/>
        <w:jc w:val="both"/>
        <w:rPr>
          <w:sz w:val="22"/>
          <w:szCs w:val="22"/>
          <w:u w:val="none"/>
          <w:vertAlign w:val="baseline"/>
        </w:rPr>
      </w:pPr>
      <w:r w:rsidDel="00000000" w:rsidR="00000000" w:rsidRPr="00000000">
        <w:rPr>
          <w:sz w:val="22"/>
          <w:szCs w:val="22"/>
          <w:rtl w:val="0"/>
        </w:rPr>
        <w:t xml:space="preserve">u</w:t>
      </w:r>
      <w:r w:rsidDel="00000000" w:rsidR="00000000" w:rsidRPr="00000000">
        <w:rPr>
          <w:sz w:val="22"/>
          <w:szCs w:val="22"/>
          <w:vertAlign w:val="baseline"/>
          <w:rtl w:val="0"/>
        </w:rPr>
        <w:t xml:space="preserve">pgrade SW aplikací nebo zprostředkování upgrade SW aplikací dodavatelskou společností.</w:t>
      </w:r>
    </w:p>
    <w:p w:rsidR="00000000" w:rsidDel="00000000" w:rsidP="00000000" w:rsidRDefault="00000000" w:rsidRPr="00000000" w14:paraId="000000F3">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Vzdálená správa aktivní a pasivní sítě LAN/WAN/WLAN ve smyslu dohledové, konfigurační, servisní a s tím spojené činnosti.</w:t>
      </w:r>
      <w:r w:rsidDel="00000000" w:rsidR="00000000" w:rsidRPr="00000000">
        <w:rPr>
          <w:rtl w:val="0"/>
        </w:rPr>
      </w:r>
    </w:p>
    <w:p w:rsidR="00000000" w:rsidDel="00000000" w:rsidP="00000000" w:rsidRDefault="00000000" w:rsidRPr="00000000" w14:paraId="000000F4">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Poskytování nezbytné součinnosti při řešení požadavků školy, zejména součinnost se správci SW aplikací a poskytovatelem internetového připojení školy a s navazujícími subdodavateli.</w:t>
      </w:r>
      <w:r w:rsidDel="00000000" w:rsidR="00000000" w:rsidRPr="00000000">
        <w:rPr>
          <w:rtl w:val="0"/>
        </w:rPr>
      </w:r>
    </w:p>
    <w:p w:rsidR="00000000" w:rsidDel="00000000" w:rsidP="00000000" w:rsidRDefault="00000000" w:rsidRPr="00000000" w14:paraId="000000F5">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Podávání návrhu na úpravy a vylepšení IT sítí, HW, SW tak, aby škola mohla udržovat své IT prostředky v náležitém stavu.</w:t>
      </w:r>
      <w:r w:rsidDel="00000000" w:rsidR="00000000" w:rsidRPr="00000000">
        <w:rPr>
          <w:rtl w:val="0"/>
        </w:rPr>
      </w:r>
    </w:p>
    <w:p w:rsidR="00000000" w:rsidDel="00000000" w:rsidP="00000000" w:rsidRDefault="00000000" w:rsidRPr="00000000" w14:paraId="000000F6">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licenčních vztahů (především zprostředkování vybraných licenčních krytí, např. EES, MS365 a další).</w:t>
      </w:r>
      <w:r w:rsidDel="00000000" w:rsidR="00000000" w:rsidRPr="00000000">
        <w:rPr>
          <w:rtl w:val="0"/>
        </w:rPr>
      </w:r>
    </w:p>
    <w:p w:rsidR="00000000" w:rsidDel="00000000" w:rsidP="00000000" w:rsidRDefault="00000000" w:rsidRPr="00000000" w14:paraId="000000F7">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dotykového docházkového systému ve smyslu řešení poruchových stavů či databázových chyb (je-li používán).</w:t>
      </w:r>
      <w:r w:rsidDel="00000000" w:rsidR="00000000" w:rsidRPr="00000000">
        <w:rPr>
          <w:rtl w:val="0"/>
        </w:rPr>
      </w:r>
    </w:p>
    <w:p w:rsidR="00000000" w:rsidDel="00000000" w:rsidP="00000000" w:rsidRDefault="00000000" w:rsidRPr="00000000" w14:paraId="000000F8">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Správa webových stránek ve smyslu uživatelské podpory a řešení poruchových stavů.</w:t>
      </w:r>
      <w:r w:rsidDel="00000000" w:rsidR="00000000" w:rsidRPr="00000000">
        <w:rPr>
          <w:rtl w:val="0"/>
        </w:rPr>
      </w:r>
    </w:p>
    <w:p w:rsidR="00000000" w:rsidDel="00000000" w:rsidP="00000000" w:rsidRDefault="00000000" w:rsidRPr="00000000" w14:paraId="000000F9">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Další činnosti, spojené s výkonem výše uvedeného, tedy především správa mailových řešení, správa cloudových řešení a jejich návrh, kontrola logů, kontrola chyb OS, aktualizace OS, prevence, profylaxe, zajištění bezpečnosti, školení, údržba sítě, případně další činnosti, s uvedeným z technicky související či s nimi tvoří integrální či logickou součást.</w:t>
      </w:r>
      <w:r w:rsidDel="00000000" w:rsidR="00000000" w:rsidRPr="00000000">
        <w:rPr>
          <w:rtl w:val="0"/>
        </w:rPr>
      </w:r>
    </w:p>
    <w:p w:rsidR="00000000" w:rsidDel="00000000" w:rsidP="00000000" w:rsidRDefault="00000000" w:rsidRPr="00000000" w14:paraId="000000FA">
      <w:pPr>
        <w:numPr>
          <w:ilvl w:val="0"/>
          <w:numId w:val="17"/>
        </w:numPr>
        <w:ind w:left="425.19685039370086" w:hanging="360"/>
        <w:jc w:val="both"/>
        <w:rPr>
          <w:sz w:val="22"/>
          <w:szCs w:val="22"/>
          <w:u w:val="none"/>
          <w:vertAlign w:val="baseline"/>
        </w:rPr>
      </w:pPr>
      <w:r w:rsidDel="00000000" w:rsidR="00000000" w:rsidRPr="00000000">
        <w:rPr>
          <w:sz w:val="22"/>
          <w:szCs w:val="22"/>
          <w:vertAlign w:val="baseline"/>
          <w:rtl w:val="0"/>
        </w:rPr>
        <w:t xml:space="preserve">Optimalizace služeb třetích stran, tedy např. služby ISP, telefonie VOIP, EZS.</w:t>
      </w:r>
    </w:p>
    <w:p w:rsidR="00000000" w:rsidDel="00000000" w:rsidP="00000000" w:rsidRDefault="00000000" w:rsidRPr="00000000" w14:paraId="000000FB">
      <w:pPr>
        <w:rPr>
          <w:sz w:val="22"/>
          <w:szCs w:val="22"/>
          <w:vertAlign w:val="baseline"/>
        </w:rPr>
      </w:pPr>
      <w:r w:rsidDel="00000000" w:rsidR="00000000" w:rsidRPr="00000000">
        <w:rPr>
          <w:rtl w:val="0"/>
        </w:rPr>
      </w:r>
    </w:p>
    <w:p w:rsidR="00000000" w:rsidDel="00000000" w:rsidP="00000000" w:rsidRDefault="00000000" w:rsidRPr="00000000" w14:paraId="000000FC">
      <w:pPr>
        <w:shd w:fill="e6e6e6" w:val="clear"/>
        <w:spacing w:after="120" w:before="0" w:lineRule="auto"/>
        <w:jc w:val="center"/>
        <w:rPr>
          <w:sz w:val="22"/>
          <w:szCs w:val="22"/>
          <w:u w:val="single"/>
          <w:vertAlign w:val="baseline"/>
        </w:rPr>
      </w:pPr>
      <w:r w:rsidDel="00000000" w:rsidR="00000000" w:rsidRPr="00000000">
        <w:rPr>
          <w:b w:val="1"/>
          <w:sz w:val="22"/>
          <w:szCs w:val="22"/>
          <w:vertAlign w:val="baseline"/>
          <w:rtl w:val="0"/>
        </w:rPr>
        <w:t xml:space="preserve">II. Místo plnění</w:t>
      </w:r>
      <w:r w:rsidDel="00000000" w:rsidR="00000000" w:rsidRPr="00000000">
        <w:rPr>
          <w:rtl w:val="0"/>
        </w:rPr>
      </w:r>
    </w:p>
    <w:p w:rsidR="00000000" w:rsidDel="00000000" w:rsidP="00000000" w:rsidRDefault="00000000" w:rsidRPr="00000000" w14:paraId="000000FD">
      <w:pPr>
        <w:rPr>
          <w:sz w:val="22"/>
          <w:szCs w:val="22"/>
          <w:vertAlign w:val="baseline"/>
        </w:rPr>
      </w:pPr>
      <w:r w:rsidDel="00000000" w:rsidR="00000000" w:rsidRPr="00000000">
        <w:rPr>
          <w:sz w:val="22"/>
          <w:szCs w:val="22"/>
          <w:u w:val="single"/>
          <w:vertAlign w:val="baseline"/>
          <w:rtl w:val="0"/>
        </w:rPr>
        <w:t xml:space="preserve">Předmět plnění této smlouvy se vztahuje:</w:t>
      </w:r>
      <w:r w:rsidDel="00000000" w:rsidR="00000000" w:rsidRPr="00000000">
        <w:rPr>
          <w:rtl w:val="0"/>
        </w:rPr>
      </w:r>
    </w:p>
    <w:p w:rsidR="00000000" w:rsidDel="00000000" w:rsidP="00000000" w:rsidRDefault="00000000" w:rsidRPr="00000000" w14:paraId="000000FE">
      <w:pPr>
        <w:numPr>
          <w:ilvl w:val="0"/>
          <w:numId w:val="13"/>
        </w:numPr>
        <w:spacing w:after="60" w:before="60" w:lineRule="auto"/>
        <w:ind w:left="360" w:hanging="360"/>
        <w:rPr>
          <w:sz w:val="22"/>
          <w:szCs w:val="22"/>
        </w:rPr>
      </w:pPr>
      <w:r w:rsidDel="00000000" w:rsidR="00000000" w:rsidRPr="00000000">
        <w:rPr>
          <w:sz w:val="22"/>
          <w:szCs w:val="22"/>
          <w:vertAlign w:val="baseline"/>
          <w:rtl w:val="0"/>
        </w:rPr>
        <w:t xml:space="preserve">na sídlo společnosti odběratele v místě, kde odběratel prostředky výpočetní techniky umístil, </w:t>
      </w:r>
    </w:p>
    <w:p w:rsidR="00000000" w:rsidDel="00000000" w:rsidP="00000000" w:rsidRDefault="00000000" w:rsidRPr="00000000" w14:paraId="000000FF">
      <w:pPr>
        <w:numPr>
          <w:ilvl w:val="0"/>
          <w:numId w:val="13"/>
        </w:numPr>
        <w:spacing w:after="60" w:before="60" w:lineRule="auto"/>
        <w:ind w:left="357" w:right="0" w:hanging="357"/>
        <w:jc w:val="both"/>
        <w:rPr>
          <w:sz w:val="22"/>
          <w:szCs w:val="22"/>
        </w:rPr>
      </w:pPr>
      <w:r w:rsidDel="00000000" w:rsidR="00000000" w:rsidRPr="00000000">
        <w:rPr>
          <w:sz w:val="22"/>
          <w:szCs w:val="22"/>
          <w:vertAlign w:val="baseline"/>
          <w:rtl w:val="0"/>
        </w:rPr>
        <w:t xml:space="preserve">na sídlo dodavatele, v případě využití prostředků dálkového přístupu a vzdálené správy, nebo v případě, že opravu není možné z různých důvodů provést na místě, je dodavatel oprávněn po obdržení souhlasu odběratele, provést opravu v servisním středisku dodavatele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0">
      <w:pPr>
        <w:numPr>
          <w:ilvl w:val="0"/>
          <w:numId w:val="13"/>
        </w:numPr>
        <w:spacing w:after="60" w:before="60" w:lineRule="auto"/>
        <w:ind w:left="357" w:right="0" w:hanging="357"/>
        <w:jc w:val="both"/>
        <w:rPr>
          <w:sz w:val="22"/>
          <w:szCs w:val="22"/>
        </w:rPr>
      </w:pPr>
      <w:r w:rsidDel="00000000" w:rsidR="00000000" w:rsidRPr="00000000">
        <w:rPr>
          <w:sz w:val="22"/>
          <w:szCs w:val="22"/>
          <w:vertAlign w:val="baseline"/>
          <w:rtl w:val="0"/>
        </w:rPr>
        <w:t xml:space="preserve">Dodavatel je oprávněn jednat jménem odběratele s třetími stranami, které se podílejí, nebo podílely na dodávkách zařízení nebo služeb v oblasti ICT.</w:t>
      </w:r>
    </w:p>
    <w:p w:rsidR="00000000" w:rsidDel="00000000" w:rsidP="00000000" w:rsidRDefault="00000000" w:rsidRPr="00000000" w14:paraId="00000101">
      <w:pPr>
        <w:spacing w:after="60" w:before="60" w:lineRule="auto"/>
        <w:jc w:val="both"/>
        <w:rPr>
          <w:sz w:val="22"/>
          <w:szCs w:val="22"/>
          <w:vertAlign w:val="baseline"/>
        </w:rPr>
      </w:pPr>
      <w:r w:rsidDel="00000000" w:rsidR="00000000" w:rsidRPr="00000000">
        <w:rPr>
          <w:rtl w:val="0"/>
        </w:rPr>
      </w:r>
    </w:p>
    <w:p w:rsidR="00000000" w:rsidDel="00000000" w:rsidP="00000000" w:rsidRDefault="00000000" w:rsidRPr="00000000" w14:paraId="00000102">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III. Termíny plnění</w:t>
      </w:r>
      <w:r w:rsidDel="00000000" w:rsidR="00000000" w:rsidRPr="00000000">
        <w:rPr>
          <w:rtl w:val="0"/>
        </w:rPr>
      </w:r>
    </w:p>
    <w:p w:rsidR="00000000" w:rsidDel="00000000" w:rsidP="00000000" w:rsidRDefault="00000000" w:rsidRPr="00000000" w14:paraId="00000103">
      <w:pPr>
        <w:numPr>
          <w:ilvl w:val="0"/>
          <w:numId w:val="9"/>
        </w:numPr>
        <w:ind w:left="360" w:hanging="360"/>
        <w:jc w:val="both"/>
        <w:rPr>
          <w:sz w:val="22"/>
          <w:szCs w:val="22"/>
        </w:rPr>
      </w:pPr>
      <w:r w:rsidDel="00000000" w:rsidR="00000000" w:rsidRPr="00000000">
        <w:rPr>
          <w:sz w:val="22"/>
          <w:szCs w:val="22"/>
          <w:vertAlign w:val="baseline"/>
          <w:rtl w:val="0"/>
        </w:rPr>
        <w:t xml:space="preserve">Smlouva se uzavírá s účinností od </w:t>
      </w:r>
      <w:r w:rsidDel="00000000" w:rsidR="00000000" w:rsidRPr="00000000">
        <w:rPr>
          <w:b w:val="1"/>
          <w:sz w:val="22"/>
          <w:szCs w:val="22"/>
          <w:vertAlign w:val="baseline"/>
          <w:rtl w:val="0"/>
        </w:rPr>
        <w:t xml:space="preserve">1. </w:t>
      </w:r>
      <w:r w:rsidDel="00000000" w:rsidR="00000000" w:rsidRPr="00000000">
        <w:rPr>
          <w:b w:val="1"/>
          <w:sz w:val="22"/>
          <w:szCs w:val="22"/>
          <w:rtl w:val="0"/>
        </w:rPr>
        <w:t xml:space="preserve">7</w:t>
      </w:r>
      <w:r w:rsidDel="00000000" w:rsidR="00000000" w:rsidRPr="00000000">
        <w:rPr>
          <w:b w:val="1"/>
          <w:sz w:val="22"/>
          <w:szCs w:val="22"/>
          <w:vertAlign w:val="baseline"/>
          <w:rtl w:val="0"/>
        </w:rPr>
        <w:t xml:space="preserve">. 2025</w:t>
      </w:r>
      <w:r w:rsidDel="00000000" w:rsidR="00000000" w:rsidRPr="00000000">
        <w:rPr>
          <w:b w:val="1"/>
          <w:color w:val="ff0000"/>
          <w:sz w:val="22"/>
          <w:szCs w:val="22"/>
          <w:vertAlign w:val="baseline"/>
          <w:rtl w:val="0"/>
        </w:rPr>
        <w:t xml:space="preserve">  </w:t>
      </w:r>
      <w:r w:rsidDel="00000000" w:rsidR="00000000" w:rsidRPr="00000000">
        <w:rPr>
          <w:sz w:val="22"/>
          <w:szCs w:val="22"/>
          <w:vertAlign w:val="baseline"/>
          <w:rtl w:val="0"/>
        </w:rPr>
        <w:t xml:space="preserve">na dobu neurčitou s dvouměsíční výpovědní lhůtou, která počne běžet prvním dnem následujícího měsíce, po obdržení písemné výpovědi druhou smluvní stranou. </w:t>
      </w:r>
    </w:p>
    <w:p w:rsidR="00000000" w:rsidDel="00000000" w:rsidP="00000000" w:rsidRDefault="00000000" w:rsidRPr="00000000" w14:paraId="00000104">
      <w:pPr>
        <w:numPr>
          <w:ilvl w:val="0"/>
          <w:numId w:val="9"/>
        </w:numPr>
        <w:ind w:left="360" w:hanging="360"/>
        <w:jc w:val="both"/>
        <w:rPr>
          <w:sz w:val="20"/>
          <w:szCs w:val="20"/>
        </w:rPr>
      </w:pPr>
      <w:r w:rsidDel="00000000" w:rsidR="00000000" w:rsidRPr="00000000">
        <w:rPr>
          <w:sz w:val="22"/>
          <w:szCs w:val="22"/>
          <w:vertAlign w:val="baseline"/>
          <w:rtl w:val="0"/>
        </w:rPr>
        <w:t xml:space="preserve">Reakční doba v případě havarijní události, které znemožňují, výrazně omezují či zásadně narušují běžný provoz organizace je 3 hod</w:t>
      </w:r>
      <w:r w:rsidDel="00000000" w:rsidR="00000000" w:rsidRPr="00000000">
        <w:rPr>
          <w:sz w:val="22"/>
          <w:szCs w:val="22"/>
          <w:rtl w:val="0"/>
        </w:rPr>
        <w:t xml:space="preserve">iny od přijetí požadavku v pracovních dnech od 8:00 do 16:00.</w:t>
      </w:r>
      <w:r w:rsidDel="00000000" w:rsidR="00000000" w:rsidRPr="00000000">
        <w:rPr>
          <w:sz w:val="22"/>
          <w:szCs w:val="22"/>
          <w:vertAlign w:val="baseline"/>
          <w:rtl w:val="0"/>
        </w:rPr>
        <w:t xml:space="preserve"> V případě provozní situace, která nemá výrazný dopad na činnost organizace odběratele jako celku, tedy běžná servisní činnost, je reakční doba 36 hodin. Reakční dobou se rozumí zpětná vazba dodavatele na vzniklou či nahlášenou událost a stanovení postupu výkonu či výkon řešení vedoucí k odstranění poruchy bez zbytečného odkladu v rámci technických, technologických a jiných atributů či charakteru dané závady či události.</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567"/>
          <w:tab w:val="left" w:leader="none" w:pos="85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shd w:fill="e6e6e6" w:val="clear"/>
        <w:spacing w:after="120" w:before="0" w:lineRule="auto"/>
        <w:jc w:val="center"/>
        <w:rPr>
          <w:sz w:val="22"/>
          <w:szCs w:val="22"/>
          <w:u w:val="single"/>
          <w:vertAlign w:val="baseline"/>
        </w:rPr>
      </w:pPr>
      <w:r w:rsidDel="00000000" w:rsidR="00000000" w:rsidRPr="00000000">
        <w:rPr>
          <w:b w:val="1"/>
          <w:sz w:val="22"/>
          <w:szCs w:val="22"/>
          <w:vertAlign w:val="baseline"/>
          <w:rtl w:val="0"/>
        </w:rPr>
        <w:t xml:space="preserve">IV. Práva a povinnosti smluvních stran</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Odběratel se zavazuje:</w:t>
      </w:r>
      <w:r w:rsidDel="00000000" w:rsidR="00000000" w:rsidRPr="00000000">
        <w:rPr>
          <w:rtl w:val="0"/>
        </w:rPr>
      </w:r>
    </w:p>
    <w:p w:rsidR="00000000" w:rsidDel="00000000" w:rsidP="00000000" w:rsidRDefault="00000000" w:rsidRPr="00000000" w14:paraId="00000108">
      <w:pPr>
        <w:numPr>
          <w:ilvl w:val="0"/>
          <w:numId w:val="7"/>
        </w:numPr>
        <w:ind w:left="720" w:hanging="360"/>
        <w:jc w:val="both"/>
        <w:rPr>
          <w:sz w:val="22"/>
          <w:szCs w:val="22"/>
        </w:rPr>
      </w:pPr>
      <w:r w:rsidDel="00000000" w:rsidR="00000000" w:rsidRPr="00000000">
        <w:rPr>
          <w:sz w:val="22"/>
          <w:szCs w:val="22"/>
          <w:vertAlign w:val="baseline"/>
          <w:rtl w:val="0"/>
        </w:rPr>
        <w:t xml:space="preserve">Umožnit dodavateli ve sjednaném termínu provádět dohodnutou činnost, poskytnout a zajistit potřebnou vlastní součinnost, ale i třetích osob, jestliže je to pro výkon služeb potřebné.  </w:t>
      </w:r>
    </w:p>
    <w:p w:rsidR="00000000" w:rsidDel="00000000" w:rsidP="00000000" w:rsidRDefault="00000000" w:rsidRPr="00000000" w14:paraId="00000109">
      <w:pPr>
        <w:numPr>
          <w:ilvl w:val="0"/>
          <w:numId w:val="7"/>
        </w:numPr>
        <w:ind w:left="720" w:hanging="360"/>
        <w:jc w:val="both"/>
        <w:rPr>
          <w:sz w:val="22"/>
          <w:szCs w:val="22"/>
        </w:rPr>
      </w:pPr>
      <w:r w:rsidDel="00000000" w:rsidR="00000000" w:rsidRPr="00000000">
        <w:rPr>
          <w:sz w:val="22"/>
          <w:szCs w:val="22"/>
          <w:vertAlign w:val="baseline"/>
          <w:rtl w:val="0"/>
        </w:rPr>
        <w:t xml:space="preserve">Předložit dodavateli na vyžádání veškerou dokumentaci související s informačním systémem, umožnit přístup do všech prostor, ve kterých je zapotřebí ověřit funkci informačního systému a poskytnout požadované informace.</w:t>
      </w:r>
      <w:r w:rsidDel="00000000" w:rsidR="00000000" w:rsidRPr="00000000">
        <w:rPr>
          <w:rtl w:val="0"/>
        </w:rPr>
      </w:r>
    </w:p>
    <w:p w:rsidR="00000000" w:rsidDel="00000000" w:rsidP="00000000" w:rsidRDefault="00000000" w:rsidRPr="00000000" w14:paraId="0000010A">
      <w:pPr>
        <w:numPr>
          <w:ilvl w:val="0"/>
          <w:numId w:val="7"/>
        </w:numPr>
        <w:ind w:left="720" w:hanging="360"/>
        <w:jc w:val="both"/>
        <w:rPr>
          <w:sz w:val="22"/>
          <w:szCs w:val="22"/>
        </w:rPr>
      </w:pPr>
      <w:r w:rsidDel="00000000" w:rsidR="00000000" w:rsidRPr="00000000">
        <w:rPr>
          <w:sz w:val="22"/>
          <w:szCs w:val="22"/>
          <w:vertAlign w:val="baseline"/>
          <w:rtl w:val="0"/>
        </w:rPr>
        <w:t xml:space="preserve">Umožnit dodavateli a jeho pracovníkům přístup k zařízení a programům na úrovni správce systému.</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Odběratel má právo:</w:t>
      </w:r>
      <w:r w:rsidDel="00000000" w:rsidR="00000000" w:rsidRPr="00000000">
        <w:rPr>
          <w:rtl w:val="0"/>
        </w:rPr>
      </w:r>
    </w:p>
    <w:p w:rsidR="00000000" w:rsidDel="00000000" w:rsidP="00000000" w:rsidRDefault="00000000" w:rsidRPr="00000000" w14:paraId="0000010C">
      <w:pPr>
        <w:numPr>
          <w:ilvl w:val="0"/>
          <w:numId w:val="8"/>
        </w:numPr>
        <w:ind w:left="720" w:hanging="360"/>
        <w:jc w:val="both"/>
        <w:rPr>
          <w:sz w:val="22"/>
          <w:szCs w:val="22"/>
        </w:rPr>
      </w:pPr>
      <w:r w:rsidDel="00000000" w:rsidR="00000000" w:rsidRPr="00000000">
        <w:rPr>
          <w:sz w:val="22"/>
          <w:szCs w:val="22"/>
          <w:vertAlign w:val="baseline"/>
          <w:rtl w:val="0"/>
        </w:rPr>
        <w:t xml:space="preserve">Být v době plnění dodavatelem bez zbytečných odkladů informován o stavu a průběhu prací specifikovaných v této smlouvě.</w:t>
      </w:r>
      <w:r w:rsidDel="00000000" w:rsidR="00000000" w:rsidRPr="00000000">
        <w:rPr>
          <w:rtl w:val="0"/>
        </w:rPr>
      </w:r>
    </w:p>
    <w:p w:rsidR="00000000" w:rsidDel="00000000" w:rsidP="00000000" w:rsidRDefault="00000000" w:rsidRPr="00000000" w14:paraId="0000010D">
      <w:pPr>
        <w:numPr>
          <w:ilvl w:val="0"/>
          <w:numId w:val="8"/>
        </w:numPr>
        <w:ind w:left="720" w:hanging="360"/>
        <w:jc w:val="both"/>
        <w:rPr>
          <w:sz w:val="22"/>
          <w:szCs w:val="22"/>
        </w:rPr>
      </w:pPr>
      <w:r w:rsidDel="00000000" w:rsidR="00000000" w:rsidRPr="00000000">
        <w:rPr>
          <w:sz w:val="22"/>
          <w:szCs w:val="22"/>
          <w:vertAlign w:val="baseline"/>
          <w:rtl w:val="0"/>
        </w:rPr>
        <w:t xml:space="preserve">Být seznámen s výsledky plnění smlouvy. </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Dodavatel se zavazuje:</w:t>
      </w:r>
      <w:r w:rsidDel="00000000" w:rsidR="00000000" w:rsidRPr="00000000">
        <w:rPr>
          <w:rtl w:val="0"/>
        </w:rPr>
      </w:r>
    </w:p>
    <w:p w:rsidR="00000000" w:rsidDel="00000000" w:rsidP="00000000" w:rsidRDefault="00000000" w:rsidRPr="00000000" w14:paraId="0000010F">
      <w:pPr>
        <w:numPr>
          <w:ilvl w:val="0"/>
          <w:numId w:val="14"/>
        </w:numPr>
        <w:ind w:left="720" w:hanging="360"/>
        <w:jc w:val="both"/>
        <w:rPr>
          <w:sz w:val="22"/>
          <w:szCs w:val="22"/>
        </w:rPr>
      </w:pPr>
      <w:r w:rsidDel="00000000" w:rsidR="00000000" w:rsidRPr="00000000">
        <w:rPr>
          <w:sz w:val="22"/>
          <w:szCs w:val="22"/>
          <w:vertAlign w:val="baseline"/>
          <w:rtl w:val="0"/>
        </w:rPr>
        <w:t xml:space="preserve">Plnění této smlouvy ve sjednaných termínech.</w:t>
      </w:r>
    </w:p>
    <w:p w:rsidR="00000000" w:rsidDel="00000000" w:rsidP="00000000" w:rsidRDefault="00000000" w:rsidRPr="00000000" w14:paraId="00000110">
      <w:pPr>
        <w:numPr>
          <w:ilvl w:val="0"/>
          <w:numId w:val="14"/>
        </w:numPr>
        <w:ind w:left="720" w:hanging="360"/>
        <w:jc w:val="both"/>
        <w:rPr>
          <w:sz w:val="22"/>
          <w:szCs w:val="22"/>
        </w:rPr>
      </w:pPr>
      <w:r w:rsidDel="00000000" w:rsidR="00000000" w:rsidRPr="00000000">
        <w:rPr>
          <w:sz w:val="22"/>
          <w:szCs w:val="22"/>
          <w:vertAlign w:val="baseline"/>
          <w:rtl w:val="0"/>
        </w:rPr>
        <w:t xml:space="preserve">Informovat odběratele, v časovém předstihu, o rozšíření rozsahu prací nad rámec této smlouvy resp. paušálního tarifu a toto s odběratelem odsouhlasit.   </w:t>
      </w:r>
    </w:p>
    <w:p w:rsidR="00000000" w:rsidDel="00000000" w:rsidP="00000000" w:rsidRDefault="00000000" w:rsidRPr="00000000" w14:paraId="00000111">
      <w:pPr>
        <w:numPr>
          <w:ilvl w:val="0"/>
          <w:numId w:val="14"/>
        </w:numPr>
        <w:ind w:left="720" w:hanging="360"/>
        <w:jc w:val="both"/>
        <w:rPr>
          <w:sz w:val="22"/>
          <w:szCs w:val="22"/>
        </w:rPr>
      </w:pPr>
      <w:r w:rsidDel="00000000" w:rsidR="00000000" w:rsidRPr="00000000">
        <w:rPr>
          <w:sz w:val="22"/>
          <w:szCs w:val="22"/>
          <w:rtl w:val="0"/>
        </w:rPr>
        <w:t xml:space="preserve">Zachovávat</w:t>
      </w:r>
      <w:r w:rsidDel="00000000" w:rsidR="00000000" w:rsidRPr="00000000">
        <w:rPr>
          <w:sz w:val="22"/>
          <w:szCs w:val="22"/>
          <w:vertAlign w:val="baseline"/>
          <w:rtl w:val="0"/>
        </w:rPr>
        <w:t xml:space="preserve"> mlčenlivost o informacích získaných během působení ve společnosti a bez souhlasu odběratele je nepostupovat třetí osobě.</w:t>
      </w:r>
    </w:p>
    <w:p w:rsidR="00000000" w:rsidDel="00000000" w:rsidP="00000000" w:rsidRDefault="00000000" w:rsidRPr="00000000" w14:paraId="00000112">
      <w:pPr>
        <w:numPr>
          <w:ilvl w:val="0"/>
          <w:numId w:val="14"/>
        </w:numPr>
        <w:ind w:left="720" w:hanging="360"/>
        <w:jc w:val="both"/>
        <w:rPr>
          <w:sz w:val="22"/>
          <w:szCs w:val="22"/>
        </w:rPr>
      </w:pPr>
      <w:r w:rsidDel="00000000" w:rsidR="00000000" w:rsidRPr="00000000">
        <w:rPr>
          <w:sz w:val="22"/>
          <w:szCs w:val="22"/>
          <w:vertAlign w:val="baseline"/>
          <w:rtl w:val="0"/>
        </w:rPr>
        <w:t xml:space="preserve">Vynaložit všechny možné globální a dílčí kroky v rámci své činnosti v oblasti zabezpečení uchovávaných dat a jejich dostupnosti.</w:t>
      </w:r>
      <w:r w:rsidDel="00000000" w:rsidR="00000000" w:rsidRPr="00000000">
        <w:rPr>
          <w:rtl w:val="0"/>
        </w:rPr>
      </w:r>
    </w:p>
    <w:p w:rsidR="00000000" w:rsidDel="00000000" w:rsidP="00000000" w:rsidRDefault="00000000" w:rsidRPr="00000000" w14:paraId="00000113">
      <w:pPr>
        <w:numPr>
          <w:ilvl w:val="0"/>
          <w:numId w:val="14"/>
        </w:numPr>
        <w:ind w:left="720" w:hanging="360"/>
        <w:jc w:val="both"/>
        <w:rPr>
          <w:sz w:val="22"/>
          <w:szCs w:val="22"/>
        </w:rPr>
      </w:pPr>
      <w:r w:rsidDel="00000000" w:rsidR="00000000" w:rsidRPr="00000000">
        <w:rPr>
          <w:sz w:val="22"/>
          <w:szCs w:val="22"/>
          <w:vertAlign w:val="baseline"/>
          <w:rtl w:val="0"/>
        </w:rPr>
        <w:t xml:space="preserve">Svěřené a spravované informace a data pokládat za důvěrné a takto k nim přistupovat, včetně v</w:t>
      </w:r>
      <w:r w:rsidDel="00000000" w:rsidR="00000000" w:rsidRPr="00000000">
        <w:rPr>
          <w:sz w:val="22"/>
          <w:szCs w:val="22"/>
          <w:rtl w:val="0"/>
        </w:rPr>
        <w:t xml:space="preserve">šech závazků vůči pravidlům GDPR tak, jak je musí dodržovat odběratel</w:t>
      </w:r>
      <w:r w:rsidDel="00000000" w:rsidR="00000000" w:rsidRPr="00000000">
        <w:rPr>
          <w:sz w:val="22"/>
          <w:szCs w:val="22"/>
          <w:vertAlign w:val="baseline"/>
          <w:rtl w:val="0"/>
        </w:rPr>
        <w:t xml:space="preserve">.</w:t>
      </w:r>
      <w:r w:rsidDel="00000000" w:rsidR="00000000" w:rsidRPr="00000000">
        <w:rPr>
          <w:rtl w:val="0"/>
        </w:rPr>
      </w:r>
    </w:p>
    <w:p w:rsidR="00000000" w:rsidDel="00000000" w:rsidP="00000000" w:rsidRDefault="00000000" w:rsidRPr="00000000" w14:paraId="00000114">
      <w:pPr>
        <w:numPr>
          <w:ilvl w:val="0"/>
          <w:numId w:val="13"/>
        </w:numPr>
        <w:ind w:left="360" w:hanging="360"/>
        <w:jc w:val="both"/>
        <w:rPr>
          <w:sz w:val="22"/>
          <w:szCs w:val="22"/>
        </w:rPr>
      </w:pPr>
      <w:r w:rsidDel="00000000" w:rsidR="00000000" w:rsidRPr="00000000">
        <w:rPr>
          <w:sz w:val="22"/>
          <w:szCs w:val="22"/>
          <w:u w:val="single"/>
          <w:vertAlign w:val="baseline"/>
          <w:rtl w:val="0"/>
        </w:rPr>
        <w:t xml:space="preserve">Dodavatel je oprávněn:</w:t>
      </w:r>
      <w:r w:rsidDel="00000000" w:rsidR="00000000" w:rsidRPr="00000000">
        <w:rPr>
          <w:rtl w:val="0"/>
        </w:rPr>
      </w:r>
    </w:p>
    <w:p w:rsidR="00000000" w:rsidDel="00000000" w:rsidP="00000000" w:rsidRDefault="00000000" w:rsidRPr="00000000" w14:paraId="00000115">
      <w:pPr>
        <w:numPr>
          <w:ilvl w:val="0"/>
          <w:numId w:val="15"/>
        </w:numPr>
        <w:ind w:left="720" w:hanging="360"/>
        <w:jc w:val="both"/>
        <w:rPr>
          <w:sz w:val="22"/>
          <w:szCs w:val="22"/>
        </w:rPr>
      </w:pPr>
      <w:r w:rsidDel="00000000" w:rsidR="00000000" w:rsidRPr="00000000">
        <w:rPr>
          <w:sz w:val="22"/>
          <w:szCs w:val="22"/>
          <w:vertAlign w:val="baseline"/>
          <w:rtl w:val="0"/>
        </w:rPr>
        <w:t xml:space="preserve">V případě nemoci za sebe vyslat adekvátní náhradu.</w:t>
      </w:r>
    </w:p>
    <w:p w:rsidR="00000000" w:rsidDel="00000000" w:rsidP="00000000" w:rsidRDefault="00000000" w:rsidRPr="00000000" w14:paraId="00000116">
      <w:pPr>
        <w:rPr>
          <w:sz w:val="22"/>
          <w:szCs w:val="22"/>
          <w:vertAlign w:val="baseline"/>
        </w:rPr>
      </w:pPr>
      <w:r w:rsidDel="00000000" w:rsidR="00000000" w:rsidRPr="00000000">
        <w:rPr>
          <w:rtl w:val="0"/>
        </w:rPr>
      </w:r>
    </w:p>
    <w:p w:rsidR="00000000" w:rsidDel="00000000" w:rsidP="00000000" w:rsidRDefault="00000000" w:rsidRPr="00000000" w14:paraId="00000117">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V. Cena plnění</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řídí ustanoveními zákona č. 526/1990 Sb. o cenách. V případě plnění této smlouvy, je služba poskytována – nakupována dopředu (viz paušální tarif) a plnění je prováděno dle konkrétních požadavků odběratele.</w:t>
      </w:r>
    </w:p>
    <w:p w:rsidR="00000000" w:rsidDel="00000000" w:rsidP="00000000" w:rsidRDefault="00000000" w:rsidRPr="00000000" w14:paraId="000001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Odběratel si paušálním tarifem předplácí práce v rozsahu předmětu plnění. Tento paušální tarif odběratel čerpá v libovolném termínu aktuálního měsíce. </w:t>
      </w:r>
    </w:p>
    <w:p w:rsidR="00000000" w:rsidDel="00000000" w:rsidP="00000000" w:rsidRDefault="00000000" w:rsidRPr="00000000" w14:paraId="000001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nadstandardní činnosti s vysokou odbornou náročností nebo při lokalizaci neobvyklé závady a jejího řešení se mohou smluvní strany dohodnout na úplatě nad rámec paušálního tarifu v rámci vícepráce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0" w:right="0" w:firstLine="0"/>
        <w:jc w:val="both"/>
        <w:rPr>
          <w:rFonts w:ascii="Times New Roman" w:cs="Times New Roman" w:eastAsia="Times New Roman" w:hAnsi="Times New Roman"/>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VI.  Platební a fakturační podmínky</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Fakturace bude provedena v rozsahu předmětu plnění, specifikovaného v bodě 1 této smlouvy a to od</w:t>
      </w:r>
      <w:r w:rsidDel="00000000" w:rsidR="00000000" w:rsidRPr="00000000">
        <w:rPr>
          <w:sz w:val="22"/>
          <w:szCs w:val="22"/>
          <w:rtl w:val="0"/>
        </w:rPr>
        <w:t xml:space="preserve">e dne účinnosti této smlouvy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včetně.</w:t>
      </w:r>
    </w:p>
    <w:p w:rsidR="00000000" w:rsidDel="00000000" w:rsidP="00000000" w:rsidRDefault="00000000" w:rsidRPr="00000000" w14:paraId="000001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Daňový doklad je dodavatel povinen vystavit na podkladě provedeného díla prostého vad a nedodělků, vyjma úhrady paušálního tarifu (viz čl. V, odst. 2).</w:t>
      </w:r>
    </w:p>
    <w:p w:rsidR="00000000" w:rsidDel="00000000" w:rsidP="00000000" w:rsidRDefault="00000000" w:rsidRPr="00000000" w14:paraId="0000011F">
      <w:pPr>
        <w:numPr>
          <w:ilvl w:val="0"/>
          <w:numId w:val="5"/>
        </w:numPr>
        <w:ind w:left="360" w:hanging="360"/>
        <w:jc w:val="both"/>
        <w:rPr>
          <w:sz w:val="22"/>
          <w:szCs w:val="22"/>
        </w:rPr>
      </w:pPr>
      <w:r w:rsidDel="00000000" w:rsidR="00000000" w:rsidRPr="00000000">
        <w:rPr>
          <w:sz w:val="22"/>
          <w:szCs w:val="22"/>
          <w:vertAlign w:val="baseline"/>
          <w:rtl w:val="0"/>
        </w:rPr>
        <w:t xml:space="preserve">Odběratel se zavazuje uhradit paušální měsíční částku ve výši </w:t>
      </w:r>
      <w:r w:rsidDel="00000000" w:rsidR="00000000" w:rsidRPr="00000000">
        <w:rPr>
          <w:b w:val="1"/>
          <w:sz w:val="22"/>
          <w:szCs w:val="22"/>
          <w:rtl w:val="0"/>
        </w:rPr>
        <w:t xml:space="preserve">18.500,-</w:t>
      </w:r>
      <w:r w:rsidDel="00000000" w:rsidR="00000000" w:rsidRPr="00000000">
        <w:rPr>
          <w:b w:val="1"/>
          <w:sz w:val="22"/>
          <w:szCs w:val="22"/>
          <w:vertAlign w:val="baseline"/>
          <w:rtl w:val="0"/>
        </w:rPr>
        <w:t xml:space="preserve"> Kč</w:t>
      </w:r>
      <w:r w:rsidDel="00000000" w:rsidR="00000000" w:rsidRPr="00000000">
        <w:rPr>
          <w:sz w:val="22"/>
          <w:szCs w:val="22"/>
          <w:vertAlign w:val="baseline"/>
          <w:rtl w:val="0"/>
        </w:rPr>
        <w:t xml:space="preserve"> za pa</w:t>
      </w:r>
      <w:r w:rsidDel="00000000" w:rsidR="00000000" w:rsidRPr="00000000">
        <w:rPr>
          <w:sz w:val="22"/>
          <w:szCs w:val="22"/>
          <w:vertAlign w:val="baseline"/>
          <w:rtl w:val="0"/>
        </w:rPr>
        <w:t xml:space="preserve">ušální tarif, a to na základě dodavatelem vystaveného daňového dokladu, který bude vystaven vždy k prvnímu dni v měsíci, za který je vystaven. Uvedená cena je vče</w:t>
      </w:r>
      <w:r w:rsidDel="00000000" w:rsidR="00000000" w:rsidRPr="00000000">
        <w:rPr>
          <w:sz w:val="22"/>
          <w:szCs w:val="22"/>
          <w:rtl w:val="0"/>
        </w:rPr>
        <w:t xml:space="preserve">tně</w:t>
      </w:r>
      <w:r w:rsidDel="00000000" w:rsidR="00000000" w:rsidRPr="00000000">
        <w:rPr>
          <w:sz w:val="22"/>
          <w:szCs w:val="22"/>
          <w:vertAlign w:val="baseline"/>
          <w:rtl w:val="0"/>
        </w:rPr>
        <w:t xml:space="preserve"> DPH. </w:t>
      </w:r>
    </w:p>
    <w:p w:rsidR="00000000" w:rsidDel="00000000" w:rsidP="00000000" w:rsidRDefault="00000000" w:rsidRPr="00000000" w14:paraId="000001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Splatnost daňového dokladu, kterým odběratel hradí paušální tarif, je 14 kalendářních dnů od data jeho doručení odběrateli. </w:t>
      </w:r>
    </w:p>
    <w:p w:rsidR="00000000" w:rsidDel="00000000" w:rsidP="00000000" w:rsidRDefault="00000000" w:rsidRPr="00000000" w14:paraId="000001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Splatnost daňových dokladů, kterým odběratel hradí vícepráce, které byly vykonány nad stanovený paušální tarif, je vždy na vzájemné dohodě.</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26">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VII. Smluvní pokuty a úrok z prodlení</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že odběratel neuhradí daňové doklady ve stanovené lhůtě, je dodavatel oprávněn vyúčtovat úrok z prodlení ve výši stanovené nařízením vlády č. 163/2005 Sb. z dlužné částky za každý den prodlení s její úhradou, ve výši 0,05 %.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right="0"/>
        <w:jc w:val="both"/>
        <w:rPr>
          <w:sz w:val="22"/>
          <w:szCs w:val="22"/>
        </w:rPr>
      </w:pPr>
      <w:r w:rsidDel="00000000" w:rsidR="00000000" w:rsidRPr="00000000">
        <w:rPr>
          <w:rtl w:val="0"/>
        </w:rPr>
      </w:r>
    </w:p>
    <w:p w:rsidR="00000000" w:rsidDel="00000000" w:rsidP="00000000" w:rsidRDefault="00000000" w:rsidRPr="00000000" w14:paraId="00000129">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VIII. Záruka za jakost</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Dodavatel ručí za jakost a funkčnost realizovaných služeb, za předpokladu, že do předmětu plnění a informačního systému školy nezasáhne odběratel či jeho oprávněná osoba, popř. jiná strana negativně.</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včetně záruky za jakost se nevztahuje na řešení mimořádných stavů vzniklých v důsledku:</w:t>
      </w:r>
    </w:p>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náhlého a smlouvou nepředpokládaného působení přírodních sil (např. požár, výbuch, povodeň)</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nedodržení parametrů prostředí, předepsaných v uživatelské nebo technické dokumentaci výrobce prvku.</w:t>
      </w:r>
    </w:p>
    <w:p w:rsidR="00000000" w:rsidDel="00000000" w:rsidP="00000000" w:rsidRDefault="00000000" w:rsidRPr="00000000" w14:paraId="0000012E">
      <w:pPr>
        <w:jc w:val="both"/>
        <w:rPr>
          <w:sz w:val="22"/>
          <w:szCs w:val="22"/>
          <w:vertAlign w:val="baseline"/>
        </w:rPr>
      </w:pPr>
      <w:r w:rsidDel="00000000" w:rsidR="00000000" w:rsidRPr="00000000">
        <w:rPr>
          <w:rtl w:val="0"/>
        </w:rPr>
      </w:r>
    </w:p>
    <w:p w:rsidR="00000000" w:rsidDel="00000000" w:rsidP="00000000" w:rsidRDefault="00000000" w:rsidRPr="00000000" w14:paraId="0000012F">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IX. Závěrečná ustanovení</w:t>
      </w:r>
      <w:r w:rsidDel="00000000" w:rsidR="00000000" w:rsidRPr="00000000">
        <w:rPr>
          <w:rtl w:val="0"/>
        </w:rPr>
      </w:r>
    </w:p>
    <w:p w:rsidR="00000000" w:rsidDel="00000000" w:rsidP="00000000" w:rsidRDefault="00000000" w:rsidRPr="00000000" w14:paraId="00000130">
      <w:pPr>
        <w:numPr>
          <w:ilvl w:val="0"/>
          <w:numId w:val="16"/>
        </w:numPr>
        <w:ind w:left="360" w:hanging="360"/>
        <w:jc w:val="both"/>
        <w:rPr>
          <w:sz w:val="22"/>
          <w:szCs w:val="22"/>
        </w:rPr>
      </w:pPr>
      <w:r w:rsidDel="00000000" w:rsidR="00000000" w:rsidRPr="00000000">
        <w:rPr>
          <w:sz w:val="22"/>
          <w:szCs w:val="22"/>
          <w:vertAlign w:val="baseline"/>
          <w:rtl w:val="0"/>
        </w:rPr>
        <w:t xml:space="preserve">Tuto smlouvu lze měnit nebo zrušit pouze písemným, oboustranně potvrzeným smluvním ujednáním, podepsaným pověřenými zástupci obou stran.</w:t>
      </w:r>
    </w:p>
    <w:p w:rsidR="00000000" w:rsidDel="00000000" w:rsidP="00000000" w:rsidRDefault="00000000" w:rsidRPr="00000000" w14:paraId="00000131">
      <w:pPr>
        <w:numPr>
          <w:ilvl w:val="0"/>
          <w:numId w:val="16"/>
        </w:numPr>
        <w:ind w:left="360" w:hanging="360"/>
        <w:jc w:val="both"/>
        <w:rPr>
          <w:sz w:val="22"/>
          <w:szCs w:val="22"/>
        </w:rPr>
      </w:pPr>
      <w:r w:rsidDel="00000000" w:rsidR="00000000" w:rsidRPr="00000000">
        <w:rPr>
          <w:sz w:val="22"/>
          <w:szCs w:val="22"/>
          <w:vertAlign w:val="baseline"/>
          <w:rtl w:val="0"/>
        </w:rPr>
        <w:t xml:space="preserve">Tuto smlouvu lze ukončit dohodou smluvních stran nebo písemnou výpovědí i bez udání důvodu s dvouměsíční výpovědní lhůtou, která začíná běžet prvním dnem měsíce následujícím po doručení písemné výpovědi.</w:t>
      </w:r>
    </w:p>
    <w:p w:rsidR="00000000" w:rsidDel="00000000" w:rsidP="00000000" w:rsidRDefault="00000000" w:rsidRPr="00000000" w14:paraId="00000132">
      <w:pPr>
        <w:numPr>
          <w:ilvl w:val="0"/>
          <w:numId w:val="16"/>
        </w:numPr>
        <w:ind w:left="360" w:hanging="360"/>
        <w:jc w:val="both"/>
        <w:rPr>
          <w:sz w:val="22"/>
          <w:szCs w:val="22"/>
        </w:rPr>
      </w:pPr>
      <w:r w:rsidDel="00000000" w:rsidR="00000000" w:rsidRPr="00000000">
        <w:rPr>
          <w:sz w:val="22"/>
          <w:szCs w:val="22"/>
          <w:vertAlign w:val="baseline"/>
          <w:rtl w:val="0"/>
        </w:rPr>
        <w:t xml:space="preserve">Dodatky k této smlouvě lze uzavírat jen v písemné formě s číselným označením dodatku.</w:t>
      </w:r>
    </w:p>
    <w:p w:rsidR="00000000" w:rsidDel="00000000" w:rsidP="00000000" w:rsidRDefault="00000000" w:rsidRPr="00000000" w14:paraId="00000133">
      <w:pPr>
        <w:numPr>
          <w:ilvl w:val="0"/>
          <w:numId w:val="16"/>
        </w:numPr>
        <w:ind w:left="360" w:hanging="360"/>
        <w:jc w:val="both"/>
        <w:rPr>
          <w:sz w:val="22"/>
          <w:szCs w:val="22"/>
        </w:rPr>
      </w:pPr>
      <w:r w:rsidDel="00000000" w:rsidR="00000000" w:rsidRPr="00000000">
        <w:rPr>
          <w:sz w:val="22"/>
          <w:szCs w:val="22"/>
          <w:vertAlign w:val="baseline"/>
          <w:rtl w:val="0"/>
        </w:rPr>
        <w:t xml:space="preserve">Práva a povinnosti neupravené touto smlouvou se řídí ustanoveními obchodního zákoníku č. 513/1991 Sb. ve znění pozdějších předpisů.</w:t>
      </w:r>
    </w:p>
    <w:p w:rsidR="00000000" w:rsidDel="00000000" w:rsidP="00000000" w:rsidRDefault="00000000" w:rsidRPr="00000000" w14:paraId="00000134">
      <w:pPr>
        <w:numPr>
          <w:ilvl w:val="0"/>
          <w:numId w:val="16"/>
        </w:numPr>
        <w:ind w:left="360" w:hanging="360"/>
        <w:jc w:val="both"/>
        <w:rPr>
          <w:sz w:val="22"/>
          <w:szCs w:val="22"/>
        </w:rPr>
      </w:pPr>
      <w:r w:rsidDel="00000000" w:rsidR="00000000" w:rsidRPr="00000000">
        <w:rPr>
          <w:sz w:val="22"/>
          <w:szCs w:val="22"/>
          <w:vertAlign w:val="baseline"/>
          <w:rtl w:val="0"/>
        </w:rPr>
        <w:t xml:space="preserve">Dodavatel se zavazuje, že bude respektovat a chránit důvěrnost všech informací, které získá během své činnosti u odběratele, včetně všech dokumentů, a že nebude kopírovat ani jiným způsobem reprodukovat jakoukoli část dokumentů obdržených pro účely posuzování. Dále prohlašuje, že nebude jednat žádným způsobem ke škodě pověsti organizace, pro kterou vykonává služby definované touto smlouvou.</w:t>
      </w:r>
    </w:p>
    <w:p w:rsidR="00000000" w:rsidDel="00000000" w:rsidP="00000000" w:rsidRDefault="00000000" w:rsidRPr="00000000" w14:paraId="00000135">
      <w:pPr>
        <w:numPr>
          <w:ilvl w:val="0"/>
          <w:numId w:val="16"/>
        </w:numPr>
        <w:ind w:left="360" w:hanging="360"/>
        <w:jc w:val="both"/>
        <w:rPr>
          <w:sz w:val="22"/>
          <w:szCs w:val="22"/>
        </w:rPr>
      </w:pPr>
      <w:r w:rsidDel="00000000" w:rsidR="00000000" w:rsidRPr="00000000">
        <w:rPr>
          <w:sz w:val="22"/>
          <w:szCs w:val="22"/>
          <w:vertAlign w:val="baseline"/>
          <w:rtl w:val="0"/>
        </w:rPr>
        <w:t xml:space="preserve">Tato smlouva nabývá platnosti podpisem obou smluvních stran.</w:t>
      </w:r>
    </w:p>
    <w:p w:rsidR="00000000" w:rsidDel="00000000" w:rsidP="00000000" w:rsidRDefault="00000000" w:rsidRPr="00000000" w14:paraId="00000136">
      <w:pPr>
        <w:jc w:val="both"/>
        <w:rPr>
          <w:sz w:val="22"/>
          <w:szCs w:val="22"/>
          <w:vertAlign w:val="baseline"/>
        </w:rPr>
      </w:pPr>
      <w:r w:rsidDel="00000000" w:rsidR="00000000" w:rsidRPr="00000000">
        <w:rPr>
          <w:rtl w:val="0"/>
        </w:rPr>
      </w:r>
    </w:p>
    <w:p w:rsidR="00000000" w:rsidDel="00000000" w:rsidP="00000000" w:rsidRDefault="00000000" w:rsidRPr="00000000" w14:paraId="00000137">
      <w:pPr>
        <w:shd w:fill="e6e6e6" w:val="clear"/>
        <w:spacing w:after="120" w:before="0" w:lineRule="auto"/>
        <w:jc w:val="center"/>
        <w:rPr>
          <w:sz w:val="22"/>
          <w:szCs w:val="22"/>
          <w:vertAlign w:val="baseline"/>
        </w:rPr>
      </w:pPr>
      <w:r w:rsidDel="00000000" w:rsidR="00000000" w:rsidRPr="00000000">
        <w:rPr>
          <w:b w:val="1"/>
          <w:sz w:val="22"/>
          <w:szCs w:val="22"/>
          <w:vertAlign w:val="baseline"/>
          <w:rtl w:val="0"/>
        </w:rPr>
        <w:t xml:space="preserve">X. Podpisy smluvních stran</w:t>
      </w:r>
      <w:r w:rsidDel="00000000" w:rsidR="00000000" w:rsidRPr="00000000">
        <w:rPr>
          <w:rtl w:val="0"/>
        </w:rPr>
      </w:r>
    </w:p>
    <w:p w:rsidR="00000000" w:rsidDel="00000000" w:rsidP="00000000" w:rsidRDefault="00000000" w:rsidRPr="00000000" w14:paraId="00000138">
      <w:pPr>
        <w:numPr>
          <w:ilvl w:val="0"/>
          <w:numId w:val="12"/>
        </w:numPr>
        <w:ind w:left="360" w:hanging="360"/>
        <w:jc w:val="both"/>
        <w:rPr>
          <w:sz w:val="22"/>
          <w:szCs w:val="22"/>
        </w:rPr>
      </w:pPr>
      <w:r w:rsidDel="00000000" w:rsidR="00000000" w:rsidRPr="00000000">
        <w:rPr>
          <w:sz w:val="22"/>
          <w:szCs w:val="22"/>
          <w:vertAlign w:val="baseline"/>
          <w:rtl w:val="0"/>
        </w:rPr>
        <w:t xml:space="preserve">Tato smlouva se vyhotovuje ve dvou stejnopisech stejné právní účinnosti, z nichž každá smluvní strana obdrží jedno vyhotovení.</w:t>
      </w:r>
    </w:p>
    <w:p w:rsidR="00000000" w:rsidDel="00000000" w:rsidP="00000000" w:rsidRDefault="00000000" w:rsidRPr="00000000" w14:paraId="00000139">
      <w:pPr>
        <w:numPr>
          <w:ilvl w:val="0"/>
          <w:numId w:val="12"/>
        </w:numPr>
        <w:ind w:left="360" w:hanging="360"/>
        <w:jc w:val="both"/>
        <w:rPr>
          <w:sz w:val="22"/>
          <w:szCs w:val="22"/>
        </w:rPr>
      </w:pPr>
      <w:r w:rsidDel="00000000" w:rsidR="00000000" w:rsidRPr="00000000">
        <w:rPr>
          <w:sz w:val="22"/>
          <w:szCs w:val="22"/>
          <w:vertAlign w:val="baseline"/>
          <w:rtl w:val="0"/>
        </w:rPr>
        <w:t xml:space="preserve">Obě smluvní strany prohlašují, že si tuto smlouvu před jejím podpisem přečetly, že byla uzavřena po jejím řádném projednání podle pravé a svobodné vůle a nikoli v tísni za jednostranně nevýhodných podmínek.</w:t>
      </w:r>
    </w:p>
    <w:p w:rsidR="00000000" w:rsidDel="00000000" w:rsidP="00000000" w:rsidRDefault="00000000" w:rsidRPr="00000000" w14:paraId="0000013A">
      <w:pPr>
        <w:numPr>
          <w:ilvl w:val="0"/>
          <w:numId w:val="12"/>
        </w:numPr>
        <w:ind w:left="360" w:hanging="360"/>
        <w:jc w:val="both"/>
        <w:rPr>
          <w:sz w:val="22"/>
          <w:szCs w:val="22"/>
        </w:rPr>
      </w:pPr>
      <w:r w:rsidDel="00000000" w:rsidR="00000000" w:rsidRPr="00000000">
        <w:rPr>
          <w:sz w:val="22"/>
          <w:szCs w:val="22"/>
          <w:vertAlign w:val="baseline"/>
          <w:rtl w:val="0"/>
        </w:rPr>
        <w:t xml:space="preserve">Autentičnost této smlouvy potvrzují zástupci smluvních stran svými podpisy.</w:t>
      </w:r>
    </w:p>
    <w:p w:rsidR="00000000" w:rsidDel="00000000" w:rsidP="00000000" w:rsidRDefault="00000000" w:rsidRPr="00000000" w14:paraId="0000013B">
      <w:pPr>
        <w:jc w:val="both"/>
        <w:rPr>
          <w:sz w:val="22"/>
          <w:szCs w:val="22"/>
          <w:vertAlign w:val="baseline"/>
        </w:rPr>
      </w:pPr>
      <w:r w:rsidDel="00000000" w:rsidR="00000000" w:rsidRPr="00000000">
        <w:rPr>
          <w:rtl w:val="0"/>
        </w:rPr>
      </w:r>
    </w:p>
    <w:p w:rsidR="00000000" w:rsidDel="00000000" w:rsidP="00000000" w:rsidRDefault="00000000" w:rsidRPr="00000000" w14:paraId="0000013C">
      <w:pPr>
        <w:jc w:val="both"/>
        <w:rPr>
          <w:sz w:val="22"/>
          <w:szCs w:val="22"/>
          <w:vertAlign w:val="baseline"/>
        </w:rPr>
      </w:pPr>
      <w:r w:rsidDel="00000000" w:rsidR="00000000" w:rsidRPr="00000000">
        <w:rPr>
          <w:rtl w:val="0"/>
        </w:rPr>
      </w:r>
    </w:p>
    <w:p w:rsidR="00000000" w:rsidDel="00000000" w:rsidP="00000000" w:rsidRDefault="00000000" w:rsidRPr="00000000" w14:paraId="0000013D">
      <w:pPr>
        <w:rPr>
          <w:sz w:val="22"/>
          <w:szCs w:val="22"/>
          <w:vertAlign w:val="baseline"/>
        </w:rPr>
      </w:pPr>
      <w:r w:rsidDel="00000000" w:rsidR="00000000" w:rsidRPr="00000000">
        <w:rPr>
          <w:rtl w:val="0"/>
        </w:rPr>
      </w:r>
    </w:p>
    <w:p w:rsidR="00000000" w:rsidDel="00000000" w:rsidP="00000000" w:rsidRDefault="00000000" w:rsidRPr="00000000" w14:paraId="0000013E">
      <w:pPr>
        <w:rPr>
          <w:sz w:val="22"/>
          <w:szCs w:val="22"/>
          <w:vertAlign w:val="baseline"/>
        </w:rPr>
      </w:pPr>
      <w:r w:rsidDel="00000000" w:rsidR="00000000" w:rsidRPr="00000000">
        <w:rPr>
          <w:rtl w:val="0"/>
        </w:rPr>
      </w:r>
    </w:p>
    <w:tbl>
      <w:tblPr>
        <w:tblStyle w:val="Table2"/>
        <w:tblW w:w="9070.0" w:type="dxa"/>
        <w:jc w:val="left"/>
        <w:tblInd w:w="-108.0" w:type="dxa"/>
        <w:tblLayout w:type="fixed"/>
        <w:tblLook w:val="0000"/>
      </w:tblPr>
      <w:tblGrid>
        <w:gridCol w:w="3796"/>
        <w:gridCol w:w="1934"/>
        <w:gridCol w:w="3340"/>
        <w:tblGridChange w:id="0">
          <w:tblGrid>
            <w:gridCol w:w="3796"/>
            <w:gridCol w:w="1934"/>
            <w:gridCol w:w="3340"/>
          </w:tblGrid>
        </w:tblGridChange>
      </w:tblGrid>
      <w:tr>
        <w:trPr>
          <w:cantSplit w:val="0"/>
          <w:tblHeader w:val="0"/>
        </w:trPr>
        <w:tc>
          <w:tcPr>
            <w:shd w:fill="auto" w:val="clear"/>
            <w:vAlign w:val="top"/>
          </w:tcPr>
          <w:p w:rsidR="00000000" w:rsidDel="00000000" w:rsidP="00000000" w:rsidRDefault="00000000" w:rsidRPr="00000000" w14:paraId="0000013F">
            <w:pPr>
              <w:widowControl w:val="0"/>
              <w:rPr>
                <w:vertAlign w:val="baseline"/>
              </w:rPr>
            </w:pPr>
            <w:r w:rsidDel="00000000" w:rsidR="00000000" w:rsidRPr="00000000">
              <w:rPr>
                <w:sz w:val="22"/>
                <w:szCs w:val="22"/>
                <w:vertAlign w:val="baseline"/>
                <w:rtl w:val="0"/>
              </w:rPr>
              <w:t xml:space="preserve">V Ostravě dne </w:t>
            </w:r>
            <w:r w:rsidDel="00000000" w:rsidR="00000000" w:rsidRPr="00000000">
              <w:rPr>
                <w:rtl w:val="0"/>
              </w:rPr>
            </w:r>
          </w:p>
        </w:tc>
        <w:tc>
          <w:tcPr>
            <w:vMerge w:val="restart"/>
            <w:shd w:fill="auto" w:val="clear"/>
            <w:vAlign w:val="top"/>
          </w:tcPr>
          <w:p w:rsidR="00000000" w:rsidDel="00000000" w:rsidP="00000000" w:rsidRDefault="00000000" w:rsidRPr="00000000" w14:paraId="00000140">
            <w:pPr>
              <w:widowControl w:val="0"/>
              <w:rPr>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141">
            <w:pPr>
              <w:widowControl w:val="0"/>
              <w:rPr>
                <w:vertAlign w:val="baseline"/>
              </w:rPr>
            </w:pPr>
            <w:r w:rsidDel="00000000" w:rsidR="00000000" w:rsidRPr="00000000">
              <w:rPr>
                <w:sz w:val="22"/>
                <w:szCs w:val="22"/>
                <w:vertAlign w:val="baseline"/>
                <w:rtl w:val="0"/>
              </w:rPr>
              <w:t xml:space="preserve">V Ostravě dne</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142">
            <w:pPr>
              <w:widowControl w:val="0"/>
              <w:rPr>
                <w:vertAlign w:val="baseline"/>
              </w:rPr>
            </w:pPr>
            <w:r w:rsidDel="00000000" w:rsidR="00000000" w:rsidRPr="00000000">
              <w:rPr>
                <w:sz w:val="22"/>
                <w:szCs w:val="22"/>
                <w:vertAlign w:val="baseline"/>
                <w:rtl w:val="0"/>
              </w:rPr>
              <w:t xml:space="preserve">Za odběratele:</w:t>
            </w:r>
            <w:r w:rsidDel="00000000" w:rsidR="00000000" w:rsidRPr="00000000">
              <w:rPr>
                <w:rtl w:val="0"/>
              </w:rPr>
            </w:r>
          </w:p>
        </w:tc>
        <w:tc>
          <w:tcPr>
            <w:vMerge w:val="continue"/>
            <w:shd w:fill="auto" w:val="cle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44">
            <w:pPr>
              <w:widowControl w:val="0"/>
              <w:rPr>
                <w:vertAlign w:val="baseline"/>
              </w:rPr>
            </w:pPr>
            <w:r w:rsidDel="00000000" w:rsidR="00000000" w:rsidRPr="00000000">
              <w:rPr>
                <w:sz w:val="22"/>
                <w:szCs w:val="22"/>
                <w:vertAlign w:val="baseline"/>
                <w:rtl w:val="0"/>
              </w:rPr>
              <w:t xml:space="preserve">Za dodavatele:</w:t>
            </w:r>
            <w:r w:rsidDel="00000000" w:rsidR="00000000" w:rsidRPr="00000000">
              <w:rPr>
                <w:rtl w:val="0"/>
              </w:rPr>
            </w:r>
          </w:p>
        </w:tc>
      </w:tr>
      <w:tr>
        <w:trPr>
          <w:cantSplit w:val="0"/>
          <w:trHeight w:val="1623" w:hRule="atLeast"/>
          <w:tblHeader w:val="0"/>
        </w:trPr>
        <w:tc>
          <w:tcPr>
            <w:tcBorders>
              <w:bottom w:color="000000" w:space="0" w:sz="4" w:val="single"/>
            </w:tcBorders>
            <w:shd w:fill="auto" w:val="clear"/>
            <w:vAlign w:val="top"/>
          </w:tcPr>
          <w:p w:rsidR="00000000" w:rsidDel="00000000" w:rsidP="00000000" w:rsidRDefault="00000000" w:rsidRPr="00000000" w14:paraId="00000145">
            <w:pPr>
              <w:widowControl w:val="0"/>
              <w:rPr>
                <w:sz w:val="22"/>
                <w:szCs w:val="22"/>
                <w:vertAlign w:val="baseline"/>
              </w:rPr>
            </w:pPr>
            <w:r w:rsidDel="00000000" w:rsidR="00000000" w:rsidRPr="00000000">
              <w:rPr>
                <w:rtl w:val="0"/>
              </w:rPr>
            </w:r>
          </w:p>
          <w:p w:rsidR="00000000" w:rsidDel="00000000" w:rsidP="00000000" w:rsidRDefault="00000000" w:rsidRPr="00000000" w14:paraId="00000146">
            <w:pPr>
              <w:widowControl w:val="0"/>
              <w:rPr>
                <w:sz w:val="22"/>
                <w:szCs w:val="22"/>
                <w:vertAlign w:val="baseline"/>
              </w:rPr>
            </w:pPr>
            <w:r w:rsidDel="00000000" w:rsidR="00000000" w:rsidRPr="00000000">
              <w:rPr>
                <w:rtl w:val="0"/>
              </w:rPr>
            </w:r>
          </w:p>
          <w:p w:rsidR="00000000" w:rsidDel="00000000" w:rsidP="00000000" w:rsidRDefault="00000000" w:rsidRPr="00000000" w14:paraId="00000147">
            <w:pPr>
              <w:widowControl w:val="0"/>
              <w:rPr>
                <w:sz w:val="22"/>
                <w:szCs w:val="22"/>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149">
            <w:pPr>
              <w:widowControl w:val="0"/>
              <w:rPr>
                <w:sz w:val="22"/>
                <w:szCs w:val="22"/>
                <w:vertAlign w:val="baseline"/>
              </w:rPr>
            </w:pPr>
            <w:r w:rsidDel="00000000" w:rsidR="00000000" w:rsidRPr="00000000">
              <w:rPr>
                <w:rtl w:val="0"/>
              </w:rPr>
            </w:r>
          </w:p>
        </w:tc>
      </w:tr>
      <w:tr>
        <w:trPr>
          <w:cantSplit w:val="0"/>
          <w:trHeight w:val="348" w:hRule="atLeast"/>
          <w:tblHeader w:val="0"/>
        </w:trPr>
        <w:tc>
          <w:tcPr>
            <w:tcBorders>
              <w:top w:color="000000" w:space="0" w:sz="4" w:val="single"/>
            </w:tcBorders>
            <w:shd w:fill="auto" w:val="clear"/>
            <w:vAlign w:val="top"/>
          </w:tcPr>
          <w:p w:rsidR="00000000" w:rsidDel="00000000" w:rsidP="00000000" w:rsidRDefault="00000000" w:rsidRPr="00000000" w14:paraId="0000014A">
            <w:pPr>
              <w:widowControl w:val="0"/>
              <w:rPr>
                <w:sz w:val="22"/>
                <w:szCs w:val="22"/>
                <w:vertAlign w:val="baseline"/>
              </w:rPr>
            </w:pPr>
            <w:r w:rsidDel="00000000" w:rsidR="00000000" w:rsidRPr="00000000">
              <w:rPr>
                <w:sz w:val="22"/>
                <w:szCs w:val="22"/>
                <w:rtl w:val="0"/>
              </w:rPr>
              <w:t xml:space="preserve">Mgr. Miroslav Bučánek, ředitel školy</w:t>
            </w:r>
            <w:r w:rsidDel="00000000" w:rsidR="00000000" w:rsidRPr="00000000">
              <w:rPr>
                <w:rtl w:val="0"/>
              </w:rPr>
            </w:r>
          </w:p>
        </w:tc>
        <w:tc>
          <w:tcPr>
            <w:vMerge w:val="continue"/>
            <w:shd w:fill="auto" w:val="cle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tcBorders>
              <w:top w:color="000000" w:space="0" w:sz="4" w:val="single"/>
            </w:tcBorders>
            <w:shd w:fill="auto" w:val="clear"/>
            <w:vAlign w:val="top"/>
          </w:tcPr>
          <w:p w:rsidR="00000000" w:rsidDel="00000000" w:rsidP="00000000" w:rsidRDefault="00000000" w:rsidRPr="00000000" w14:paraId="0000014C">
            <w:pPr>
              <w:widowControl w:val="0"/>
              <w:rPr>
                <w:vertAlign w:val="baseline"/>
              </w:rPr>
            </w:pPr>
            <w:r w:rsidDel="00000000" w:rsidR="00000000" w:rsidRPr="00000000">
              <w:rPr>
                <w:sz w:val="22"/>
                <w:szCs w:val="22"/>
                <w:vertAlign w:val="baseline"/>
                <w:rtl w:val="0"/>
              </w:rPr>
              <w:t xml:space="preserve">Jakub Navrátil, DBA, MBA, MPA, BBA, jednatel</w:t>
            </w:r>
            <w:r w:rsidDel="00000000" w:rsidR="00000000" w:rsidRPr="00000000">
              <w:rPr>
                <w:rtl w:val="0"/>
              </w:rPr>
            </w:r>
          </w:p>
        </w:tc>
      </w:tr>
    </w:tbl>
    <w:p w:rsidR="00000000" w:rsidDel="00000000" w:rsidP="00000000" w:rsidRDefault="00000000" w:rsidRPr="00000000" w14:paraId="0000014D">
      <w:pPr>
        <w:widowControl w:val="0"/>
        <w:rPr>
          <w:sz w:val="22"/>
          <w:szCs w:val="22"/>
          <w:vertAlign w:val="baseline"/>
        </w:rPr>
      </w:pPr>
      <w:r w:rsidDel="00000000" w:rsidR="00000000" w:rsidRPr="00000000">
        <w:rPr>
          <w:rtl w:val="0"/>
        </w:rPr>
      </w:r>
    </w:p>
    <w:sectPr>
      <w:pgSz w:h="16838" w:w="11906" w:orient="portrait"/>
      <w:pgMar w:bottom="1134" w:top="1134" w:left="1418" w:right="1418" w:header="72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