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33F9" w14:textId="13A426CC" w:rsidR="00DF13D2" w:rsidRPr="00677FDE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Číslo smlouvy </w:t>
      </w:r>
      <w:r w:rsidR="006D5FA2" w:rsidRPr="00677FDE">
        <w:rPr>
          <w:rFonts w:cstheme="minorHAnsi"/>
          <w:b w:val="0"/>
          <w:sz w:val="22"/>
          <w:szCs w:val="22"/>
        </w:rPr>
        <w:t>Objednatele</w:t>
      </w:r>
      <w:r w:rsidRPr="00677FDE">
        <w:rPr>
          <w:rFonts w:cstheme="minorHAnsi"/>
          <w:b w:val="0"/>
          <w:sz w:val="22"/>
          <w:szCs w:val="22"/>
        </w:rPr>
        <w:t>:</w:t>
      </w:r>
      <w:r w:rsidR="006D5FA2" w:rsidRPr="00677FDE">
        <w:rPr>
          <w:rFonts w:cstheme="minorHAnsi"/>
          <w:b w:val="0"/>
          <w:sz w:val="22"/>
          <w:szCs w:val="22"/>
        </w:rPr>
        <w:t xml:space="preserve"> </w:t>
      </w:r>
      <w:r w:rsidR="00A37B74">
        <w:rPr>
          <w:rFonts w:cstheme="minorHAnsi"/>
          <w:sz w:val="22"/>
          <w:szCs w:val="22"/>
        </w:rPr>
        <w:t>2025-702</w:t>
      </w:r>
      <w:r w:rsidR="00173D6A" w:rsidRPr="00677FDE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 xml:space="preserve">DOHODA O </w:t>
      </w:r>
      <w:r w:rsidR="009C57CD" w:rsidRPr="00677FDE">
        <w:rPr>
          <w:rFonts w:cstheme="minorHAnsi"/>
          <w:szCs w:val="22"/>
        </w:rPr>
        <w:t>VYPOŘÁDÁNÍ BEZDŮVODNÉHO OBOHACENÍ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677FDE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677FDE">
        <w:rPr>
          <w:rFonts w:cstheme="minorHAnsi"/>
          <w:b w:val="0"/>
          <w:sz w:val="22"/>
          <w:szCs w:val="22"/>
        </w:rPr>
        <w:t>2991</w:t>
      </w:r>
      <w:r w:rsidRPr="00677FDE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677FDE">
        <w:rPr>
          <w:rFonts w:cstheme="minorHAnsi"/>
          <w:b w:val="0"/>
          <w:sz w:val="22"/>
          <w:szCs w:val="22"/>
        </w:rPr>
        <w:t>(dále jen</w:t>
      </w:r>
      <w:r w:rsidR="0044001D" w:rsidRPr="00677FDE">
        <w:rPr>
          <w:rFonts w:cstheme="minorHAnsi"/>
          <w:sz w:val="22"/>
          <w:szCs w:val="22"/>
        </w:rPr>
        <w:t xml:space="preserve"> „OZ“</w:t>
      </w:r>
      <w:r w:rsidR="0044001D" w:rsidRPr="00677FDE">
        <w:rPr>
          <w:rFonts w:cstheme="minorHAnsi"/>
          <w:b w:val="0"/>
          <w:sz w:val="22"/>
          <w:szCs w:val="22"/>
        </w:rPr>
        <w:t xml:space="preserve">) </w:t>
      </w:r>
      <w:r w:rsidRPr="00677FDE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Dráber, DrSc., </w:t>
      </w:r>
      <w:r w:rsidR="00DF13D2" w:rsidRPr="00677FDE">
        <w:rPr>
          <w:rFonts w:cstheme="minorHAnsi"/>
        </w:rPr>
        <w:t>ředitel</w:t>
      </w:r>
    </w:p>
    <w:p w14:paraId="13B732F2" w14:textId="4539E705" w:rsidR="00DF13D2" w:rsidRPr="00677FDE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677FDE">
        <w:rPr>
          <w:rFonts w:cstheme="minorHAnsi"/>
        </w:rPr>
        <w:t>z</w:t>
      </w:r>
      <w:r w:rsidR="00DF13D2" w:rsidRPr="00677FDE">
        <w:rPr>
          <w:rFonts w:cstheme="minorHAnsi"/>
        </w:rPr>
        <w:t>apsaná v rejstříku veřejných výzkumných institucí vedeném Ministerstvem školství, mládeže a tělovýchovy</w:t>
      </w:r>
    </w:p>
    <w:p w14:paraId="762A376A" w14:textId="77777777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Pr="00677FDE">
        <w:rPr>
          <w:rFonts w:cstheme="minorHAnsi"/>
          <w:b/>
        </w:rPr>
        <w:t>Objednatel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4D93EAA5" w14:textId="77777777" w:rsidR="00A37B74" w:rsidRDefault="00A37B74" w:rsidP="00677FDE">
      <w:pPr>
        <w:pStyle w:val="Zkladntext"/>
        <w:spacing w:after="0" w:line="240" w:lineRule="auto"/>
        <w:jc w:val="left"/>
        <w:rPr>
          <w:rFonts w:cstheme="minorHAnsi"/>
          <w:sz w:val="22"/>
          <w:szCs w:val="22"/>
        </w:rPr>
      </w:pPr>
      <w:r w:rsidRPr="00A37B74">
        <w:rPr>
          <w:rFonts w:cstheme="minorHAnsi"/>
          <w:sz w:val="22"/>
          <w:szCs w:val="22"/>
        </w:rPr>
        <w:t>Přístav 18600 s.r.o.</w:t>
      </w:r>
      <w:bookmarkStart w:id="0" w:name="_GoBack"/>
      <w:bookmarkEnd w:id="0"/>
    </w:p>
    <w:p w14:paraId="4435475E" w14:textId="75C0808D" w:rsidR="009C57CD" w:rsidRPr="00677FDE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se sídlem: </w:t>
      </w:r>
      <w:r w:rsidR="00A37B74" w:rsidRPr="00A37B74">
        <w:rPr>
          <w:rFonts w:cstheme="minorHAnsi"/>
          <w:b w:val="0"/>
          <w:sz w:val="22"/>
          <w:szCs w:val="22"/>
        </w:rPr>
        <w:t>Sokolovská 98/96, Karlín, 186 00 Praha 8</w:t>
      </w:r>
    </w:p>
    <w:p w14:paraId="6E4B2513" w14:textId="64DBADEE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IČO: </w:t>
      </w:r>
      <w:r w:rsidR="00A37B74" w:rsidRPr="00A37B74">
        <w:rPr>
          <w:rFonts w:cstheme="minorHAnsi"/>
          <w:b w:val="0"/>
          <w:bCs/>
          <w:sz w:val="22"/>
          <w:szCs w:val="22"/>
        </w:rPr>
        <w:t>01643827</w:t>
      </w:r>
    </w:p>
    <w:p w14:paraId="53DA386C" w14:textId="1DDC415C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DIČ:</w:t>
      </w:r>
      <w:r w:rsidR="009C57CD" w:rsidRPr="00677FDE">
        <w:rPr>
          <w:rFonts w:cstheme="minorHAnsi"/>
          <w:b w:val="0"/>
          <w:sz w:val="22"/>
          <w:szCs w:val="22"/>
        </w:rPr>
        <w:t xml:space="preserve"> CZ</w:t>
      </w:r>
      <w:r w:rsidR="00A37B74" w:rsidRPr="00A37B74">
        <w:rPr>
          <w:rFonts w:cstheme="minorHAnsi"/>
          <w:b w:val="0"/>
          <w:bCs/>
          <w:sz w:val="22"/>
          <w:szCs w:val="22"/>
        </w:rPr>
        <w:t>01643827</w:t>
      </w:r>
    </w:p>
    <w:p w14:paraId="7D2CECBE" w14:textId="1A46B6D9" w:rsidR="003440D6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již zastupuje: </w:t>
      </w:r>
      <w:r w:rsidR="00A37B74">
        <w:rPr>
          <w:rFonts w:cstheme="minorHAnsi"/>
          <w:b w:val="0"/>
          <w:sz w:val="22"/>
          <w:szCs w:val="22"/>
        </w:rPr>
        <w:t>Jan Špinka</w:t>
      </w:r>
      <w:r w:rsidRPr="00677FDE">
        <w:rPr>
          <w:rFonts w:cstheme="minorHAnsi"/>
          <w:b w:val="0"/>
          <w:sz w:val="22"/>
          <w:szCs w:val="22"/>
        </w:rPr>
        <w:t>, jednatel</w:t>
      </w:r>
    </w:p>
    <w:p w14:paraId="294730AE" w14:textId="32788642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ID datové schránky:</w:t>
      </w:r>
      <w:r w:rsidR="00677FDE" w:rsidRPr="00677FDE">
        <w:rPr>
          <w:rFonts w:cstheme="minorHAnsi"/>
          <w:b w:val="0"/>
          <w:sz w:val="22"/>
          <w:szCs w:val="22"/>
        </w:rPr>
        <w:t xml:space="preserve"> b5dwj9w</w:t>
      </w:r>
    </w:p>
    <w:p w14:paraId="02855DA3" w14:textId="57919546" w:rsidR="003440D6" w:rsidRPr="00677FDE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Style w:val="preformatted"/>
          <w:rFonts w:cstheme="minorHAnsi"/>
          <w:b w:val="0"/>
          <w:sz w:val="22"/>
          <w:szCs w:val="22"/>
        </w:rPr>
        <w:t>(dále jen</w:t>
      </w:r>
      <w:r w:rsidRPr="00677FDE">
        <w:rPr>
          <w:rStyle w:val="preformatted"/>
          <w:rFonts w:cstheme="minorHAnsi"/>
          <w:sz w:val="22"/>
          <w:szCs w:val="22"/>
        </w:rPr>
        <w:t xml:space="preserve"> „Dodavatel“</w:t>
      </w:r>
      <w:r w:rsidRPr="00677FDE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6B1A69FE" w14:textId="38611DAE" w:rsidR="00FF67F4" w:rsidRDefault="007D0BFA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 xml:space="preserve">Objednatel a Dodavatel tímto potvrzují, že </w:t>
      </w:r>
      <w:r w:rsidR="001B3723">
        <w:rPr>
          <w:rFonts w:cstheme="minorHAnsi"/>
        </w:rPr>
        <w:t xml:space="preserve">prostřednictvím e-mailové objednávky, akceptované dne 11. 6. 2025 Dodavatelem, </w:t>
      </w:r>
      <w:r w:rsidR="00196561" w:rsidRPr="00FF67F4">
        <w:rPr>
          <w:rFonts w:cstheme="minorHAnsi"/>
        </w:rPr>
        <w:t xml:space="preserve">uzavřeli smlouvu na dodávku cateringu pro </w:t>
      </w:r>
      <w:r w:rsidR="00A37B74">
        <w:rPr>
          <w:rFonts w:cstheme="minorHAnsi"/>
        </w:rPr>
        <w:t>akci „</w:t>
      </w:r>
      <w:proofErr w:type="spellStart"/>
      <w:r w:rsidR="00A37B74">
        <w:rPr>
          <w:rFonts w:cstheme="minorHAnsi"/>
        </w:rPr>
        <w:t>Woodstock</w:t>
      </w:r>
      <w:proofErr w:type="spellEnd"/>
      <w:r w:rsidR="00A37B74">
        <w:rPr>
          <w:rFonts w:cstheme="minorHAnsi"/>
        </w:rPr>
        <w:t>“, pořádanou</w:t>
      </w:r>
      <w:r w:rsidR="00196561" w:rsidRPr="00FF67F4">
        <w:rPr>
          <w:rFonts w:cstheme="minorHAnsi"/>
        </w:rPr>
        <w:t xml:space="preserve"> Objednatelem </w:t>
      </w:r>
      <w:r w:rsidR="00A37B74">
        <w:rPr>
          <w:rFonts w:cstheme="minorHAnsi"/>
        </w:rPr>
        <w:t>dne 11. 6. 2025</w:t>
      </w:r>
      <w:r w:rsidR="001B3723">
        <w:rPr>
          <w:rFonts w:cstheme="minorHAnsi"/>
        </w:rPr>
        <w:t>, v hodnotě 63.468 Kč vč. DPH. Objednatel tuto cenu za catering zanesl do svého interního ekonomického systému pro evidenci objednávek, přičemž systém automaticky vypočítal z celkové ceny včetně DPH cenu 52.452,89 Kč bez DPH</w:t>
      </w:r>
      <w:r w:rsidR="00676531">
        <w:rPr>
          <w:rFonts w:cstheme="minorHAnsi"/>
        </w:rPr>
        <w:t>, když použil sazbu DPH 21 %</w:t>
      </w:r>
      <w:r w:rsidR="001B3723">
        <w:rPr>
          <w:rFonts w:cstheme="minorHAnsi"/>
        </w:rPr>
        <w:t xml:space="preserve">. Objednatel objednávkový formulář vygenerovaný ze systému </w:t>
      </w:r>
      <w:r w:rsidR="00676531">
        <w:rPr>
          <w:rFonts w:cstheme="minorHAnsi"/>
        </w:rPr>
        <w:t xml:space="preserve">uveřejnil v registru smluv, avšak následně při fakturaci ze strany Dodavatele zjistil, že sazba DPH měla být 12 % a cena bez DPH měla tedy být uveřejněna ve výši </w:t>
      </w:r>
      <w:r w:rsidR="00832FCE" w:rsidRPr="00A37B74">
        <w:rPr>
          <w:rFonts w:cstheme="minorHAnsi"/>
        </w:rPr>
        <w:t>56.667,86 Kč</w:t>
      </w:r>
      <w:r w:rsidR="00832FCE">
        <w:rPr>
          <w:rFonts w:cstheme="minorHAnsi"/>
        </w:rPr>
        <w:t xml:space="preserve"> </w:t>
      </w:r>
      <w:r w:rsidR="00832FCE" w:rsidRPr="00FF67F4">
        <w:rPr>
          <w:rFonts w:cstheme="minorHAnsi"/>
        </w:rPr>
        <w:t>bez DPH</w:t>
      </w:r>
      <w:r w:rsidR="001B3723">
        <w:rPr>
          <w:rFonts w:cstheme="minorHAnsi"/>
        </w:rPr>
        <w:t>.</w:t>
      </w:r>
    </w:p>
    <w:p w14:paraId="7F52CB0B" w14:textId="1CAD98C2" w:rsidR="007D0BFA" w:rsidRPr="00FF67F4" w:rsidRDefault="00FF67F4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>Vzhledem k </w:t>
      </w:r>
      <w:r>
        <w:rPr>
          <w:rFonts w:cstheme="minorHAnsi"/>
        </w:rPr>
        <w:t>p</w:t>
      </w:r>
      <w:r w:rsidR="007D0BFA" w:rsidRPr="00FF67F4">
        <w:rPr>
          <w:rFonts w:cstheme="minorHAnsi"/>
        </w:rPr>
        <w:t>rávní formě Objed</w:t>
      </w:r>
      <w:r w:rsidR="00BD67EA" w:rsidRPr="00FF67F4">
        <w:rPr>
          <w:rFonts w:cstheme="minorHAnsi"/>
        </w:rPr>
        <w:t>natele a hodnotě předmětu plnění byla</w:t>
      </w:r>
      <w:r w:rsidR="007D0BFA" w:rsidRPr="00FF67F4">
        <w:rPr>
          <w:rFonts w:cstheme="minorHAnsi"/>
        </w:rPr>
        <w:t xml:space="preserve"> účinnost</w:t>
      </w:r>
      <w:r>
        <w:rPr>
          <w:rFonts w:cstheme="minorHAnsi"/>
        </w:rPr>
        <w:t xml:space="preserve"> případného dodatku k původní </w:t>
      </w:r>
      <w:r w:rsidR="007D0BFA" w:rsidRPr="00FF67F4">
        <w:rPr>
          <w:rFonts w:cstheme="minorHAnsi"/>
        </w:rPr>
        <w:t xml:space="preserve"> smlouv</w:t>
      </w:r>
      <w:r>
        <w:rPr>
          <w:rFonts w:cstheme="minorHAnsi"/>
        </w:rPr>
        <w:t>ě</w:t>
      </w:r>
      <w:r w:rsidR="00A37B74">
        <w:rPr>
          <w:rFonts w:cstheme="minorHAnsi"/>
        </w:rPr>
        <w:t>, který by upravil sjednanou cenu,</w:t>
      </w:r>
      <w:r w:rsidR="00F8659F" w:rsidRPr="00FF67F4">
        <w:rPr>
          <w:rFonts w:cstheme="minorHAnsi"/>
        </w:rPr>
        <w:t xml:space="preserve"> </w:t>
      </w:r>
      <w:r w:rsidR="007D0BFA" w:rsidRPr="00FF67F4">
        <w:rPr>
          <w:rFonts w:cstheme="minorHAnsi"/>
        </w:rPr>
        <w:t>vázána na je</w:t>
      </w:r>
      <w:r>
        <w:rPr>
          <w:rFonts w:cstheme="minorHAnsi"/>
        </w:rPr>
        <w:t>ho</w:t>
      </w:r>
      <w:r w:rsidR="007D0BFA" w:rsidRPr="00FF67F4">
        <w:rPr>
          <w:rFonts w:cstheme="minorHAnsi"/>
        </w:rPr>
        <w:t xml:space="preserve"> uveřejnění v registru smluv p</w:t>
      </w:r>
      <w:r w:rsidR="00065A2E" w:rsidRPr="00FF67F4">
        <w:rPr>
          <w:rFonts w:cstheme="minorHAnsi"/>
        </w:rPr>
        <w:t>odle zákona č. 340/2015 Sb., o </w:t>
      </w:r>
      <w:r w:rsidR="007D0BFA" w:rsidRPr="00FF67F4">
        <w:rPr>
          <w:rFonts w:cstheme="minorHAnsi"/>
        </w:rPr>
        <w:t xml:space="preserve">registru smluv, ve znění pozdějších předpisů. K uveřejnění </w:t>
      </w:r>
      <w:r>
        <w:rPr>
          <w:rFonts w:cstheme="minorHAnsi"/>
        </w:rPr>
        <w:t xml:space="preserve">dodatku </w:t>
      </w:r>
      <w:r w:rsidR="007D0BFA" w:rsidRPr="00FF67F4">
        <w:rPr>
          <w:rFonts w:cstheme="minorHAnsi"/>
        </w:rPr>
        <w:t xml:space="preserve">smlouvy v registru smluv </w:t>
      </w:r>
      <w:r w:rsidR="00065A2E" w:rsidRPr="00FF67F4">
        <w:rPr>
          <w:rFonts w:cstheme="minorHAnsi"/>
        </w:rPr>
        <w:t xml:space="preserve">však </w:t>
      </w:r>
      <w:r>
        <w:rPr>
          <w:rFonts w:cstheme="minorHAnsi"/>
        </w:rPr>
        <w:t xml:space="preserve">nemohlo včas dojít, protože administrativní chyba byla zjištěna až po poskytnutí plnění ze strany Dodavatele, a </w:t>
      </w:r>
      <w:r w:rsidR="00065A2E" w:rsidRPr="00FF67F4">
        <w:rPr>
          <w:rFonts w:cstheme="minorHAnsi"/>
        </w:rPr>
        <w:t xml:space="preserve">proto je plnění ze strany </w:t>
      </w:r>
      <w:r>
        <w:rPr>
          <w:rFonts w:cstheme="minorHAnsi"/>
        </w:rPr>
        <w:t xml:space="preserve">Dodavatele, v hodnotě převyšující hodnotu uvedenou v původní smlouvě, </w:t>
      </w:r>
      <w:r w:rsidR="00065A2E" w:rsidRPr="00FF67F4">
        <w:rPr>
          <w:rFonts w:cstheme="minorHAnsi"/>
        </w:rPr>
        <w:t>bezdůvod</w:t>
      </w:r>
      <w:r>
        <w:rPr>
          <w:rFonts w:cstheme="minorHAnsi"/>
        </w:rPr>
        <w:t>ným obohacením na</w:t>
      </w:r>
      <w:r w:rsidR="00065A2E" w:rsidRPr="00FF67F4">
        <w:rPr>
          <w:rFonts w:cstheme="minorHAnsi"/>
        </w:rPr>
        <w:t xml:space="preserve"> stran</w:t>
      </w:r>
      <w:r>
        <w:rPr>
          <w:rFonts w:cstheme="minorHAnsi"/>
        </w:rPr>
        <w:t>ě</w:t>
      </w:r>
      <w:r w:rsidR="00065A2E" w:rsidRPr="00FF67F4">
        <w:rPr>
          <w:rFonts w:cstheme="minorHAnsi"/>
        </w:rPr>
        <w:t xml:space="preserve"> Objednatele</w:t>
      </w:r>
      <w:r w:rsidR="00F8659F" w:rsidRPr="00FF67F4">
        <w:rPr>
          <w:rFonts w:cstheme="minorHAnsi"/>
        </w:rPr>
        <w:t>.</w:t>
      </w:r>
    </w:p>
    <w:p w14:paraId="12E5E9A8" w14:textId="78FA0C97" w:rsidR="003C0DC5" w:rsidRDefault="003C0DC5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</w:p>
    <w:p w14:paraId="4B98CBAC" w14:textId="77777777" w:rsidR="00BF5AE0" w:rsidRPr="00BF5AE0" w:rsidRDefault="00BF5AE0" w:rsidP="00BF5AE0">
      <w:pPr>
        <w:pStyle w:val="Odstavecseseznamem"/>
        <w:rPr>
          <w:rFonts w:cstheme="minorHAnsi"/>
        </w:rPr>
      </w:pPr>
    </w:p>
    <w:p w14:paraId="4CBB4519" w14:textId="683D4D05" w:rsidR="003C0DC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 xml:space="preserve">Touto dohodou se ruší původní závazky obou stran </w:t>
      </w:r>
      <w:r w:rsidR="000E5D9A">
        <w:rPr>
          <w:rFonts w:cstheme="minorHAnsi"/>
        </w:rPr>
        <w:t>ve spojení k poskytnutí </w:t>
      </w:r>
      <w:r w:rsidR="00A37B74">
        <w:rPr>
          <w:rFonts w:cstheme="minorHAnsi"/>
        </w:rPr>
        <w:t>cateringu</w:t>
      </w:r>
      <w:r w:rsidR="000E5D9A">
        <w:rPr>
          <w:rFonts w:cstheme="minorHAnsi"/>
        </w:rPr>
        <w:t xml:space="preserve"> uvedenému v čl. I. odst. 1 této dohody </w:t>
      </w:r>
      <w:r w:rsidR="00BD3F64">
        <w:rPr>
          <w:rFonts w:cstheme="minorHAnsi"/>
        </w:rPr>
        <w:t>a </w:t>
      </w:r>
      <w:r w:rsidR="003C0DC5">
        <w:rPr>
          <w:rFonts w:cstheme="minorHAnsi"/>
        </w:rPr>
        <w:t>nahrazují se závazkem z této smlouvy.</w:t>
      </w:r>
      <w:r>
        <w:rPr>
          <w:rFonts w:cstheme="minorHAnsi"/>
        </w:rPr>
        <w:t xml:space="preserve"> </w:t>
      </w:r>
    </w:p>
    <w:p w14:paraId="23C7F17E" w14:textId="2D27EBA1" w:rsidR="00BD67EA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>Vzhledem k tomu, že vydání předmětu obohacení není již možné, s</w:t>
      </w:r>
      <w:r w:rsidR="00F511C4" w:rsidRPr="004B5DDE">
        <w:rPr>
          <w:rFonts w:cstheme="minorHAnsi"/>
        </w:rPr>
        <w:t>mluvní strany</w:t>
      </w:r>
      <w:r w:rsidR="008B35D9" w:rsidRPr="004B5DDE">
        <w:rPr>
          <w:rFonts w:cstheme="minorHAnsi"/>
        </w:rPr>
        <w:t xml:space="preserve"> se dohodly vypořádat toto bezdůvodné obohacení tak, že Objednatel uhradí </w:t>
      </w:r>
      <w:r w:rsidR="00FF67F4">
        <w:rPr>
          <w:rFonts w:cstheme="minorHAnsi"/>
        </w:rPr>
        <w:t xml:space="preserve">celkovou </w:t>
      </w:r>
      <w:r w:rsidR="008B35D9" w:rsidRPr="004B5DDE">
        <w:rPr>
          <w:rFonts w:cstheme="minorHAnsi"/>
        </w:rPr>
        <w:t xml:space="preserve">částku </w:t>
      </w:r>
      <w:r w:rsidR="00A37B74" w:rsidRPr="00A37B74">
        <w:rPr>
          <w:rFonts w:cstheme="minorHAnsi"/>
        </w:rPr>
        <w:t>56.667,86 Kč</w:t>
      </w:r>
      <w:r w:rsidR="00A37B74">
        <w:rPr>
          <w:rFonts w:cstheme="minorHAnsi"/>
        </w:rPr>
        <w:t xml:space="preserve"> </w:t>
      </w:r>
      <w:r w:rsidR="00A37B74" w:rsidRPr="00FF67F4">
        <w:rPr>
          <w:rFonts w:cstheme="minorHAnsi"/>
        </w:rPr>
        <w:t>bez DPH</w:t>
      </w:r>
      <w:r w:rsidR="008B35D9" w:rsidRPr="004B5DDE">
        <w:rPr>
          <w:rFonts w:cstheme="minorHAnsi"/>
        </w:rPr>
        <w:t xml:space="preserve">, odpovídající hodnotě služby, která mu byla poskytnuta Dodavatelem, na základě faktury, daňového dokladu, se splatností </w:t>
      </w:r>
      <w:r w:rsidR="004D3698" w:rsidRPr="004B5DDE">
        <w:rPr>
          <w:rFonts w:cstheme="minorHAnsi"/>
        </w:rPr>
        <w:t>30 dní ode dne jejího vystavení Dodavatelem.</w:t>
      </w:r>
      <w:r w:rsidR="00F511C4" w:rsidRPr="004B5DDE">
        <w:rPr>
          <w:rFonts w:cstheme="minorHAnsi"/>
        </w:rPr>
        <w:t xml:space="preserve"> </w:t>
      </w:r>
    </w:p>
    <w:p w14:paraId="03B7F646" w14:textId="57D2E29C" w:rsidR="003C0DC5" w:rsidRPr="003C0DC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3C0DC5" w:rsidRPr="003C0DC5">
        <w:rPr>
          <w:rFonts w:cstheme="minorHAnsi"/>
        </w:rPr>
        <w:t xml:space="preserve">o uhrazení částky </w:t>
      </w:r>
      <w:r w:rsidR="00A37B74" w:rsidRPr="00A37B74">
        <w:rPr>
          <w:rFonts w:cstheme="minorHAnsi"/>
        </w:rPr>
        <w:t>56.667,86 Kč</w:t>
      </w:r>
      <w:r w:rsidR="00A37B74">
        <w:rPr>
          <w:rFonts w:cstheme="minorHAnsi"/>
        </w:rPr>
        <w:t xml:space="preserve"> </w:t>
      </w:r>
      <w:r w:rsidR="00A37B74" w:rsidRPr="00FF67F4">
        <w:rPr>
          <w:rFonts w:cstheme="minorHAnsi"/>
        </w:rPr>
        <w:t>bez DPH</w:t>
      </w:r>
      <w:r w:rsidR="00A37B74">
        <w:rPr>
          <w:rFonts w:cstheme="minorHAnsi"/>
        </w:rPr>
        <w:t xml:space="preserve"> </w:t>
      </w:r>
      <w:r w:rsidR="00FF67F4">
        <w:rPr>
          <w:rFonts w:cstheme="minorHAnsi"/>
        </w:rPr>
        <w:t>a příslušného</w:t>
      </w:r>
      <w:r w:rsidR="003C0DC5">
        <w:rPr>
          <w:rFonts w:cstheme="minorHAnsi"/>
        </w:rPr>
        <w:t xml:space="preserve"> DPH </w:t>
      </w:r>
      <w:r w:rsidR="003C0DC5" w:rsidRPr="003C0DC5">
        <w:rPr>
          <w:rFonts w:cstheme="minorHAnsi"/>
        </w:rPr>
        <w:t>bezhotovostním převodem na bankovní účet Dodavatele nebudou mít smluvní strany vůči sobě žádné závaz</w:t>
      </w:r>
      <w:r>
        <w:rPr>
          <w:rFonts w:cstheme="minorHAnsi"/>
        </w:rPr>
        <w:t>ky ani pohledávky vyplývající z </w:t>
      </w:r>
      <w:r w:rsidR="003C0DC5" w:rsidRPr="003C0DC5">
        <w:rPr>
          <w:rFonts w:cstheme="minorHAnsi"/>
        </w:rPr>
        <w:t>plnění bez právního důvodu specifikovaného v čl. I. této dohody, a nemohou navzájem vůči sobě uplatňovat z tohoto titul</w:t>
      </w:r>
      <w:r>
        <w:rPr>
          <w:rFonts w:cstheme="minorHAnsi"/>
        </w:rPr>
        <w:t>u žádné nároky na náhradu škody nebo jiné újmy,</w:t>
      </w:r>
      <w:r w:rsidR="003C0DC5" w:rsidRPr="003C0DC5">
        <w:rPr>
          <w:rFonts w:cstheme="minorHAnsi"/>
        </w:rPr>
        <w:t xml:space="preserve"> smluvní poku</w:t>
      </w:r>
      <w:r>
        <w:rPr>
          <w:rFonts w:cstheme="minorHAnsi"/>
        </w:rPr>
        <w:t>ty, penále, úroky z </w:t>
      </w:r>
      <w:r w:rsidR="003C0DC5" w:rsidRPr="003C0DC5">
        <w:rPr>
          <w:rFonts w:cstheme="minorHAnsi"/>
        </w:rPr>
        <w:t>prodlení a/</w:t>
      </w:r>
      <w:r>
        <w:rPr>
          <w:rFonts w:cstheme="minorHAnsi"/>
        </w:rPr>
        <w:t>nebo jiné sankce</w:t>
      </w:r>
      <w:r w:rsidR="003C0DC5" w:rsidRPr="003C0DC5">
        <w:rPr>
          <w:rFonts w:cstheme="minorHAnsi"/>
        </w:rPr>
        <w:t>.</w:t>
      </w:r>
      <w:r w:rsidR="00A37B74">
        <w:rPr>
          <w:rFonts w:cstheme="minorHAnsi"/>
        </w:rPr>
        <w:t xml:space="preserve"> </w:t>
      </w:r>
    </w:p>
    <w:p w14:paraId="54606C76" w14:textId="77777777" w:rsidR="00BD67EA" w:rsidRPr="00677FDE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>Článek III.</w:t>
      </w:r>
    </w:p>
    <w:p w14:paraId="2B839192" w14:textId="77777777" w:rsidR="00677FDE" w:rsidRPr="00677FDE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677FDE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</w:t>
      </w:r>
      <w:r w:rsidR="006D72D9" w:rsidRPr="00677FDE">
        <w:rPr>
          <w:rFonts w:cstheme="minorHAnsi"/>
        </w:rPr>
        <w:t>zájemná práva povinnosti smluvních stran touto Dohodou výslovn</w:t>
      </w:r>
      <w:r w:rsidR="00AE1FBD" w:rsidRPr="00677FDE">
        <w:rPr>
          <w:rFonts w:cstheme="minorHAnsi"/>
        </w:rPr>
        <w:t>ě</w:t>
      </w:r>
      <w:r w:rsidR="006D72D9" w:rsidRPr="00677FDE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Tato dohoda nabývá platnosti dnem podpisu poslední ze smluvních stran a účinnosti dnem jejího uveřejnění v r</w:t>
      </w:r>
      <w:r w:rsidR="00FC3DC0" w:rsidRPr="00677FDE">
        <w:rPr>
          <w:rFonts w:cstheme="minorHAnsi"/>
        </w:rPr>
        <w:t>egistru smluv dle zákona č. 340/</w:t>
      </w:r>
      <w:r w:rsidRPr="00677FDE">
        <w:rPr>
          <w:rFonts w:cstheme="minorHAnsi"/>
        </w:rPr>
        <w:t>2015 Sb., o zvlá</w:t>
      </w:r>
      <w:r w:rsidR="00AE1FBD" w:rsidRPr="00677FDE">
        <w:rPr>
          <w:rFonts w:cstheme="minorHAnsi"/>
        </w:rPr>
        <w:t>štních podmínkách účinnosti někte</w:t>
      </w:r>
      <w:r w:rsidRPr="00677FDE">
        <w:rPr>
          <w:rFonts w:cstheme="minorHAnsi"/>
        </w:rPr>
        <w:t>r</w:t>
      </w:r>
      <w:r w:rsidR="00AE1FBD" w:rsidRPr="00677FDE">
        <w:rPr>
          <w:rFonts w:cstheme="minorHAnsi"/>
        </w:rPr>
        <w:t>ých smluv, uveřejnění těchto smluv a o r</w:t>
      </w:r>
      <w:r w:rsidRPr="00677FDE">
        <w:rPr>
          <w:rFonts w:cstheme="minorHAnsi"/>
        </w:rPr>
        <w:t>egis</w:t>
      </w:r>
      <w:r w:rsidR="00AE1FBD" w:rsidRPr="00677FDE">
        <w:rPr>
          <w:rFonts w:cstheme="minorHAnsi"/>
        </w:rPr>
        <w:t>t</w:t>
      </w:r>
      <w:r w:rsidRPr="00677FDE">
        <w:rPr>
          <w:rFonts w:cstheme="minorHAnsi"/>
        </w:rPr>
        <w:t>ru smluv (zákon o registru smluv), ve znění pozdějších předp</w:t>
      </w:r>
      <w:r w:rsidR="00AE1FBD" w:rsidRPr="00677FDE">
        <w:rPr>
          <w:rFonts w:cstheme="minorHAnsi"/>
        </w:rPr>
        <w:t>is</w:t>
      </w:r>
      <w:r w:rsidRPr="00677FDE">
        <w:rPr>
          <w:rFonts w:cstheme="minorHAnsi"/>
        </w:rPr>
        <w:t>ů.</w:t>
      </w:r>
    </w:p>
    <w:p w14:paraId="300892ED" w14:textId="1911219E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Smluvní strany se dohodly, že uveřejnění v souladu se zákonem o registru smluv zajistí O</w:t>
      </w:r>
      <w:r w:rsidR="00EA22BA" w:rsidRPr="00677FDE">
        <w:rPr>
          <w:rFonts w:cstheme="minorHAnsi"/>
        </w:rPr>
        <w:t>bjednatel</w:t>
      </w:r>
      <w:r w:rsidRPr="00677FDE">
        <w:rPr>
          <w:rFonts w:cstheme="minorHAnsi"/>
        </w:rPr>
        <w:t>.</w:t>
      </w:r>
    </w:p>
    <w:p w14:paraId="53F9604B" w14:textId="2677B62D" w:rsidR="006D72D9" w:rsidRPr="00677FDE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Tato Dohoda </w:t>
      </w:r>
      <w:r w:rsidR="006D72D9" w:rsidRPr="00677FDE">
        <w:rPr>
          <w:rFonts w:cstheme="minorHAnsi"/>
        </w:rPr>
        <w:t>je vyhotovena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stran.</w:t>
      </w:r>
      <w:r w:rsidR="00F52EF1" w:rsidRPr="00677FDE">
        <w:rPr>
          <w:rFonts w:cstheme="minorHAnsi"/>
        </w:rPr>
        <w:t xml:space="preserve"> </w:t>
      </w:r>
      <w:r w:rsidR="00A37B74">
        <w:rPr>
          <w:rFonts w:cstheme="minorHAnsi"/>
        </w:rPr>
        <w:t>Případně je vyhotovena v jednom elektronickém originálu opatřeném kvalifikovanými elektronickými podpisy zástupců obou smluvních stran.</w:t>
      </w:r>
    </w:p>
    <w:p w14:paraId="390F7ECD" w14:textId="7C14E6EB" w:rsidR="006D72D9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A06F8A" w:rsidRPr="00677FDE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33AE7835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Praze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677FDE" w14:paraId="615B8B0B" w14:textId="77777777" w:rsidTr="00F52EF1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75D235DE" w14:textId="2619A860" w:rsidR="00677FDE" w:rsidRPr="00677FDE" w:rsidRDefault="00A37B74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A37B74">
              <w:rPr>
                <w:rFonts w:cstheme="minorHAnsi"/>
              </w:rPr>
              <w:t>Přístav 18600 s.r.o.</w:t>
            </w:r>
          </w:p>
          <w:p w14:paraId="15782B52" w14:textId="00E6D5A3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52DAE4B9" w14:textId="77777777" w:rsidR="00832FCE" w:rsidRDefault="00832FC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F52EF1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RNDr. Petr Dráber, DrSc.</w:t>
            </w:r>
          </w:p>
        </w:tc>
        <w:tc>
          <w:tcPr>
            <w:tcW w:w="4333" w:type="dxa"/>
          </w:tcPr>
          <w:p w14:paraId="41CE9941" w14:textId="37D07475" w:rsidR="00BF37F7" w:rsidRPr="00677FDE" w:rsidRDefault="00A37B74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37B74">
              <w:rPr>
                <w:rFonts w:cstheme="minorHAnsi"/>
              </w:rPr>
              <w:t>Jan Špinka</w:t>
            </w:r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38002B71" w:rsidR="00BF37F7" w:rsidRPr="00677FDE" w:rsidRDefault="00BF37F7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jednatel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EE1D" w14:textId="77777777" w:rsidR="00115C47" w:rsidRDefault="00115C47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115C47" w:rsidRDefault="00115C47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D22A" w14:textId="747168F3" w:rsidR="00DF13D2" w:rsidRPr="00FF67F4" w:rsidRDefault="00DF13D2">
    <w:pPr>
      <w:pStyle w:val="Zpat"/>
      <w:jc w:val="right"/>
      <w:rPr>
        <w:b/>
        <w:color w:val="808080"/>
      </w:rPr>
    </w:pPr>
    <w:r w:rsidRPr="00FF67F4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FF67F4" w:rsidRDefault="00DF13D2">
                          <w:pPr>
                            <w:rPr>
                              <w:color w:val="808080"/>
                              <w:sz w:val="20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" filled="f" stroked="f" strokeweight=".5pt">
              <v:textbox inset="0,.7mm,0,0">
                <w:txbxContent>
                  <w:p w14:paraId="4F04B576" w14:textId="77777777" w:rsidR="00DF13D2" w:rsidRPr="00FF67F4" w:rsidRDefault="00DF13D2">
                    <w:pPr>
                      <w:rPr>
                        <w:color w:val="808080"/>
                        <w:sz w:val="20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FF67F4">
      <w:rPr>
        <w:noProof/>
        <w:color w:val="00000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FF67F4">
      <w:rPr>
        <w:b/>
        <w:color w:val="808080"/>
      </w:rPr>
      <w:fldChar w:fldCharType="begin"/>
    </w:r>
    <w:r w:rsidRPr="00FF67F4">
      <w:rPr>
        <w:b/>
        <w:color w:val="808080"/>
      </w:rPr>
      <w:instrText xml:space="preserve"> PAGE   \* MERGEFORMAT </w:instrText>
    </w:r>
    <w:r w:rsidRPr="00FF67F4">
      <w:rPr>
        <w:b/>
        <w:color w:val="808080"/>
      </w:rPr>
      <w:fldChar w:fldCharType="separate"/>
    </w:r>
    <w:r w:rsidR="00E44B0A">
      <w:rPr>
        <w:b/>
        <w:noProof/>
        <w:color w:val="808080"/>
      </w:rPr>
      <w:t>1</w:t>
    </w:r>
    <w:r w:rsidRPr="00FF67F4">
      <w:rPr>
        <w:b/>
        <w:noProof/>
        <w:color w:val="808080"/>
      </w:rPr>
      <w:fldChar w:fldCharType="end"/>
    </w:r>
  </w:p>
  <w:p w14:paraId="29AF8AF9" w14:textId="77777777" w:rsidR="00DF13D2" w:rsidRPr="00FF67F4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091A" w14:textId="77777777" w:rsidR="00115C47" w:rsidRDefault="00115C47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115C47" w:rsidRDefault="00115C47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2C39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96561"/>
    <w:rsid w:val="001A2CAD"/>
    <w:rsid w:val="001B3723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3FE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0DFB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31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14BF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2FCE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1F4D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37B74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44B0A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B7FC-12B3-4987-9027-5415D6A6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Polák Martin</cp:lastModifiedBy>
  <cp:revision>2</cp:revision>
  <dcterms:created xsi:type="dcterms:W3CDTF">2025-07-10T08:50:00Z</dcterms:created>
  <dcterms:modified xsi:type="dcterms:W3CDTF">2025-07-10T08:50:00Z</dcterms:modified>
</cp:coreProperties>
</file>