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Smlouva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Sdružení knihoven ČR, z.s.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sídlo: </w:t>
        <w:tab/>
        <w:t xml:space="preserve">Mariánské náměstí 1, 110 00 Praha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 </w:t>
        <w:tab/>
        <w:t xml:space="preserve">70282170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bankovní spojení:</w:t>
        <w:tab/>
        <w:t xml:space="preserve">2300910355/2010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zastoupené: </w:t>
        <w:tab/>
      </w:r>
      <w:r w:rsidDel="00000000" w:rsidR="00000000" w:rsidRPr="00000000">
        <w:rPr>
          <w:rtl w:val="0"/>
        </w:rPr>
        <w:t xml:space="preserve">Ing. Radomírou Kodetovou, místopředsedkyní Rady Sdružení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Městská knihovna </w:t>
      </w:r>
      <w:r w:rsidDel="00000000" w:rsidR="00000000" w:rsidRPr="00000000">
        <w:rPr>
          <w:b w:val="1"/>
          <w:rtl w:val="0"/>
        </w:rPr>
        <w:t xml:space="preserve">v Praze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sídlo: </w:t>
        <w:tab/>
      </w:r>
      <w:r w:rsidDel="00000000" w:rsidR="00000000" w:rsidRPr="00000000">
        <w:rPr>
          <w:rtl w:val="0"/>
        </w:rPr>
        <w:t xml:space="preserve">Mariánské náměstí 98/1, 115 72 Praha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 </w:t>
        <w:tab/>
      </w:r>
      <w:r w:rsidDel="00000000" w:rsidR="00000000" w:rsidRPr="00000000">
        <w:rPr>
          <w:rtl w:val="0"/>
        </w:rPr>
        <w:t xml:space="preserve">00064467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bankovní spojení:</w:t>
        <w:tab/>
      </w:r>
      <w:r w:rsidDel="00000000" w:rsidR="00000000" w:rsidRPr="00000000">
        <w:rPr>
          <w:rtl w:val="0"/>
        </w:rPr>
        <w:t xml:space="preserve">2000280005/6000 (PPF banka, a. s.)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zastoupený/á: </w:t>
        <w:tab/>
      </w:r>
      <w:r w:rsidDel="00000000" w:rsidR="00000000" w:rsidRPr="00000000">
        <w:rPr>
          <w:rtl w:val="0"/>
        </w:rPr>
        <w:t xml:space="preserve">Alexandrou Laubovou, MSc., náměstkyní ředitele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spolu uzavírají tuto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Smlouvu o spolupráci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podle § 1746 odst. 2 Občanského zákoníku č. 89/2012 Sb., ve znění pozdějších předpisů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„smlouva“)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80"/>
        </w:tabs>
        <w:spacing w:after="0" w:before="0" w:line="240" w:lineRule="auto"/>
        <w:ind w:left="108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Vymezení spolupráce a popis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uzavírají tuto smlouvu, aby jí vymezily vzájemná práva a povinnosti při spolupráci na projektu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„Digitální Odysea v knihovnách“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(dále jen „projekt“). Cílem projektu je digitální vzdělávání seniorů v knihovnách, zejména zajištění kurzů pro uživatele knihoven z řad seniorů (dále jen „senioři“) a poskytnutí adekvátních technických zařízení pro domácí vlastní užití seniorům se zájmem o prohloubení technologických dovedností, poskytnutí základní asistence, případně pořádání kurzů pro seniory.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8kmc9gqbqcur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rámci spolupráce bude partner seznamovat své uživatele z řad seniorů s prací s digitálními zařízeními, jako jsou chytré mobilní telefony a tablety (dále jen „technická zařízení“) a SDRUK pro to partnerovi poskytne vhodné podmínky.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rxfyeavyxc8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SDRUK bude na projektu kromě partnera spolupracovat i s jinými knihovnami v ČR.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4jynmvocedzk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Spolupráce se uzavírá do 31. 3. 2026. Dohodou smluvních stran (uzavřením dodatku k této smlouvě) může být spolupráce prodloužena na další ročník projektu.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7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80"/>
        </w:tabs>
        <w:spacing w:after="0" w:before="0" w:line="240" w:lineRule="auto"/>
        <w:ind w:left="108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Průběh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bude po dobu konání projektu půjčovat (prezenčně či absenčně) seniorům technická zařízení poskytnutá SDRUKem.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Dále partner realizuje projekt těmito způsoby: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poskytováním asistence seniorům pro práci s technickými zařízeními nebo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pořádáním kurzů práce s technickými zařízeními pro seniory, přičemž každý jednotlivý kurz je určen pro 5-12 seniorů, má délku 4 hodiny a může být rozdělen do více setkání.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SDRUK dohodne s partnerem (respektive s osobou koordinující projekt na straně partnera) plán realizace projektu (dále jen „plán“), ve kterém stanoví plánovaný počet a termíny kurzů.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SDRUK v průběhu projektu: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partnerovi poskytne vhodná technická zařízení způsobem popsaným ve čl. V. smlouvy,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bude pořádat školení pro pracovníky partnera,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bude poskytovat partnerovi rady a metodické materiály 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bude partnerovi hradit náhrady nákladů na pořádání kurzů za podmínek stanovených ve čl. VI. smlouvy.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si jsou vědomy toho, že skutečnosti vzniklé mimo jejich vůli (zejména vládní nařízení či jiná opatření vydaná orgány veřejné moci) mohou bránit v realizaci projektu v jeho plném rozsahu, a zavazují se v případě vzniku takových skutečností upravit plán projektu.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7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80"/>
        </w:tabs>
        <w:spacing w:after="0" w:before="0" w:line="240" w:lineRule="auto"/>
        <w:ind w:left="108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Povinnosti SDRUKu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SDRUK je povinen předat partnerovi kontaktní údaje na osobu, pověřenou na straně SDRUKu koordinací tohoto projektu.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SDRUK poskytne partnerovi metodickou podporu a metodické materiály pro realizaci projektu.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SDRUK bude zprostředkovávat školení vedení kurzů pro seniory a poskytování asistence seniorům od svých spolupracujících organizací Elpida a Moudrá Sovička pro pracovníky partnera, a to v termínech, které dohodnou osoby pověřené jednotlivými smluvními stranami ke koordinaci tohoto projektu.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SDRUK bude v průběhu projektu konzultovat činnosti partnera a dle potřeb upravuje plán projektu.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80"/>
        </w:tabs>
        <w:spacing w:after="0" w:before="0" w:line="240" w:lineRule="auto"/>
        <w:ind w:left="108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Povinnosti Partnera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má povinnost určit osobu, pověřenou na straně partnera koordinací tohoto projektu a sdělit SDRUKu kontaktní údaje na ni.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realizuje projekt v souladu s metodickými pokyny a dle metodických materiálů poskytnutých SDRUKem a dle plánu dohodnutého se SDRUKem.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má povinnost realizovat projekt pouze náležitě proškolenými osobami.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průběžně konzultuje realizaci projektu se SDRUKem a vznáší požadavky na úpravu plánu projektu.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je povinen odevzdávat zprávy v průběhu celé realizace projektu, a to v těchto termínech: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30. 6. 2025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30. 9. 2025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31. 12. 2025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31. 3. 2026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Vzor (formulář k vyplnění) zprávy poskytne SDRUK partnerovi v dostatečném předstihu.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Povinnou součástí každé zprávy jsou počty realizovaných prezenčních a absenčních výpůjček jednotlivých zařízení, počty osob, kterým bylo poskytnuto individuální školení a případně termíny a počty osob absolvujících kurz pro seniory doplněné fotodokumentací.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Součástí zprávy mohou být informace o progresu u školených osob, příklady dobré praxe, ukázky materiálů apod.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Nepředložení zprávy ve stanoveném termínu se považuje za porušení smlouvy podstatným způsobem a SDRUK má právo v takovém případě od smlouvy odstoupit.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80"/>
        </w:tabs>
        <w:spacing w:after="0" w:before="0" w:line="240" w:lineRule="auto"/>
        <w:ind w:left="108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Poskytování zařízení pro projekt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SDRUK pro realizaci projektu na své náklady poskytnul partnerovi zařízení v předchozím ročníku spolupráce. Partner bude projekt realizovat s využitím těchto zařízení.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bude zacházet s technickými zařízeními dle svých vnitřních pravidel; seniorům je může půjčovat prezenčně či absenčně.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Knihovna může do zařízení nainstalovat aplikace dle konkrétních potřeb školených seniorů, přitom partner odpovídá za to, že bude dodržovat licenční podmínky užití jednotlivých aplikací.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Dojde-li v průběhu trvání projektu k poškození, zničení či ztrátě zařízení, SDRUK neposkytne nové zařízení.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má být na poškozeném technickém zařízení uplatněna záruka, je partner povinen zaslat technické zařízení SDRUKu; SDRUK bude následně reklamaci řešit s dodavatelem zařízení.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80"/>
        </w:tabs>
        <w:spacing w:after="0" w:before="0" w:line="240" w:lineRule="auto"/>
        <w:ind w:left="567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Financování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567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je financován z nadačního příspěvku Nadace Vodafone Česká republika se sídlem náměstí Junkových 2808/2, Stodůlky, 155 00 Praha 5, IČO 27442268 (dále jen „nadace“). Příjemcem nadačního příspěvku je SDRUK, který na jejím základě bude poskytovat partnerovi náhradu nákladů dle této smlouvy.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567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za každý jednotlivý uskutečněný kurz práce s technickými zařízeními (dle čl. II., odst. 2., písm. b), kterého se účastní 5-12 seniorů a který realizuje dle dohodnutého plánu projektu, a to řádně proškolenými pracovníky a v souladu s metodickými materiály, obdrží od SDRUKu paušální náhradu nákladů v částce 5000 Kč. Tato částka bude vyplacena ve lhůtě 30 dnů po odevzdání průběžné zprávy (dle čl. IV., odst. 5) za období, ve kterém kurz proběhl.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567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odstoupení od smlouvy dle čl. IV., odst. 6. smlouvy SDRUK neposkytne partnerovi náhradu za kurzy za období, ke kterému se vztahovala neodevzdaná anebo opožděně odevzdaná průběžná zpráva o realizaci projektu.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567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Ostatní části projektu (zejména poskytnutí asistence seniorům dle čl. II., odst. 2., písm. a) realizuje partner na své náklady.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567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je partner zapojen do jiného obdobného projektu na digitální vzdělávání seniorů, který je financován z jiných zdrojů anebo se v průběhu realizace projektu dle této smlouvy hodlá do takového jiného projektu zapojit, je partner povinen o tom bezodkladně informovat SDRUK; v takovém případě smluvní strany revidují plán tohoto projektu.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80"/>
        </w:tabs>
        <w:spacing w:after="0" w:before="0" w:line="240" w:lineRule="auto"/>
        <w:ind w:left="567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Propagace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567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se zavazuje ve všech písemných materiálech, případně na on-line publikovaných materiálech či audiovizuálních materiálech týkajících se projektu uvádět název a logo SDRUKu a název a logo Nadace Vodafone; přičemž logo SDRUKu a logo nadace použije v souladu s metodickými pokyny SDRUKu.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567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aktivně informuje o projektu ve svých prostorách a projekt propaguje pomocí materiálů (plakátů, letáků apod.), které mu předá SDRUK.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120" w:line="240" w:lineRule="auto"/>
        <w:ind w:left="567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zájmu médií (lokálních, odborných, atd.) partner bude konzultovat mediální výstupy s koordinátorem projektu na straně SDRUK.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80"/>
        </w:tabs>
        <w:spacing w:after="0" w:before="0" w:line="240" w:lineRule="auto"/>
        <w:ind w:left="1080" w:right="0" w:hanging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Společná a 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76" w:lineRule="auto"/>
        <w:ind w:left="705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může být měněna pouze písemnými dodatky obou stran.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76" w:lineRule="auto"/>
        <w:ind w:left="705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Strany mají právo odstoupit, pokud některá z nich hrubě poruší ustanovení této Smlouvy. Odstoupení musí být písemné a řádně doručené druhé straně.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76" w:lineRule="auto"/>
        <w:ind w:left="705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bude uveřejněna v registru smluv dle zákona č. 340/2015 Sb.; uveřejnění zajistí SDRUK.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76" w:lineRule="auto"/>
        <w:ind w:left="705" w:right="0" w:hanging="7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se vyhotovuje ve dvou stejnopisech, každá ze stran obdrží jeden stejnopis.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  <w:tab w:val="left" w:leader="none" w:pos="51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</w:t>
      </w:r>
      <w:r w:rsidDel="00000000" w:rsidR="00000000" w:rsidRPr="00000000">
        <w:rPr>
          <w:rtl w:val="0"/>
        </w:rPr>
        <w:t xml:space="preserve">ardubicích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dne</w:t>
        <w:tab/>
        <w:tab/>
        <w:t xml:space="preserve">V </w:t>
      </w:r>
      <w:r w:rsidDel="00000000" w:rsidR="00000000" w:rsidRPr="00000000">
        <w:rPr>
          <w:rtl w:val="0"/>
        </w:rPr>
        <w:t xml:space="preserve">Praze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dne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  <w:tab w:val="left" w:leader="none" w:pos="51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</w:t>
        <w:tab/>
        <w:t xml:space="preserve">………………………………………………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  <w:tab w:val="left" w:leader="none" w:pos="51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Ing. Radomíra Kodetová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Alexandra Laubová, MSc.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  <w:tab w:val="left" w:leader="none" w:pos="51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Sdružení knihoven ČR, z.s.</w:t>
        <w:tab/>
        <w:tab/>
        <w:t xml:space="preserve">Městská knihovna </w:t>
      </w:r>
      <w:r w:rsidDel="00000000" w:rsidR="00000000" w:rsidRPr="00000000">
        <w:rPr>
          <w:rtl w:val="0"/>
        </w:rPr>
        <w:t xml:space="preserve">v Praze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05" w:hanging="705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05" w:hanging="705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05" w:hanging="705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Heading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2233A3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 w:val="1"/>
    <w:qFormat w:val="1"/>
    <w:rsid w:val="002233A3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 w:val="1"/>
    <w:qFormat w:val="1"/>
    <w:rsid w:val="002233A3"/>
    <w:rPr>
      <w:b w:val="1"/>
      <w:bCs w:val="1"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 w:val="1"/>
    <w:qFormat w:val="1"/>
    <w:rsid w:val="002233A3"/>
    <w:rPr>
      <w:rFonts w:ascii="Segoe UI" w:cs="Segoe UI" w:hAnsi="Segoe UI"/>
      <w:sz w:val="18"/>
      <w:szCs w:val="18"/>
    </w:rPr>
  </w:style>
  <w:style w:type="paragraph" w:styleId="Nadpis">
    <w:name w:val="Nadpis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itle">
    <w:name w:val="Title"/>
    <w:basedOn w:val="Normal"/>
    <w:next w:val="Normal"/>
    <w:qFormat w:val="1"/>
    <w:pPr>
      <w:keepNext w:val="1"/>
      <w:keepLines w:val="1"/>
      <w:spacing w:after="60" w:before="0"/>
    </w:pPr>
    <w:rPr>
      <w:sz w:val="52"/>
      <w:szCs w:val="5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widowControl w:val="1"/>
      <w:shd w:fill="auto" w:val="clear"/>
      <w:spacing w:after="320" w:before="0" w:line="276" w:lineRule="auto"/>
      <w:ind w:left="0" w:right="0" w:hanging="0"/>
      <w:jc w:val="left"/>
    </w:pPr>
    <w:rPr>
      <w:rFonts w:ascii="Arial" w:cs="Arial" w:eastAsia="Arial" w:hAnsi="Arial"/>
      <w:b w:val="0"/>
      <w:i w:val="0"/>
      <w:caps w:val="0"/>
      <w:smallCaps w:val="0"/>
      <w:strike w:val="0"/>
      <w:dstrike w:val="0"/>
      <w:color w:val="666666"/>
      <w:position w:val="0"/>
      <w:sz w:val="30"/>
      <w:szCs w:val="30"/>
      <w:u w:val="none"/>
      <w:shd w:fill="auto" w:val="clear"/>
      <w:vertAlign w:val="baseline"/>
    </w:rPr>
  </w:style>
  <w:style w:type="paragraph" w:styleId="Annotationtext">
    <w:name w:val="annotation text"/>
    <w:basedOn w:val="Normal"/>
    <w:link w:val="TextkomenteChar"/>
    <w:uiPriority w:val="99"/>
    <w:semiHidden w:val="1"/>
    <w:unhideWhenUsed w:val="1"/>
    <w:qFormat w:val="1"/>
    <w:rsid w:val="002233A3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 w:val="1"/>
    <w:unhideWhenUsed w:val="1"/>
    <w:qFormat w:val="1"/>
    <w:rsid w:val="002233A3"/>
    <w:pPr/>
    <w:rPr>
      <w:b w:val="1"/>
      <w:bCs w:val="1"/>
    </w:rPr>
  </w:style>
  <w:style w:type="paragraph" w:styleId="BalloonText">
    <w:name w:val="Balloon Text"/>
    <w:basedOn w:val="Normal"/>
    <w:link w:val="TextbublinyChar"/>
    <w:uiPriority w:val="99"/>
    <w:semiHidden w:val="1"/>
    <w:unhideWhenUsed w:val="1"/>
    <w:qFormat w:val="1"/>
    <w:rsid w:val="002233A3"/>
    <w:pPr>
      <w:spacing w:line="240" w:lineRule="auto"/>
    </w:pPr>
    <w:rPr>
      <w:rFonts w:ascii="Segoe UI" w:cs="Segoe UI" w:hAnsi="Segoe UI"/>
      <w:sz w:val="18"/>
      <w:szCs w:val="1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Normlntabulka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EHD+fdoBLZG28XNbOP+r1yqRg==">CgMxLjAyCWguMzBqMHpsbDIIaC5namRneHMyDmguOGttYzlncWJxY3VyMg5oLjFyeGZ5ZWF2eXhjODIOaC40anlubXZvY2Vkems4AHIhMWZBekhDXzBpaHB6TTNfek9sbHhtOC03WmRraVlWRmx2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2024-04-19T07:56:00Z</dcterms:created>
  <dc:creator>PhDr. Ivana Feldmanová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