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6D69BE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C6357A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42286D1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6357A">
        <w:rPr>
          <w:spacing w:val="0"/>
          <w:kern w:val="0"/>
          <w:sz w:val="24"/>
          <w:szCs w:val="24"/>
        </w:rPr>
        <w:t>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37E92F8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8D23C1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7D14841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8CE01C7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Eviden Czech Republic s.r.o.</w:t>
      </w:r>
    </w:p>
    <w:p w14:paraId="52270AC8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Doudlebská 1699/5, 140 00 Praha 4 – Nusle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ED56C2E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44851391</w:t>
      </w:r>
      <w:r w:rsidRPr="00022068">
        <w:rPr>
          <w:rFonts w:cs="Arial"/>
          <w:bCs/>
          <w:color w:val="000000"/>
          <w:szCs w:val="20"/>
        </w:rPr>
        <w:tab/>
      </w:r>
    </w:p>
    <w:p w14:paraId="1CA3EC2B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CZ</w:t>
      </w:r>
      <w:r w:rsidRPr="00022068">
        <w:rPr>
          <w:rFonts w:cs="Arial"/>
          <w:bCs/>
          <w:color w:val="000000"/>
          <w:szCs w:val="20"/>
        </w:rPr>
        <w:t>44851391</w:t>
      </w:r>
    </w:p>
    <w:p w14:paraId="0334141D" w14:textId="5E3687E1" w:rsidR="00C6357A" w:rsidRPr="001B0B76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 xml:space="preserve">bankovní spojení: </w:t>
      </w:r>
      <w:r w:rsidRPr="001B0B76">
        <w:rPr>
          <w:rFonts w:cs="Arial"/>
          <w:bCs/>
          <w:color w:val="000000"/>
          <w:szCs w:val="20"/>
        </w:rPr>
        <w:tab/>
      </w:r>
      <w:r w:rsidR="00B0385B" w:rsidRPr="00B0385B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7FF441D9" w14:textId="4ACF3CF2" w:rsidR="00C6357A" w:rsidRPr="001B0B76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B0385B" w:rsidRPr="00B0385B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61A216D" w14:textId="0A0AD334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 xml:space="preserve">Ing. </w:t>
      </w:r>
      <w:r w:rsidR="00E04A59">
        <w:rPr>
          <w:rFonts w:cs="Arial"/>
          <w:bCs/>
          <w:color w:val="000000"/>
          <w:szCs w:val="20"/>
        </w:rPr>
        <w:t>Jaroslavem Šimkem</w:t>
      </w:r>
      <w:r w:rsidRPr="00022068">
        <w:rPr>
          <w:rFonts w:cs="Arial"/>
          <w:bCs/>
          <w:color w:val="000000"/>
          <w:szCs w:val="20"/>
        </w:rPr>
        <w:t>, jednatel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</w:t>
      </w:r>
    </w:p>
    <w:p w14:paraId="53810FF7" w14:textId="77777777" w:rsidR="00C6357A" w:rsidRPr="00022068" w:rsidRDefault="00C6357A" w:rsidP="00C6357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8954</w:t>
      </w:r>
    </w:p>
    <w:p w14:paraId="194E4781" w14:textId="77777777" w:rsidR="00C6357A" w:rsidRPr="00040C60" w:rsidRDefault="00C6357A" w:rsidP="00C6357A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DB8B8B6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C6357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C6357A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C6357A">
        <w:rPr>
          <w:rFonts w:cs="Arial"/>
          <w:szCs w:val="22"/>
          <w:lang w:eastAsia="en-US"/>
        </w:rPr>
        <w:t>12. 12. 2023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C6357A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39F8432C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C6357A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C6357A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C6357A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7C9E51C" w14:textId="7A586BEB" w:rsidR="00C6357A" w:rsidRPr="00F9198F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12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eastAsia="en-US"/>
        </w:rPr>
        <w:t>1</w:t>
      </w:r>
      <w:r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3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2</w:t>
      </w:r>
      <w:r>
        <w:rPr>
          <w:rFonts w:cs="Arial"/>
          <w:szCs w:val="22"/>
          <w:lang w:val="cs-CZ" w:eastAsia="en-US"/>
        </w:rPr>
        <w:t>“)</w:t>
      </w:r>
      <w:r w:rsidR="00A33DEF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A33DEF">
        <w:rPr>
          <w:rFonts w:cs="Arial"/>
          <w:szCs w:val="22"/>
          <w:lang w:val="cs-CZ" w:eastAsia="en-US"/>
        </w:rPr>
        <w:t xml:space="preserve">výsledku </w:t>
      </w:r>
      <w:r>
        <w:rPr>
          <w:rFonts w:cs="Arial"/>
          <w:szCs w:val="22"/>
          <w:lang w:val="cs-CZ" w:eastAsia="en-US"/>
        </w:rPr>
        <w:t>minitendru s názvem „</w:t>
      </w:r>
      <w:r w:rsidRPr="005B178A">
        <w:rPr>
          <w:rFonts w:cs="Arial"/>
          <w:i/>
          <w:iCs/>
          <w:szCs w:val="22"/>
          <w:lang w:val="cs-CZ" w:eastAsia="en-US"/>
        </w:rPr>
        <w:t>(</w:t>
      </w:r>
      <w:r w:rsidRPr="005B178A">
        <w:rPr>
          <w:rFonts w:cs="Arial"/>
          <w:i/>
          <w:iCs/>
          <w:szCs w:val="20"/>
        </w:rPr>
        <w:t>M-0</w:t>
      </w:r>
      <w:r>
        <w:rPr>
          <w:rFonts w:cs="Arial"/>
          <w:i/>
          <w:iCs/>
          <w:szCs w:val="20"/>
        </w:rPr>
        <w:t>2</w:t>
      </w:r>
      <w:r w:rsidRPr="005B178A">
        <w:rPr>
          <w:rFonts w:cs="Arial"/>
          <w:i/>
          <w:iCs/>
          <w:szCs w:val="20"/>
        </w:rPr>
        <w:t xml:space="preserve">) </w:t>
      </w:r>
      <w:r w:rsidRPr="00B952D9">
        <w:rPr>
          <w:rFonts w:cs="Arial"/>
          <w:i/>
          <w:iCs/>
          <w:szCs w:val="20"/>
        </w:rPr>
        <w:t xml:space="preserve">IT delivery </w:t>
      </w:r>
      <w:r>
        <w:rPr>
          <w:rFonts w:cs="Arial"/>
          <w:i/>
          <w:iCs/>
          <w:szCs w:val="20"/>
        </w:rPr>
        <w:t>– P</w:t>
      </w:r>
      <w:r w:rsidRPr="00B952D9">
        <w:rPr>
          <w:rFonts w:cs="Arial"/>
          <w:i/>
          <w:iCs/>
          <w:szCs w:val="20"/>
        </w:rPr>
        <w:t>oskytování implementačních služeb k projektu DWH</w:t>
      </w:r>
      <w:r w:rsidRPr="00076F3A">
        <w:rPr>
          <w:rFonts w:cs="Arial"/>
          <w:i/>
          <w:iCs/>
          <w:szCs w:val="22"/>
          <w:lang w:eastAsia="en-US"/>
        </w:rPr>
        <w:t>“</w:t>
      </w:r>
      <w:r>
        <w:rPr>
          <w:rFonts w:cs="Arial"/>
          <w:i/>
          <w:iCs/>
          <w:szCs w:val="22"/>
          <w:lang w:eastAsia="en-US"/>
        </w:rPr>
        <w:t xml:space="preserve"> </w:t>
      </w:r>
      <w:r w:rsidRPr="00B3197A">
        <w:rPr>
          <w:rFonts w:cs="Arial"/>
          <w:szCs w:val="22"/>
          <w:lang w:eastAsia="en-US"/>
        </w:rPr>
        <w:t>(dále jen “</w:t>
      </w:r>
      <w:r w:rsidRPr="00B3197A">
        <w:rPr>
          <w:rFonts w:cs="Arial"/>
          <w:b/>
          <w:bCs/>
          <w:szCs w:val="22"/>
          <w:lang w:eastAsia="en-US"/>
        </w:rPr>
        <w:t>Minitendr</w:t>
      </w:r>
      <w:r w:rsidRPr="00B3197A">
        <w:rPr>
          <w:rFonts w:cs="Arial"/>
          <w:szCs w:val="22"/>
          <w:lang w:eastAsia="en-US"/>
        </w:rPr>
        <w:t>”).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2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Pr="005B178A">
        <w:rPr>
          <w:rFonts w:cs="Arial"/>
          <w:szCs w:val="20"/>
        </w:rPr>
        <w:t xml:space="preserve"> </w:t>
      </w:r>
      <w:r w:rsidRPr="00511241">
        <w:rPr>
          <w:rFonts w:cs="Arial"/>
          <w:szCs w:val="20"/>
        </w:rPr>
        <w:t xml:space="preserve">pro realizaci implementačních služeb </w:t>
      </w:r>
      <w:r w:rsidRPr="00901560">
        <w:rPr>
          <w:rFonts w:cs="Arial"/>
          <w:szCs w:val="20"/>
        </w:rPr>
        <w:t xml:space="preserve">pro projekt Data Warehouse (DWH). </w:t>
      </w:r>
      <w:bookmarkStart w:id="2" w:name="_Hlk195729468"/>
      <w:r w:rsidR="00A33DEF">
        <w:rPr>
          <w:rFonts w:cs="Arial"/>
          <w:szCs w:val="20"/>
        </w:rPr>
        <w:t>IT</w:t>
      </w:r>
      <w:r w:rsidRPr="00901560">
        <w:rPr>
          <w:rFonts w:cs="Arial"/>
          <w:szCs w:val="20"/>
        </w:rPr>
        <w:t xml:space="preserve"> odborníci </w:t>
      </w:r>
      <w:r w:rsidR="00A33DEF">
        <w:rPr>
          <w:rFonts w:cs="Arial"/>
          <w:szCs w:val="20"/>
        </w:rPr>
        <w:t xml:space="preserve">Poskytovatele </w:t>
      </w:r>
      <w:r w:rsidRPr="00901560">
        <w:rPr>
          <w:rFonts w:cs="Arial"/>
          <w:szCs w:val="20"/>
        </w:rPr>
        <w:t>se podíl</w:t>
      </w:r>
      <w:r>
        <w:rPr>
          <w:rFonts w:cs="Arial"/>
          <w:szCs w:val="20"/>
        </w:rPr>
        <w:t>í</w:t>
      </w:r>
      <w:r w:rsidRPr="00901560">
        <w:rPr>
          <w:rFonts w:cs="Arial"/>
          <w:szCs w:val="20"/>
        </w:rPr>
        <w:t xml:space="preserve"> na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stavbě, provozu 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uživatelském používání datového skladu, který bude integrovat data agendových systémů s cílem zajistit reporting a analytiku nad daty MPSV.</w:t>
      </w:r>
      <w:r w:rsidR="00A33DEF" w:rsidRPr="00A33DEF">
        <w:rPr>
          <w:rFonts w:cs="Arial"/>
          <w:szCs w:val="20"/>
        </w:rPr>
        <w:t xml:space="preserve"> </w:t>
      </w:r>
      <w:r w:rsidR="00A33DEF" w:rsidRPr="00901560">
        <w:rPr>
          <w:rFonts w:cs="Arial"/>
          <w:szCs w:val="20"/>
        </w:rPr>
        <w:t>Data Warehouse</w:t>
      </w:r>
      <w:r w:rsidRPr="00901560">
        <w:rPr>
          <w:rFonts w:cs="Arial"/>
          <w:szCs w:val="20"/>
        </w:rPr>
        <w:t xml:space="preserve"> </w:t>
      </w:r>
      <w:r w:rsidR="00A33DEF">
        <w:rPr>
          <w:rFonts w:cs="Arial"/>
          <w:szCs w:val="20"/>
        </w:rPr>
        <w:t>(</w:t>
      </w:r>
      <w:r w:rsidRPr="00901560">
        <w:rPr>
          <w:rFonts w:cs="Arial"/>
          <w:szCs w:val="20"/>
        </w:rPr>
        <w:t>DWH</w:t>
      </w:r>
      <w:r w:rsidR="00A33DEF">
        <w:rPr>
          <w:rFonts w:cs="Arial"/>
          <w:szCs w:val="20"/>
        </w:rPr>
        <w:t>)</w:t>
      </w:r>
      <w:r w:rsidRPr="00901560">
        <w:rPr>
          <w:rFonts w:cs="Arial"/>
          <w:szCs w:val="20"/>
        </w:rPr>
        <w:t xml:space="preserve"> se nachází v Azure Databricks a jako reportovací nástroj se používá PowerBI</w:t>
      </w:r>
      <w:r>
        <w:rPr>
          <w:rFonts w:cs="Arial"/>
          <w:szCs w:val="20"/>
        </w:rPr>
        <w:t xml:space="preserve"> (dále jen </w:t>
      </w:r>
      <w:r>
        <w:rPr>
          <w:rFonts w:cs="Arial"/>
          <w:szCs w:val="22"/>
          <w:lang w:val="cs-CZ" w:eastAsia="en-US"/>
        </w:rPr>
        <w:t>„</w:t>
      </w:r>
      <w:r w:rsidRPr="005B178A">
        <w:rPr>
          <w:rFonts w:cs="Arial"/>
          <w:b/>
          <w:bCs/>
          <w:szCs w:val="20"/>
        </w:rPr>
        <w:t>Služby</w:t>
      </w:r>
      <w:r>
        <w:rPr>
          <w:rFonts w:cs="Arial"/>
          <w:szCs w:val="20"/>
        </w:rPr>
        <w:t>”)</w:t>
      </w:r>
      <w:r w:rsidRPr="001B4226">
        <w:rPr>
          <w:rFonts w:cs="Arial"/>
          <w:szCs w:val="20"/>
        </w:rPr>
        <w:t xml:space="preserve">. </w:t>
      </w:r>
      <w:bookmarkEnd w:id="2"/>
    </w:p>
    <w:p w14:paraId="3788B068" w14:textId="5074DA8C" w:rsidR="00C6357A" w:rsidRPr="00C6357A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2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A33DEF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2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5C43423" w14:textId="20696F20" w:rsidR="00C6357A" w:rsidRPr="00D34F4A" w:rsidRDefault="00A33DEF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>Smluvní strany</w:t>
      </w:r>
      <w:r w:rsidR="00C6357A">
        <w:rPr>
          <w:rFonts w:cs="Arial"/>
          <w:lang w:val="cs-CZ"/>
        </w:rPr>
        <w:t xml:space="preserve"> dne 18. 12. 2024 uzavře</w:t>
      </w:r>
      <w:r>
        <w:rPr>
          <w:rFonts w:cs="Arial"/>
          <w:lang w:val="cs-CZ"/>
        </w:rPr>
        <w:t xml:space="preserve">ly </w:t>
      </w:r>
      <w:bookmarkStart w:id="3" w:name="_Hlk195729589"/>
      <w:r>
        <w:rPr>
          <w:rFonts w:cs="Arial"/>
          <w:lang w:val="cs-CZ"/>
        </w:rPr>
        <w:t>v souladu s</w:t>
      </w:r>
      <w:r w:rsidRPr="00A33DEF">
        <w:rPr>
          <w:rFonts w:cs="Arial"/>
          <w:lang w:val="cs-CZ"/>
        </w:rPr>
        <w:t xml:space="preserve"> § 222 odst. 3 zákona č. 134/2016 Sb., o zadávání veřejných zakázek, ve znění pozdějších předpisů (dále jen „</w:t>
      </w:r>
      <w:r w:rsidRPr="00A33DEF">
        <w:rPr>
          <w:rFonts w:cs="Arial"/>
          <w:b/>
          <w:bCs/>
          <w:lang w:val="cs-CZ"/>
        </w:rPr>
        <w:t>ZZVZ</w:t>
      </w:r>
      <w:r w:rsidRPr="00A33DEF">
        <w:rPr>
          <w:rFonts w:cs="Arial"/>
          <w:lang w:val="cs-CZ"/>
        </w:rPr>
        <w:t>“)</w:t>
      </w:r>
      <w:bookmarkEnd w:id="3"/>
      <w:r w:rsidRPr="00A33DEF">
        <w:rPr>
          <w:rFonts w:cs="Arial"/>
          <w:lang w:val="cs-CZ"/>
        </w:rPr>
        <w:t xml:space="preserve">, </w:t>
      </w:r>
      <w:r>
        <w:rPr>
          <w:rFonts w:cs="Arial"/>
          <w:lang w:val="cs-CZ"/>
        </w:rPr>
        <w:t>d</w:t>
      </w:r>
      <w:r w:rsidR="00C6357A">
        <w:rPr>
          <w:rFonts w:cs="Arial"/>
          <w:lang w:val="cs-CZ"/>
        </w:rPr>
        <w:t>odatek č. 1</w:t>
      </w:r>
      <w:r>
        <w:rPr>
          <w:rFonts w:cs="Arial"/>
          <w:lang w:val="cs-CZ"/>
        </w:rPr>
        <w:t xml:space="preserve"> k </w:t>
      </w:r>
      <w:r w:rsidR="00FE46A0">
        <w:rPr>
          <w:rFonts w:cs="Arial"/>
          <w:lang w:val="cs-CZ"/>
        </w:rPr>
        <w:t>D</w:t>
      </w:r>
      <w:r>
        <w:rPr>
          <w:rFonts w:cs="Arial"/>
          <w:lang w:val="cs-CZ"/>
        </w:rPr>
        <w:t>ílčí smlouvě č. 2</w:t>
      </w:r>
      <w:r w:rsidR="00C6357A">
        <w:rPr>
          <w:rFonts w:cs="Arial"/>
          <w:lang w:val="cs-CZ"/>
        </w:rPr>
        <w:t xml:space="preserve">, kterým </w:t>
      </w:r>
      <w:r>
        <w:rPr>
          <w:rFonts w:cs="Arial"/>
          <w:lang w:val="cs-CZ"/>
        </w:rPr>
        <w:t xml:space="preserve">byla rozložena </w:t>
      </w:r>
      <w:r w:rsidR="00C6357A">
        <w:rPr>
          <w:rFonts w:cs="Arial"/>
          <w:lang w:val="cs-CZ"/>
        </w:rPr>
        <w:t>dob</w:t>
      </w:r>
      <w:r w:rsidR="000B0351">
        <w:rPr>
          <w:rFonts w:cs="Arial"/>
          <w:lang w:val="cs-CZ"/>
        </w:rPr>
        <w:t>a</w:t>
      </w:r>
      <w:r w:rsidR="00C6357A">
        <w:rPr>
          <w:rFonts w:cs="Arial"/>
          <w:lang w:val="cs-CZ"/>
        </w:rPr>
        <w:t xml:space="preserve"> poskytování </w:t>
      </w:r>
      <w:r w:rsidR="00C6357A">
        <w:rPr>
          <w:rFonts w:cs="Arial"/>
          <w:lang w:eastAsia="en-US"/>
        </w:rPr>
        <w:t>Služeb sjednaných Dílčí smlouvou č. 2 do delšího časového období</w:t>
      </w:r>
      <w:r>
        <w:rPr>
          <w:rFonts w:cs="Arial"/>
          <w:lang w:eastAsia="en-US"/>
        </w:rPr>
        <w:t xml:space="preserve">, </w:t>
      </w:r>
      <w:bookmarkStart w:id="4" w:name="_Hlk195729635"/>
      <w:r>
        <w:rPr>
          <w:rFonts w:cs="Arial"/>
          <w:lang w:eastAsia="en-US"/>
        </w:rPr>
        <w:t xml:space="preserve">a to z důvodu objektivní potřeby nastalé na straně Objednatele </w:t>
      </w:r>
      <w:bookmarkEnd w:id="4"/>
      <w:r w:rsidR="00707E0A">
        <w:rPr>
          <w:rFonts w:cs="Arial"/>
          <w:lang w:eastAsia="en-US"/>
        </w:rPr>
        <w:t xml:space="preserve">(dále jen </w:t>
      </w:r>
      <w:r>
        <w:rPr>
          <w:rFonts w:cs="Arial"/>
          <w:szCs w:val="22"/>
          <w:lang w:val="cs-CZ" w:eastAsia="en-US"/>
        </w:rPr>
        <w:t>„</w:t>
      </w:r>
      <w:r w:rsidR="00707E0A" w:rsidRPr="00707E0A">
        <w:rPr>
          <w:rFonts w:cs="Arial"/>
          <w:b/>
          <w:bCs/>
          <w:lang w:eastAsia="en-US"/>
        </w:rPr>
        <w:t>Dodatek č. 1</w:t>
      </w:r>
      <w:r w:rsidR="00707E0A">
        <w:rPr>
          <w:rFonts w:cs="Arial"/>
          <w:lang w:eastAsia="en-US"/>
        </w:rPr>
        <w:t>”)</w:t>
      </w:r>
      <w:r w:rsidR="00C6357A">
        <w:rPr>
          <w:rFonts w:cs="Arial"/>
          <w:lang w:eastAsia="en-US"/>
        </w:rPr>
        <w:t>.</w:t>
      </w:r>
    </w:p>
    <w:p w14:paraId="216F6AE1" w14:textId="07D8DA1F" w:rsidR="00E7425F" w:rsidRPr="001456D8" w:rsidRDefault="0072094A" w:rsidP="00ED3E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1456D8">
        <w:rPr>
          <w:rFonts w:cs="Arial"/>
          <w:szCs w:val="20"/>
          <w:lang w:val="cs-CZ" w:eastAsia="en-US"/>
        </w:rPr>
        <w:t xml:space="preserve">Důvodem uzavření tohoto Dodatku č. 2 je nezbytnost rozšíření rozsahu </w:t>
      </w:r>
      <w:r w:rsidR="0074244E">
        <w:rPr>
          <w:rFonts w:cs="Arial"/>
          <w:szCs w:val="20"/>
          <w:lang w:val="cs-CZ" w:eastAsia="en-US"/>
        </w:rPr>
        <w:t>S</w:t>
      </w:r>
      <w:r w:rsidRPr="001456D8">
        <w:rPr>
          <w:rFonts w:cs="Arial"/>
          <w:szCs w:val="20"/>
          <w:lang w:val="cs-CZ" w:eastAsia="en-US"/>
        </w:rPr>
        <w:t>lužeb sjednaných Dílčí smlouv</w:t>
      </w:r>
      <w:r w:rsidR="00A33DEF">
        <w:rPr>
          <w:rFonts w:cs="Arial"/>
          <w:szCs w:val="20"/>
          <w:lang w:val="cs-CZ" w:eastAsia="en-US"/>
        </w:rPr>
        <w:t>ou</w:t>
      </w:r>
      <w:r w:rsidRPr="001456D8">
        <w:rPr>
          <w:rFonts w:cs="Arial"/>
          <w:szCs w:val="20"/>
          <w:lang w:val="cs-CZ" w:eastAsia="en-US"/>
        </w:rPr>
        <w:t xml:space="preserve"> č. 2</w:t>
      </w:r>
      <w:r w:rsidR="00C06547">
        <w:rPr>
          <w:rFonts w:cs="Arial"/>
          <w:szCs w:val="20"/>
          <w:lang w:val="cs-CZ" w:eastAsia="en-US"/>
        </w:rPr>
        <w:t xml:space="preserve"> z důvodu potřeby </w:t>
      </w:r>
      <w:r w:rsidRPr="001456D8">
        <w:rPr>
          <w:rFonts w:cs="Arial"/>
          <w:szCs w:val="20"/>
          <w:lang w:val="cs-CZ" w:eastAsia="en-US"/>
        </w:rPr>
        <w:t xml:space="preserve">efektivně reagovat na nové požadavky vzniklé v rámci rozvoje systémů a projektů </w:t>
      </w:r>
      <w:r w:rsidR="00C06547">
        <w:rPr>
          <w:rFonts w:cs="Arial"/>
          <w:szCs w:val="20"/>
          <w:lang w:val="cs-CZ" w:eastAsia="en-US"/>
        </w:rPr>
        <w:t>MPSV</w:t>
      </w:r>
      <w:r w:rsidRPr="001456D8">
        <w:rPr>
          <w:rFonts w:cs="Arial"/>
          <w:szCs w:val="20"/>
          <w:lang w:val="cs-CZ" w:eastAsia="en-US"/>
        </w:rPr>
        <w:t xml:space="preserve">. </w:t>
      </w:r>
      <w:r w:rsidR="00C06547">
        <w:rPr>
          <w:rFonts w:cs="Arial"/>
          <w:szCs w:val="20"/>
          <w:lang w:val="cs-CZ" w:eastAsia="en-US"/>
        </w:rPr>
        <w:t>P</w:t>
      </w:r>
      <w:r w:rsidRPr="001456D8">
        <w:rPr>
          <w:rFonts w:cs="Arial"/>
          <w:szCs w:val="20"/>
          <w:lang w:val="cs-CZ" w:eastAsia="en-US"/>
        </w:rPr>
        <w:t xml:space="preserve">ožadavky </w:t>
      </w:r>
      <w:r w:rsidR="00C06547">
        <w:rPr>
          <w:rFonts w:cs="Arial"/>
          <w:szCs w:val="20"/>
          <w:lang w:val="cs-CZ" w:eastAsia="en-US"/>
        </w:rPr>
        <w:t xml:space="preserve">dle předchozí věty </w:t>
      </w:r>
      <w:r w:rsidRPr="001456D8">
        <w:rPr>
          <w:rFonts w:cs="Arial"/>
          <w:szCs w:val="20"/>
          <w:lang w:val="cs-CZ" w:eastAsia="en-US"/>
        </w:rPr>
        <w:t xml:space="preserve">vyžadují </w:t>
      </w:r>
      <w:r w:rsidR="0074244E">
        <w:rPr>
          <w:rFonts w:cs="Arial"/>
          <w:color w:val="000000"/>
          <w:szCs w:val="20"/>
        </w:rPr>
        <w:t>opětovné rozložení doby poskytování Služeb do delšího časového období a současně</w:t>
      </w:r>
      <w:r w:rsidR="0074244E" w:rsidRPr="001456D8">
        <w:rPr>
          <w:rFonts w:cs="Arial"/>
          <w:szCs w:val="20"/>
          <w:lang w:val="cs-CZ" w:eastAsia="en-US"/>
        </w:rPr>
        <w:t xml:space="preserve"> </w:t>
      </w:r>
      <w:r w:rsidRPr="001456D8">
        <w:rPr>
          <w:rFonts w:cs="Arial"/>
          <w:szCs w:val="20"/>
          <w:lang w:val="cs-CZ" w:eastAsia="en-US"/>
        </w:rPr>
        <w:t>navýšení kapacit</w:t>
      </w:r>
      <w:r w:rsidR="00C06547">
        <w:rPr>
          <w:rFonts w:cs="Arial"/>
          <w:szCs w:val="20"/>
          <w:lang w:val="cs-CZ" w:eastAsia="en-US"/>
        </w:rPr>
        <w:t xml:space="preserve"> IT odborníků </w:t>
      </w:r>
      <w:r w:rsidR="00ED3EE7">
        <w:rPr>
          <w:rFonts w:cs="Arial"/>
          <w:szCs w:val="20"/>
          <w:lang w:val="cs-CZ" w:eastAsia="en-US"/>
        </w:rPr>
        <w:t>P</w:t>
      </w:r>
      <w:r w:rsidRPr="001456D8">
        <w:rPr>
          <w:rFonts w:cs="Arial"/>
          <w:szCs w:val="20"/>
          <w:lang w:val="cs-CZ" w:eastAsia="en-US"/>
        </w:rPr>
        <w:t>oskytovatele v oblasti procesního reportingu a datových analýz pro zajištění kvalitního a včasného plnění úkolů</w:t>
      </w:r>
      <w:r w:rsidR="00ED3EE7">
        <w:rPr>
          <w:rFonts w:cs="Arial"/>
          <w:szCs w:val="20"/>
          <w:lang w:val="cs-CZ" w:eastAsia="en-US"/>
        </w:rPr>
        <w:t>, konkrétně</w:t>
      </w:r>
      <w:r w:rsidR="00FB40F3" w:rsidRPr="001456D8">
        <w:rPr>
          <w:rFonts w:cs="Arial"/>
          <w:szCs w:val="20"/>
        </w:rPr>
        <w:t>:</w:t>
      </w:r>
    </w:p>
    <w:p w14:paraId="7395CD36" w14:textId="052743EC" w:rsidR="00C06547" w:rsidRPr="00C06547" w:rsidRDefault="00C06547" w:rsidP="00C06547">
      <w:pPr>
        <w:pStyle w:val="RLTextlnkuslovan"/>
        <w:numPr>
          <w:ilvl w:val="0"/>
          <w:numId w:val="13"/>
        </w:numPr>
        <w:spacing w:before="60" w:after="0" w:line="280" w:lineRule="atLeast"/>
        <w:rPr>
          <w:rFonts w:cs="Arial"/>
          <w:szCs w:val="20"/>
        </w:rPr>
      </w:pPr>
      <w:r w:rsidRPr="00C06547">
        <w:rPr>
          <w:rFonts w:cs="Arial"/>
          <w:szCs w:val="20"/>
        </w:rPr>
        <w:t>vývoj a integrace reportovacích funkcí, implementace nových modulů pro procesní a operativní reporting</w:t>
      </w:r>
      <w:r>
        <w:rPr>
          <w:rFonts w:cs="Arial"/>
          <w:szCs w:val="20"/>
        </w:rPr>
        <w:t>;</w:t>
      </w:r>
    </w:p>
    <w:p w14:paraId="0F4FBBAB" w14:textId="5D2DF34A" w:rsidR="00C06547" w:rsidRPr="00C06547" w:rsidRDefault="00C06547" w:rsidP="00C06547">
      <w:pPr>
        <w:pStyle w:val="RLTextlnkuslovan"/>
        <w:numPr>
          <w:ilvl w:val="0"/>
          <w:numId w:val="13"/>
        </w:numPr>
        <w:spacing w:before="60" w:after="0" w:line="280" w:lineRule="atLeast"/>
        <w:rPr>
          <w:rFonts w:cs="Arial"/>
          <w:szCs w:val="20"/>
        </w:rPr>
      </w:pPr>
      <w:r w:rsidRPr="00C06547">
        <w:rPr>
          <w:rFonts w:cs="Arial"/>
          <w:szCs w:val="20"/>
        </w:rPr>
        <w:t>datové optimalizace a údržb</w:t>
      </w:r>
      <w:r>
        <w:rPr>
          <w:rFonts w:cs="Arial"/>
          <w:szCs w:val="20"/>
        </w:rPr>
        <w:t>y</w:t>
      </w:r>
      <w:r w:rsidRPr="00C06547">
        <w:rPr>
          <w:rFonts w:cs="Arial"/>
          <w:szCs w:val="20"/>
        </w:rPr>
        <w:t>, optimalizace datových toků a systémov</w:t>
      </w:r>
      <w:r>
        <w:rPr>
          <w:rFonts w:cs="Arial"/>
          <w:szCs w:val="20"/>
        </w:rPr>
        <w:t>é</w:t>
      </w:r>
      <w:r w:rsidRPr="00C06547">
        <w:rPr>
          <w:rFonts w:cs="Arial"/>
          <w:szCs w:val="20"/>
        </w:rPr>
        <w:t xml:space="preserve"> podpor</w:t>
      </w:r>
      <w:r>
        <w:rPr>
          <w:rFonts w:cs="Arial"/>
          <w:szCs w:val="20"/>
        </w:rPr>
        <w:t>y</w:t>
      </w:r>
      <w:r w:rsidRPr="00C06547">
        <w:rPr>
          <w:rFonts w:cs="Arial"/>
          <w:szCs w:val="20"/>
        </w:rPr>
        <w:t xml:space="preserve"> pro efektivní správu datamartů; pravideln</w:t>
      </w:r>
      <w:r>
        <w:rPr>
          <w:rFonts w:cs="Arial"/>
          <w:szCs w:val="20"/>
        </w:rPr>
        <w:t>é</w:t>
      </w:r>
      <w:r w:rsidRPr="00C06547">
        <w:rPr>
          <w:rFonts w:cs="Arial"/>
          <w:szCs w:val="20"/>
        </w:rPr>
        <w:t xml:space="preserve"> aktualizace a údržba reportů a datových analýz</w:t>
      </w:r>
      <w:r>
        <w:rPr>
          <w:rFonts w:cs="Arial"/>
          <w:szCs w:val="20"/>
        </w:rPr>
        <w:t>;</w:t>
      </w:r>
    </w:p>
    <w:p w14:paraId="3D8F972B" w14:textId="113DEA3C" w:rsidR="0072094A" w:rsidRPr="001456D8" w:rsidRDefault="00ED3EE7" w:rsidP="00277E55">
      <w:pPr>
        <w:pStyle w:val="RLTextlnkuslovan"/>
        <w:numPr>
          <w:ilvl w:val="0"/>
          <w:numId w:val="13"/>
        </w:numPr>
        <w:spacing w:before="60" w:after="0" w:line="280" w:lineRule="atLeast"/>
        <w:ind w:left="1281" w:hanging="357"/>
        <w:rPr>
          <w:rFonts w:cs="Arial"/>
          <w:szCs w:val="20"/>
        </w:rPr>
      </w:pPr>
      <w:r>
        <w:rPr>
          <w:rFonts w:cs="Arial"/>
          <w:szCs w:val="20"/>
          <w:lang w:val="cs-CZ"/>
        </w:rPr>
        <w:t>v</w:t>
      </w:r>
      <w:r w:rsidR="0072094A" w:rsidRPr="001456D8">
        <w:rPr>
          <w:rFonts w:cs="Arial"/>
          <w:szCs w:val="20"/>
          <w:lang w:val="cs-CZ"/>
        </w:rPr>
        <w:t>ytvoření pokročilého reportingu, který umožní detailní sledování procesů a jejich efektivity v rámci systémů IS ZAM a Camunda</w:t>
      </w:r>
      <w:r>
        <w:rPr>
          <w:rFonts w:cs="Arial"/>
          <w:szCs w:val="20"/>
          <w:lang w:val="cs-CZ"/>
        </w:rPr>
        <w:t>;</w:t>
      </w:r>
    </w:p>
    <w:p w14:paraId="3FFB3A27" w14:textId="3C4D09AD" w:rsidR="0072094A" w:rsidRPr="0072094A" w:rsidRDefault="00ED3EE7" w:rsidP="00277E55">
      <w:pPr>
        <w:numPr>
          <w:ilvl w:val="0"/>
          <w:numId w:val="13"/>
        </w:numPr>
        <w:shd w:val="clear" w:color="auto" w:fill="FFFFFF"/>
        <w:spacing w:after="100" w:afterAutospacing="1" w:line="280" w:lineRule="atLeast"/>
        <w:ind w:left="1281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</w:t>
      </w:r>
      <w:r w:rsidR="0072094A" w:rsidRPr="0072094A">
        <w:rPr>
          <w:rFonts w:cs="Arial"/>
          <w:color w:val="000000"/>
          <w:szCs w:val="20"/>
        </w:rPr>
        <w:t>ývoj specializovaných</w:t>
      </w:r>
      <w:r>
        <w:rPr>
          <w:rFonts w:cs="Arial"/>
          <w:color w:val="000000"/>
          <w:szCs w:val="20"/>
        </w:rPr>
        <w:t xml:space="preserve"> </w:t>
      </w:r>
      <w:r w:rsidR="0072094A" w:rsidRPr="0072094A">
        <w:rPr>
          <w:rFonts w:cs="Arial"/>
          <w:color w:val="000000"/>
          <w:szCs w:val="20"/>
        </w:rPr>
        <w:t>datamartů, které zlepší analytické schopnosti úřadu práce a podpoří jejich operativní a strategické rozhodování</w:t>
      </w:r>
      <w:r>
        <w:rPr>
          <w:rFonts w:cs="Arial"/>
          <w:color w:val="000000"/>
          <w:szCs w:val="20"/>
        </w:rPr>
        <w:t>;</w:t>
      </w:r>
    </w:p>
    <w:p w14:paraId="455259F1" w14:textId="4CD52C43" w:rsidR="0072094A" w:rsidRPr="001456D8" w:rsidRDefault="00ED3EE7" w:rsidP="00277E55">
      <w:pPr>
        <w:numPr>
          <w:ilvl w:val="0"/>
          <w:numId w:val="13"/>
        </w:numPr>
        <w:shd w:val="clear" w:color="auto" w:fill="FFFFFF"/>
        <w:spacing w:after="100" w:afterAutospacing="1" w:line="280" w:lineRule="atLeast"/>
        <w:ind w:left="1281" w:hanging="357"/>
        <w:jc w:val="both"/>
        <w:rPr>
          <w:rFonts w:cs="Arial"/>
          <w:szCs w:val="20"/>
          <w:lang w:eastAsia="x-none"/>
        </w:rPr>
      </w:pPr>
      <w:r>
        <w:rPr>
          <w:rFonts w:cs="Arial"/>
          <w:szCs w:val="20"/>
          <w:lang w:eastAsia="x-none"/>
        </w:rPr>
        <w:t>m</w:t>
      </w:r>
      <w:r w:rsidR="0072094A" w:rsidRPr="0072094A">
        <w:rPr>
          <w:rFonts w:cs="Arial"/>
          <w:szCs w:val="20"/>
          <w:lang w:eastAsia="x-none"/>
        </w:rPr>
        <w:t>odernizace existujícího reportingu pro systém HUD, zajišťující lepší přístupnost dat a zvýšení kvality výstupů</w:t>
      </w:r>
      <w:r>
        <w:rPr>
          <w:rFonts w:cs="Arial"/>
          <w:szCs w:val="20"/>
          <w:lang w:eastAsia="x-none"/>
        </w:rPr>
        <w:t>; a</w:t>
      </w:r>
    </w:p>
    <w:p w14:paraId="2D8F5D59" w14:textId="46FE6BD9" w:rsidR="0072094A" w:rsidRDefault="00ED3EE7" w:rsidP="0074244E">
      <w:pPr>
        <w:numPr>
          <w:ilvl w:val="0"/>
          <w:numId w:val="13"/>
        </w:numPr>
        <w:shd w:val="clear" w:color="auto" w:fill="FFFFFF"/>
        <w:spacing w:after="100" w:afterAutospacing="1" w:line="280" w:lineRule="atLeast"/>
        <w:ind w:left="1281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</w:t>
      </w:r>
      <w:r w:rsidR="0072094A" w:rsidRPr="0072094A">
        <w:rPr>
          <w:rFonts w:cs="Arial"/>
          <w:color w:val="000000"/>
          <w:szCs w:val="20"/>
        </w:rPr>
        <w:t>evize a implementace vylepšení stávajících reportingových struktur pro systém Jenda, zahrnující zvýšení přesnosti a rychlosti zpracování dat</w:t>
      </w:r>
      <w:r w:rsidR="0074244E">
        <w:rPr>
          <w:rFonts w:cs="Arial"/>
          <w:color w:val="000000"/>
          <w:szCs w:val="20"/>
        </w:rPr>
        <w:t>.</w:t>
      </w:r>
    </w:p>
    <w:p w14:paraId="0F162F4D" w14:textId="74C846FA" w:rsidR="00701126" w:rsidRPr="00691001" w:rsidRDefault="00F24B94" w:rsidP="00F24B9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</w:t>
      </w:r>
      <w:r w:rsidR="00F65D3B">
        <w:rPr>
          <w:rFonts w:cs="Arial"/>
          <w:szCs w:val="22"/>
          <w:lang w:val="cs-CZ" w:eastAsia="en-US"/>
        </w:rPr>
        <w:t xml:space="preserve">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scope zadání v rámci </w:t>
      </w:r>
      <w:r w:rsidR="00F65D3B">
        <w:rPr>
          <w:rFonts w:cs="Arial"/>
          <w:szCs w:val="22"/>
          <w:lang w:val="cs-CZ" w:eastAsia="en-US"/>
        </w:rPr>
        <w:t>Dílčí s</w:t>
      </w:r>
      <w:r>
        <w:rPr>
          <w:rFonts w:cs="Arial"/>
          <w:szCs w:val="22"/>
          <w:lang w:val="cs-CZ" w:eastAsia="en-US"/>
        </w:rPr>
        <w:t>mlouvy</w:t>
      </w:r>
      <w:r w:rsidR="00F65D3B">
        <w:rPr>
          <w:rFonts w:cs="Arial"/>
          <w:szCs w:val="22"/>
          <w:lang w:val="cs-CZ" w:eastAsia="en-US"/>
        </w:rPr>
        <w:t xml:space="preserve">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a nelze je objektivně poskytnout jiným realizačním týmem</w:t>
      </w:r>
      <w:r w:rsidR="00390D69">
        <w:rPr>
          <w:rFonts w:cs="Arial"/>
          <w:szCs w:val="22"/>
          <w:lang w:val="cs-CZ" w:eastAsia="en-US"/>
        </w:rPr>
        <w:t>,</w:t>
      </w:r>
      <w:r>
        <w:rPr>
          <w:rFonts w:cs="Arial"/>
          <w:szCs w:val="22"/>
          <w:lang w:val="cs-CZ" w:eastAsia="en-US"/>
        </w:rPr>
        <w:t xml:space="preserve">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a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je klíčové pro zajištění jednotné odpovědnosti Poskytovatele. V případě, že by služby sjednané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byly poskytovány jiným </w:t>
      </w:r>
      <w:r w:rsidRPr="00D92DAB">
        <w:rPr>
          <w:rFonts w:cs="Arial"/>
          <w:szCs w:val="22"/>
          <w:lang w:val="cs-CZ" w:eastAsia="en-US"/>
        </w:rPr>
        <w:t>poskytovatelem, hrozí Objednateli bezpečnostní rizika, organizační rizika a</w:t>
      </w:r>
      <w:r w:rsidR="00D22CF0" w:rsidRPr="00D92DAB">
        <w:rPr>
          <w:rFonts w:cs="Arial"/>
          <w:szCs w:val="22"/>
          <w:lang w:val="cs-CZ" w:eastAsia="en-US"/>
        </w:rPr>
        <w:t> </w:t>
      </w:r>
      <w:r w:rsidRPr="00D92DAB">
        <w:rPr>
          <w:rFonts w:cs="Arial"/>
          <w:szCs w:val="22"/>
          <w:lang w:val="cs-CZ" w:eastAsia="en-US"/>
        </w:rPr>
        <w:t>v konečném důsledku i vícenáklady. Vzhledem</w:t>
      </w:r>
      <w:r>
        <w:rPr>
          <w:rFonts w:cs="Arial"/>
          <w:szCs w:val="22"/>
          <w:lang w:val="cs-CZ" w:eastAsia="en-US"/>
        </w:rPr>
        <w:t xml:space="preserve"> k výše uvedenému je uzavření </w:t>
      </w:r>
      <w:r w:rsidR="00F65D3B">
        <w:rPr>
          <w:rFonts w:cs="Arial"/>
          <w:szCs w:val="22"/>
          <w:lang w:val="cs-CZ" w:eastAsia="en-US"/>
        </w:rPr>
        <w:t xml:space="preserve">tohoto </w:t>
      </w:r>
      <w:r>
        <w:rPr>
          <w:rFonts w:cs="Arial"/>
          <w:szCs w:val="22"/>
          <w:lang w:val="cs-CZ" w:eastAsia="en-US"/>
        </w:rPr>
        <w:t>Dodatku č.</w:t>
      </w:r>
      <w:r w:rsidR="00F65D3B">
        <w:rPr>
          <w:rFonts w:cs="Arial"/>
          <w:szCs w:val="22"/>
          <w:lang w:val="cs-CZ" w:eastAsia="en-US"/>
        </w:rPr>
        <w:t> </w:t>
      </w:r>
      <w:r w:rsidR="00C6357A">
        <w:rPr>
          <w:rFonts w:cs="Arial"/>
          <w:szCs w:val="22"/>
          <w:lang w:val="cs-CZ" w:eastAsia="en-US"/>
        </w:rPr>
        <w:t>2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="00701126" w:rsidRPr="00691001">
        <w:rPr>
          <w:rFonts w:cs="Arial"/>
          <w:szCs w:val="22"/>
          <w:lang w:val="cs-CZ" w:eastAsia="en-US"/>
        </w:rPr>
        <w:t xml:space="preserve">  </w:t>
      </w:r>
    </w:p>
    <w:p w14:paraId="2E09C6F9" w14:textId="088F024C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>úpravě odst. 2.</w:t>
      </w:r>
      <w:r w:rsidR="007B0728" w:rsidRPr="004C13F2">
        <w:rPr>
          <w:rFonts w:eastAsia="Calibri"/>
          <w:lang w:val="cs-CZ"/>
        </w:rPr>
        <w:t>2</w:t>
      </w:r>
      <w:r w:rsidR="00390D69" w:rsidRPr="004C13F2">
        <w:rPr>
          <w:rFonts w:eastAsia="Calibri"/>
          <w:lang w:val="cs-CZ"/>
        </w:rPr>
        <w:t>,</w:t>
      </w:r>
      <w:r w:rsidRPr="004C13F2">
        <w:rPr>
          <w:rFonts w:eastAsia="Calibri"/>
          <w:lang w:val="cs-CZ"/>
        </w:rPr>
        <w:t xml:space="preserve"> odst. 3.2 </w:t>
      </w:r>
      <w:r w:rsidR="00390D69" w:rsidRPr="004C13F2">
        <w:rPr>
          <w:rFonts w:eastAsia="Calibri"/>
          <w:lang w:val="cs-CZ"/>
        </w:rPr>
        <w:t>a odst. 4.1</w:t>
      </w:r>
      <w:r w:rsidR="00390D69">
        <w:rPr>
          <w:rFonts w:eastAsia="Calibri"/>
          <w:lang w:val="cs-CZ"/>
        </w:rPr>
        <w:t xml:space="preserve"> </w:t>
      </w:r>
      <w:r>
        <w:rPr>
          <w:rFonts w:eastAsia="Calibri"/>
          <w:lang w:val="cs-CZ"/>
        </w:rPr>
        <w:t xml:space="preserve">Dílčí smlouvy č. </w:t>
      </w:r>
      <w:r w:rsidR="00C6357A">
        <w:rPr>
          <w:rFonts w:eastAsia="Calibri"/>
          <w:lang w:val="cs-CZ"/>
        </w:rPr>
        <w:t>2</w:t>
      </w:r>
      <w:r w:rsidR="00C06547">
        <w:rPr>
          <w:rFonts w:eastAsia="Calibri"/>
          <w:lang w:val="cs-CZ"/>
        </w:rPr>
        <w:t>,</w:t>
      </w:r>
      <w:r w:rsidR="00707E0A">
        <w:rPr>
          <w:rFonts w:eastAsia="Calibri"/>
          <w:lang w:val="cs-CZ"/>
        </w:rPr>
        <w:t xml:space="preserve"> ve znění Dodatku č. 1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C6357A">
        <w:rPr>
          <w:rFonts w:eastAsia="Calibri"/>
          <w:lang w:val="cs-CZ"/>
        </w:rPr>
        <w:t>2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2819EAE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17ED5FA5" w14:textId="1520870C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</w:t>
      </w:r>
      <w:r w:rsidR="00C06547"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bookmarkStart w:id="5" w:name="_Hlk195729062"/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bookmarkEnd w:id="5"/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05560235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6D615D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E63242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71942D83" w14:textId="148C5305" w:rsidR="006D615D" w:rsidRDefault="006D615D" w:rsidP="00B651E2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Pr="006D615D">
        <w:rPr>
          <w:rFonts w:cs="Arial"/>
          <w:i/>
          <w:iCs/>
          <w:szCs w:val="20"/>
        </w:rPr>
        <w:t>Poskytovatel se Dílčí smlouvou zavazuje poskytnout plnění spočívající v</w:t>
      </w:r>
      <w:r w:rsidR="00B813F4" w:rsidRPr="00B813F4">
        <w:rPr>
          <w:rFonts w:cs="Arial"/>
          <w:i/>
          <w:iCs/>
          <w:szCs w:val="20"/>
        </w:rPr>
        <w:t xml:space="preserve"> plnění osob pro výše uvedené plnění na následujících pozicích s následujícím předpokládaným rozsahem člověkodnů (MD) pro jednotlivé pozice</w:t>
      </w:r>
      <w:r w:rsidRPr="006D615D">
        <w:rPr>
          <w:rFonts w:cs="Arial"/>
          <w:i/>
          <w:iCs/>
          <w:szCs w:val="20"/>
        </w:rPr>
        <w:t>:</w:t>
      </w:r>
    </w:p>
    <w:p w14:paraId="502DB896" w14:textId="14DA9333" w:rsidR="00E63242" w:rsidRPr="00ED3EE7" w:rsidRDefault="00E63242" w:rsidP="00E63242">
      <w:pPr>
        <w:pStyle w:val="RLTextlnkuslovan"/>
        <w:numPr>
          <w:ilvl w:val="1"/>
          <w:numId w:val="11"/>
        </w:numPr>
        <w:spacing w:before="120" w:after="0" w:line="280" w:lineRule="atLeast"/>
        <w:ind w:left="1321" w:hanging="357"/>
        <w:rPr>
          <w:rFonts w:cs="Arial"/>
          <w:i/>
          <w:iCs/>
          <w:szCs w:val="20"/>
        </w:rPr>
      </w:pPr>
      <w:r w:rsidRPr="00E63242">
        <w:rPr>
          <w:rFonts w:cs="Arial"/>
          <w:i/>
          <w:iCs/>
          <w:szCs w:val="20"/>
        </w:rPr>
        <w:t xml:space="preserve">Datový Analytik I. – předpokládaný rozsah </w:t>
      </w:r>
      <w:r w:rsidRPr="00ED3EE7">
        <w:rPr>
          <w:rFonts w:cs="Arial"/>
          <w:i/>
          <w:iCs/>
          <w:szCs w:val="20"/>
        </w:rPr>
        <w:t xml:space="preserve">je </w:t>
      </w:r>
      <w:r w:rsidR="004C13F2" w:rsidRPr="00ED3EE7">
        <w:rPr>
          <w:rFonts w:cs="Arial"/>
          <w:i/>
          <w:iCs/>
          <w:szCs w:val="20"/>
        </w:rPr>
        <w:t>90</w:t>
      </w:r>
      <w:r w:rsidRPr="00ED3EE7">
        <w:rPr>
          <w:rFonts w:cs="Arial"/>
          <w:i/>
          <w:iCs/>
          <w:szCs w:val="20"/>
        </w:rPr>
        <w:t xml:space="preserve"> MD</w:t>
      </w:r>
    </w:p>
    <w:p w14:paraId="050F44B0" w14:textId="3E5D23FC" w:rsidR="00E63242" w:rsidRPr="00ED3EE7" w:rsidRDefault="00E63242" w:rsidP="00E63242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ED3EE7">
        <w:rPr>
          <w:rFonts w:cs="Arial"/>
          <w:i/>
          <w:iCs/>
          <w:szCs w:val="20"/>
        </w:rPr>
        <w:t xml:space="preserve">Datový Analytik II. – předpokládaný rozsah je </w:t>
      </w:r>
      <w:r w:rsidR="004C13F2" w:rsidRPr="00ED3EE7">
        <w:rPr>
          <w:rFonts w:cs="Arial"/>
          <w:i/>
          <w:iCs/>
          <w:szCs w:val="20"/>
        </w:rPr>
        <w:t>90</w:t>
      </w:r>
      <w:r w:rsidRPr="00ED3EE7">
        <w:rPr>
          <w:rFonts w:cs="Arial"/>
          <w:i/>
          <w:iCs/>
          <w:szCs w:val="20"/>
        </w:rPr>
        <w:t xml:space="preserve"> MD</w:t>
      </w:r>
    </w:p>
    <w:p w14:paraId="284C6D84" w14:textId="3FDCA84D" w:rsidR="00E63242" w:rsidRPr="00E63242" w:rsidRDefault="00E63242" w:rsidP="00E63242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cs="Arial"/>
          <w:i/>
          <w:iCs/>
          <w:szCs w:val="20"/>
        </w:rPr>
      </w:pPr>
      <w:r w:rsidRPr="00E63242">
        <w:rPr>
          <w:rFonts w:cs="Arial"/>
          <w:i/>
          <w:iCs/>
          <w:szCs w:val="20"/>
        </w:rPr>
        <w:t>přičemž obě pozice budou zodpovědné za provádění analytických úloh nad datovým skladem. Jejich zákazníkem bude business/věcné útvary Objednatele. Používat k tomu budou jazyky SQL, Python, nejedná se o data science roli (dále jen „</w:t>
      </w:r>
      <w:r w:rsidRPr="00E63242">
        <w:rPr>
          <w:rFonts w:cs="Arial"/>
          <w:b/>
          <w:bCs/>
          <w:i/>
          <w:iCs/>
          <w:szCs w:val="20"/>
        </w:rPr>
        <w:t>Služby</w:t>
      </w:r>
      <w:r w:rsidRPr="00E63242">
        <w:rPr>
          <w:rFonts w:cs="Arial"/>
          <w:i/>
          <w:iCs/>
          <w:szCs w:val="20"/>
        </w:rPr>
        <w:t>“).</w:t>
      </w:r>
    </w:p>
    <w:p w14:paraId="70443B56" w14:textId="73FC7383" w:rsidR="00871D0F" w:rsidRDefault="00890000" w:rsidP="0089000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E63242">
        <w:rPr>
          <w:rFonts w:cs="Arial"/>
          <w:szCs w:val="20"/>
          <w:lang w:val="cs-CZ"/>
        </w:rPr>
        <w:t>3</w:t>
      </w:r>
      <w:r w:rsidRPr="00890000">
        <w:rPr>
          <w:rFonts w:cs="Arial"/>
          <w:szCs w:val="20"/>
        </w:rPr>
        <w:t xml:space="preserve"> Dílčí smlouvy č. </w:t>
      </w:r>
      <w:r w:rsidR="00E63242">
        <w:rPr>
          <w:rFonts w:cs="Arial"/>
          <w:szCs w:val="20"/>
          <w:lang w:val="cs-CZ"/>
        </w:rPr>
        <w:t>2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r w:rsidRPr="00A46C6B">
        <w:rPr>
          <w:rFonts w:cs="Arial"/>
          <w:szCs w:val="20"/>
        </w:rPr>
        <w:t>lužby v rámci jednotlivých rolí 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Pr="00890000">
        <w:rPr>
          <w:rFonts w:cs="Arial"/>
          <w:szCs w:val="20"/>
        </w:rPr>
        <w:t xml:space="preserve"> MD)</w:t>
      </w:r>
      <w:r w:rsidRPr="00A46C6B">
        <w:rPr>
          <w:rFonts w:cs="Arial"/>
          <w:szCs w:val="20"/>
        </w:rPr>
        <w:t>.</w:t>
      </w:r>
    </w:p>
    <w:p w14:paraId="15D81EA2" w14:textId="0926723E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E63242">
        <w:rPr>
          <w:rFonts w:cs="Arial"/>
          <w:szCs w:val="20"/>
          <w:lang w:val="cs-CZ"/>
        </w:rPr>
        <w:t>2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E63242">
        <w:rPr>
          <w:rFonts w:cs="Arial"/>
          <w:szCs w:val="20"/>
          <w:lang w:val="cs-CZ"/>
        </w:rPr>
        <w:t>2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22F974F7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E63242">
        <w:rPr>
          <w:rFonts w:cs="Arial"/>
          <w:szCs w:val="20"/>
          <w:lang w:val="cs-CZ"/>
        </w:rPr>
        <w:t>5 580 000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FBE170C" w14:textId="03BC73D3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 w:rsidR="00E63242">
        <w:rPr>
          <w:rFonts w:cs="Arial"/>
          <w:lang w:val="cs-CZ"/>
        </w:rPr>
        <w:t xml:space="preserve"> 558 000</w:t>
      </w:r>
      <w:r w:rsidRPr="00015496">
        <w:rPr>
          <w:rFonts w:cs="Arial"/>
          <w:lang w:val="cs-CZ"/>
        </w:rPr>
        <w:t>,- Kč bez DPH</w:t>
      </w:r>
    </w:p>
    <w:p w14:paraId="0A86E148" w14:textId="60DB0DED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</w:r>
      <w:r w:rsidR="00E63242">
        <w:rPr>
          <w:rFonts w:cs="Arial"/>
          <w:lang w:val="cs-CZ"/>
        </w:rPr>
        <w:t>1 674 000</w:t>
      </w:r>
      <w:r w:rsidRPr="00015496">
        <w:rPr>
          <w:rFonts w:cs="Arial"/>
          <w:lang w:val="cs-CZ"/>
        </w:rPr>
        <w:t>,- Kč bez DPH</w:t>
      </w:r>
    </w:p>
    <w:p w14:paraId="737D4A4A" w14:textId="2C76AB57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E63242">
        <w:rPr>
          <w:rFonts w:cs="Arial"/>
          <w:lang w:val="cs-CZ"/>
        </w:rPr>
        <w:t>7 812 000</w:t>
      </w:r>
      <w:r w:rsidRPr="00015496">
        <w:rPr>
          <w:rFonts w:cs="Arial"/>
          <w:lang w:val="cs-CZ"/>
        </w:rPr>
        <w:t>,- Kč bez DPH</w:t>
      </w:r>
    </w:p>
    <w:p w14:paraId="2897EF7F" w14:textId="5F98049E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4C13F2">
        <w:rPr>
          <w:rFonts w:cs="Arial"/>
          <w:szCs w:val="20"/>
          <w:lang w:val="cs-CZ"/>
        </w:rPr>
        <w:t>2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4DF384D4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E63242">
        <w:rPr>
          <w:rFonts w:cs="Arial"/>
          <w:b/>
          <w:bCs/>
          <w:i/>
          <w:iCs/>
          <w:szCs w:val="20"/>
          <w:lang w:eastAsia="en-US"/>
        </w:rPr>
        <w:t>7 812 000</w:t>
      </w:r>
      <w:r w:rsidRPr="0001549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015496">
        <w:rPr>
          <w:rFonts w:cs="Arial"/>
          <w:b/>
          <w:bCs/>
          <w:i/>
          <w:iCs/>
          <w:szCs w:val="20"/>
        </w:rPr>
        <w:t>Kč</w:t>
      </w:r>
      <w:r w:rsidRPr="001D67C6">
        <w:rPr>
          <w:rFonts w:cs="Arial"/>
          <w:b/>
          <w:bCs/>
          <w:i/>
          <w:iCs/>
          <w:szCs w:val="20"/>
        </w:rPr>
        <w:t xml:space="preserve"> bez DPH“</w:t>
      </w:r>
      <w:r w:rsidRPr="004D43BE">
        <w:rPr>
          <w:rFonts w:cs="Arial"/>
          <w:szCs w:val="20"/>
        </w:rPr>
        <w:t>.</w:t>
      </w:r>
    </w:p>
    <w:p w14:paraId="6E964108" w14:textId="123BA9DC" w:rsidR="00B26FCA" w:rsidRPr="00646DC1" w:rsidRDefault="00B26FCA" w:rsidP="00B26FCA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6D54A0">
        <w:rPr>
          <w:rFonts w:cs="Arial"/>
          <w:szCs w:val="20"/>
        </w:rPr>
        <w:t xml:space="preserve"> Dílčí smlouvy č. </w:t>
      </w:r>
      <w:r w:rsidR="004C13F2">
        <w:rPr>
          <w:rFonts w:cs="Arial"/>
          <w:szCs w:val="20"/>
        </w:rPr>
        <w:t>2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549BD9B" w14:textId="7F176020" w:rsidR="00B26FCA" w:rsidRDefault="00B26FCA" w:rsidP="00B651E2">
      <w:pPr>
        <w:spacing w:before="60" w:after="0"/>
        <w:ind w:left="567"/>
        <w:jc w:val="both"/>
        <w:rPr>
          <w:rFonts w:cs="Arial"/>
          <w:szCs w:val="20"/>
        </w:rPr>
      </w:pPr>
      <w:r w:rsidRPr="004C13F2">
        <w:rPr>
          <w:rFonts w:cs="Arial"/>
          <w:i/>
          <w:iCs/>
          <w:szCs w:val="20"/>
          <w:lang w:eastAsia="en-US"/>
        </w:rPr>
        <w:t>„Tato Dílčí smlouva se uzavírá na dobu určitou</w:t>
      </w:r>
      <w:r w:rsidR="008F6F8A" w:rsidRPr="004C13F2">
        <w:rPr>
          <w:rFonts w:cs="Arial"/>
          <w:i/>
          <w:iCs/>
          <w:szCs w:val="20"/>
          <w:lang w:eastAsia="en-US"/>
        </w:rPr>
        <w:t xml:space="preserve"> do </w:t>
      </w:r>
      <w:r w:rsidR="004C13F2" w:rsidRPr="004C13F2">
        <w:rPr>
          <w:rFonts w:cs="Arial"/>
          <w:i/>
          <w:iCs/>
          <w:szCs w:val="20"/>
          <w:lang w:eastAsia="en-US"/>
        </w:rPr>
        <w:t>31</w:t>
      </w:r>
      <w:r w:rsidR="008F6F8A" w:rsidRPr="004C13F2">
        <w:rPr>
          <w:rFonts w:cs="Arial"/>
          <w:i/>
          <w:iCs/>
          <w:szCs w:val="20"/>
          <w:lang w:eastAsia="en-US"/>
        </w:rPr>
        <w:t xml:space="preserve">. </w:t>
      </w:r>
      <w:r w:rsidR="004C13F2" w:rsidRPr="004C13F2">
        <w:rPr>
          <w:rFonts w:cs="Arial"/>
          <w:i/>
          <w:iCs/>
          <w:szCs w:val="20"/>
          <w:lang w:eastAsia="en-US"/>
        </w:rPr>
        <w:t>12</w:t>
      </w:r>
      <w:r w:rsidR="008F6F8A" w:rsidRPr="004C13F2">
        <w:rPr>
          <w:rFonts w:cs="Arial"/>
          <w:i/>
          <w:iCs/>
          <w:szCs w:val="20"/>
          <w:lang w:eastAsia="en-US"/>
        </w:rPr>
        <w:t>. 2025</w:t>
      </w:r>
      <w:r w:rsidR="0076397D" w:rsidRPr="004C13F2">
        <w:rPr>
          <w:rFonts w:cs="Arial"/>
          <w:i/>
          <w:iCs/>
          <w:szCs w:val="20"/>
          <w:lang w:eastAsia="en-US"/>
        </w:rPr>
        <w:t>, p</w:t>
      </w:r>
      <w:r w:rsidRPr="004C13F2">
        <w:rPr>
          <w:rFonts w:cs="Arial"/>
          <w:i/>
          <w:iCs/>
          <w:szCs w:val="20"/>
          <w:lang w:eastAsia="en-US"/>
        </w:rPr>
        <w:t>řípadně do vyčerpání stanovené maximální částky uvedené v odst. 3.2 této Dílčí smlouvy, podle toho, která z uváděných skutečností nastane dříve</w:t>
      </w:r>
      <w:r w:rsidRPr="004C13F2">
        <w:rPr>
          <w:rFonts w:cs="Arial"/>
          <w:i/>
          <w:iCs/>
          <w:szCs w:val="20"/>
        </w:rPr>
        <w:t>“.</w:t>
      </w:r>
    </w:p>
    <w:p w14:paraId="0A444B04" w14:textId="3ECF96C6" w:rsidR="00890000" w:rsidRPr="00390D69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4C13F2">
        <w:rPr>
          <w:rFonts w:cs="Arial"/>
          <w:szCs w:val="20"/>
          <w:lang w:val="cs-CZ"/>
        </w:rPr>
        <w:t>2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7327C8A6" w14:textId="77777777" w:rsidR="00073A7C" w:rsidRPr="00FD3169" w:rsidRDefault="00073A7C" w:rsidP="007B072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</w:p>
    <w:p w14:paraId="6A7ECC97" w14:textId="77777777" w:rsidR="00C06547" w:rsidRDefault="00C06547">
      <w:pPr>
        <w:spacing w:after="0" w:line="240" w:lineRule="auto"/>
        <w:rPr>
          <w:rFonts w:cs="Arial"/>
          <w:b/>
          <w:lang w:eastAsia="en-US"/>
        </w:rPr>
      </w:pPr>
      <w:r>
        <w:rPr>
          <w:rFonts w:cs="Arial"/>
        </w:rPr>
        <w:br w:type="page"/>
      </w:r>
    </w:p>
    <w:p w14:paraId="3BD681D7" w14:textId="2C62EF30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3D62BDCD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4C13F2">
        <w:rPr>
          <w:rFonts w:cs="Arial"/>
          <w:szCs w:val="22"/>
          <w:lang w:val="cs-CZ" w:eastAsia="en-US"/>
        </w:rPr>
        <w:t>2</w:t>
      </w:r>
      <w:r w:rsidR="00C06547">
        <w:rPr>
          <w:rFonts w:cs="Arial"/>
          <w:szCs w:val="22"/>
          <w:lang w:val="cs-CZ" w:eastAsia="en-US"/>
        </w:rPr>
        <w:t>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2D592D">
        <w:rPr>
          <w:rFonts w:cs="Arial"/>
          <w:szCs w:val="22"/>
          <w:lang w:val="cs-CZ" w:eastAsia="en-US"/>
        </w:rPr>
        <w:t>ve znění Dodatku č. 1</w:t>
      </w:r>
      <w:r w:rsidR="00C06547">
        <w:rPr>
          <w:rFonts w:cs="Arial"/>
          <w:szCs w:val="22"/>
          <w:lang w:val="cs-CZ" w:eastAsia="en-US"/>
        </w:rPr>
        <w:t>,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4C13F2">
        <w:rPr>
          <w:rFonts w:cs="Arial"/>
          <w:szCs w:val="22"/>
          <w:lang w:val="cs-CZ" w:eastAsia="en-US"/>
        </w:rPr>
        <w:t>2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1BE9831F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4C13F2">
        <w:rPr>
          <w:rFonts w:cs="Arial"/>
          <w:szCs w:val="22"/>
          <w:lang w:val="cs-CZ" w:eastAsia="en-US"/>
        </w:rPr>
        <w:t>2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4C13F2">
        <w:rPr>
          <w:rFonts w:cs="Arial"/>
          <w:szCs w:val="22"/>
          <w:lang w:val="cs-CZ" w:eastAsia="en-US"/>
        </w:rPr>
        <w:t>2</w:t>
      </w:r>
      <w:r w:rsidR="00C06547">
        <w:rPr>
          <w:rFonts w:cs="Arial"/>
          <w:szCs w:val="22"/>
          <w:lang w:val="cs-CZ" w:eastAsia="en-US"/>
        </w:rPr>
        <w:t>, ve znění Dodatku č. 1.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78E1DCE4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4C13F2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5 </w:t>
      </w:r>
      <w:r w:rsidR="00F65D3B" w:rsidRPr="00C06547">
        <w:rPr>
          <w:rFonts w:cs="Arial"/>
          <w:szCs w:val="22"/>
          <w:lang w:val="cs-CZ" w:eastAsia="en-US"/>
        </w:rPr>
        <w:t>ZZVZ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4C13F2">
        <w:rPr>
          <w:rFonts w:cs="Arial"/>
          <w:szCs w:val="22"/>
          <w:lang w:val="cs-CZ" w:eastAsia="en-US"/>
        </w:rPr>
        <w:t>2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</w:t>
      </w:r>
      <w:r w:rsidR="0013447F" w:rsidRPr="0013447F">
        <w:t xml:space="preserve"> </w:t>
      </w:r>
      <w:r w:rsidR="0013447F">
        <w:t>R</w:t>
      </w:r>
      <w:r w:rsidR="0013447F" w:rsidRPr="0013447F">
        <w:rPr>
          <w:rFonts w:cs="Arial"/>
          <w:szCs w:val="22"/>
          <w:lang w:val="cs-CZ" w:eastAsia="en-US"/>
        </w:rPr>
        <w:t xml:space="preserve">ozšíření předpokládaného rozsahu </w:t>
      </w:r>
      <w:r w:rsidR="0013447F">
        <w:rPr>
          <w:rFonts w:cs="Arial"/>
          <w:szCs w:val="22"/>
          <w:lang w:val="cs-CZ" w:eastAsia="en-US"/>
        </w:rPr>
        <w:t>MD</w:t>
      </w:r>
      <w:r w:rsidR="0013447F" w:rsidRPr="0013447F">
        <w:rPr>
          <w:rFonts w:cs="Arial"/>
          <w:szCs w:val="22"/>
          <w:lang w:val="cs-CZ" w:eastAsia="en-US"/>
        </w:rPr>
        <w:t xml:space="preserve"> v rámci realizačního týmu Poskytovatele</w:t>
      </w:r>
      <w:r w:rsidRPr="00015496">
        <w:rPr>
          <w:rFonts w:cs="Arial"/>
          <w:szCs w:val="22"/>
          <w:lang w:val="cs-CZ" w:eastAsia="en-US"/>
        </w:rPr>
        <w:t xml:space="preserve"> </w:t>
      </w:r>
      <w:r w:rsidR="0013447F">
        <w:rPr>
          <w:rFonts w:cs="Arial"/>
          <w:szCs w:val="22"/>
          <w:lang w:val="cs-CZ" w:eastAsia="en-US"/>
        </w:rPr>
        <w:t>a s tím spojené n</w:t>
      </w:r>
      <w:r w:rsidRPr="00015496">
        <w:rPr>
          <w:rFonts w:cs="Arial"/>
          <w:szCs w:val="22"/>
          <w:lang w:val="cs-CZ" w:eastAsia="en-US"/>
        </w:rPr>
        <w:t xml:space="preserve">avýšení celkového finančního limitu Dílčí smlouvy č. </w:t>
      </w:r>
      <w:r w:rsidR="004C13F2">
        <w:rPr>
          <w:rFonts w:cs="Arial"/>
          <w:szCs w:val="22"/>
          <w:lang w:val="cs-CZ" w:eastAsia="en-US"/>
        </w:rPr>
        <w:t>2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 w:rsidR="00F65D3B"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 xml:space="preserve">navýšení je </w:t>
      </w:r>
      <w:r w:rsidR="00F54148" w:rsidRPr="00015496">
        <w:rPr>
          <w:rFonts w:cs="Arial"/>
          <w:szCs w:val="22"/>
          <w:lang w:val="cs-CZ" w:eastAsia="en-US"/>
        </w:rPr>
        <w:t>nižší,</w:t>
      </w:r>
      <w:r w:rsidRPr="00015496">
        <w:rPr>
          <w:rFonts w:cs="Arial"/>
          <w:szCs w:val="22"/>
          <w:lang w:val="cs-CZ" w:eastAsia="en-US"/>
        </w:rPr>
        <w:t xml:space="preserve"> než je finanční limit pro nadlimitní veřejnou zakázku a nižší než 10 % původní hodnoty závazku), jakož i dále v souladu s § 222 odst. 9 ZZVZ (tj. navýšení nepřesahuje 30 % původní hodnoty závazku u změny dle § 222 odst. 5 ZZVZ).</w:t>
      </w:r>
    </w:p>
    <w:p w14:paraId="6EEF7D35" w14:textId="56C23B4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C13F2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7469C566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C13F2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>
      <w:pPr>
        <w:spacing w:after="0" w:line="240" w:lineRule="auto"/>
        <w:rPr>
          <w:rFonts w:cs="Arial"/>
          <w:b/>
          <w:lang w:eastAsia="x-none"/>
        </w:rPr>
      </w:pPr>
    </w:p>
    <w:p w14:paraId="7EBDED68" w14:textId="18C6BE63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4C13F2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4C13F2" w14:paraId="3705ECB3" w14:textId="77777777" w:rsidTr="004C13F2">
        <w:tc>
          <w:tcPr>
            <w:tcW w:w="4644" w:type="dxa"/>
          </w:tcPr>
          <w:p w14:paraId="6798A58C" w14:textId="77777777" w:rsidR="004C13F2" w:rsidRPr="00A16B28" w:rsidRDefault="004C13F2" w:rsidP="004C13F2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6613E9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4EF5803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2FB63026" w14:textId="3E160386" w:rsidR="004C13F2" w:rsidRPr="00E07D66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40BD066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3446D669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7828244F" w14:textId="01163BCC" w:rsidR="004C13F2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4C13F2" w14:paraId="4E22D0D7" w14:textId="77777777" w:rsidTr="004C13F2">
        <w:tc>
          <w:tcPr>
            <w:tcW w:w="4644" w:type="dxa"/>
          </w:tcPr>
          <w:p w14:paraId="0A6392D8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295C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6106D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F43324F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4FEDEB9F" w14:textId="77777777" w:rsidR="004C13F2" w:rsidRPr="00E07D66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51368FD3" w14:textId="79C07484" w:rsidR="004C13F2" w:rsidRPr="0013447F" w:rsidRDefault="004C13F2" w:rsidP="004C13F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13447F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534" w:type="dxa"/>
          </w:tcPr>
          <w:p w14:paraId="2AC9864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0302217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19881DB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2BA7C8E" w14:textId="77777777" w:rsidR="004C13F2" w:rsidRPr="00C2451F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51F">
              <w:rPr>
                <w:rFonts w:cs="Arial"/>
                <w:b/>
                <w:bCs/>
                <w:szCs w:val="20"/>
              </w:rPr>
              <w:t>Eviden Czech Republic s.r.o.</w:t>
            </w:r>
          </w:p>
          <w:p w14:paraId="77495728" w14:textId="11DD3123" w:rsidR="004C13F2" w:rsidRPr="00C2451F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C2451F">
              <w:rPr>
                <w:rFonts w:cs="Arial"/>
                <w:szCs w:val="20"/>
              </w:rPr>
              <w:t xml:space="preserve">Ing. </w:t>
            </w:r>
            <w:r w:rsidR="00E04A59">
              <w:rPr>
                <w:rFonts w:cs="Arial"/>
                <w:szCs w:val="20"/>
              </w:rPr>
              <w:t>Jaroslav Šimek</w:t>
            </w:r>
          </w:p>
          <w:p w14:paraId="53A1983C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51F">
              <w:rPr>
                <w:rFonts w:cs="Arial"/>
                <w:szCs w:val="20"/>
              </w:rPr>
              <w:t>jednatel</w:t>
            </w:r>
          </w:p>
          <w:p w14:paraId="440D5280" w14:textId="77777777" w:rsidR="004C13F2" w:rsidRPr="00F5115E" w:rsidRDefault="004C13F2" w:rsidP="004C13F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4C13F2">
        <w:tc>
          <w:tcPr>
            <w:tcW w:w="4644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6522" w14:textId="77777777" w:rsidR="0083025E" w:rsidRDefault="0083025E">
      <w:r>
        <w:separator/>
      </w:r>
    </w:p>
  </w:endnote>
  <w:endnote w:type="continuationSeparator" w:id="0">
    <w:p w14:paraId="6F800EB3" w14:textId="77777777" w:rsidR="0083025E" w:rsidRDefault="0083025E">
      <w:r>
        <w:continuationSeparator/>
      </w:r>
    </w:p>
  </w:endnote>
  <w:endnote w:type="continuationNotice" w:id="1">
    <w:p w14:paraId="65FD596D" w14:textId="77777777" w:rsidR="0083025E" w:rsidRDefault="00830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12843"/>
      <w:docPartObj>
        <w:docPartGallery w:val="Page Numbers (Bottom of Page)"/>
        <w:docPartUnique/>
      </w:docPartObj>
    </w:sdtPr>
    <w:sdtEndPr/>
    <w:sdtContent>
      <w:p w14:paraId="60D337BF" w14:textId="348A9D60" w:rsidR="00FE46A0" w:rsidRDefault="00FE46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546FFF" w14:textId="77777777" w:rsidR="00FE46A0" w:rsidRDefault="00FE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FEED" w14:textId="77777777" w:rsidR="0083025E" w:rsidRDefault="0083025E">
      <w:r>
        <w:separator/>
      </w:r>
    </w:p>
  </w:footnote>
  <w:footnote w:type="continuationSeparator" w:id="0">
    <w:p w14:paraId="434E6CC9" w14:textId="77777777" w:rsidR="0083025E" w:rsidRDefault="0083025E">
      <w:r>
        <w:continuationSeparator/>
      </w:r>
    </w:p>
  </w:footnote>
  <w:footnote w:type="continuationNotice" w:id="1">
    <w:p w14:paraId="2EE8F785" w14:textId="77777777" w:rsidR="0083025E" w:rsidRDefault="00830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5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3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1277101984">
    <w:abstractNumId w:val="4"/>
  </w:num>
  <w:num w:numId="12" w16cid:durableId="1139689782">
    <w:abstractNumId w:val="10"/>
  </w:num>
  <w:num w:numId="13" w16cid:durableId="5465742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64C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0351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0CB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47F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456D8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77E55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8F3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0444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94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244E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407A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199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25E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C0A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23C1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5E07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3DEF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2D8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385B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547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DAB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40C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792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A59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0B98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EE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6A0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c966936c-8ae1-47cf-bbb5-ee4ab5068b96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8a6c024a-fab7-4b7e-a9e3-67032142651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1408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9278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10</cp:revision>
  <cp:lastPrinted>2025-04-25T12:00:00Z</cp:lastPrinted>
  <dcterms:created xsi:type="dcterms:W3CDTF">2025-04-10T09:15:00Z</dcterms:created>
  <dcterms:modified xsi:type="dcterms:W3CDTF">2025-05-28T11:06:00Z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2ac85243ddf8ef4181fdbffa8f80b039297d3bb684c985e318d2a01cfe3cd4e4</vt:lpwstr>
  </property>
</Properties>
</file>