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7221301026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Kramolín</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Kramolín,</w:t>
      </w:r>
      <w:r>
        <w:rPr>
          <w:spacing w:val="-3"/>
        </w:rPr>
        <w:t> </w:t>
      </w:r>
      <w:r>
        <w:rPr/>
        <w:t>č.p.</w:t>
      </w:r>
      <w:r>
        <w:rPr>
          <w:spacing w:val="-2"/>
        </w:rPr>
        <w:t> </w:t>
      </w:r>
      <w:r>
        <w:rPr/>
        <w:t>57,</w:t>
      </w:r>
      <w:r>
        <w:rPr>
          <w:spacing w:val="-6"/>
        </w:rPr>
        <w:t> </w:t>
      </w:r>
      <w:r>
        <w:rPr/>
        <w:t>335</w:t>
      </w:r>
      <w:r>
        <w:rPr>
          <w:spacing w:val="-3"/>
        </w:rPr>
        <w:t> </w:t>
      </w:r>
      <w:r>
        <w:rPr/>
        <w:t>01</w:t>
      </w:r>
      <w:r>
        <w:rPr>
          <w:spacing w:val="-4"/>
        </w:rPr>
        <w:t> </w:t>
      </w:r>
      <w:r>
        <w:rPr>
          <w:spacing w:val="-2"/>
        </w:rPr>
        <w:t>Nepomuk</w:t>
      </w:r>
    </w:p>
    <w:p>
      <w:pPr>
        <w:pStyle w:val="BodyText"/>
        <w:tabs>
          <w:tab w:pos="2982" w:val="left" w:leader="none"/>
        </w:tabs>
        <w:spacing w:line="265" w:lineRule="exact"/>
        <w:ind w:left="102"/>
      </w:pPr>
      <w:r>
        <w:rPr>
          <w:spacing w:val="-4"/>
        </w:rPr>
        <w:t>IČO:</w:t>
      </w:r>
      <w:r>
        <w:rPr/>
        <w:tab/>
      </w:r>
      <w:r>
        <w:rPr>
          <w:spacing w:val="-2"/>
        </w:rPr>
        <w:t>00256811</w:t>
      </w:r>
    </w:p>
    <w:p>
      <w:pPr>
        <w:pStyle w:val="BodyText"/>
        <w:tabs>
          <w:tab w:pos="2982" w:val="left" w:leader="none"/>
        </w:tabs>
        <w:spacing w:line="265" w:lineRule="exact"/>
        <w:ind w:left="102"/>
      </w:pPr>
      <w:r>
        <w:rPr>
          <w:spacing w:val="-2"/>
        </w:rPr>
        <w:t>zastoupená:</w:t>
      </w:r>
      <w:r>
        <w:rPr/>
        <w:tab/>
        <w:t>Petrou</w:t>
      </w:r>
      <w:r>
        <w:rPr>
          <w:spacing w:val="-2"/>
        </w:rPr>
        <w:t> </w:t>
      </w:r>
      <w:r>
        <w:rPr/>
        <w:t>N</w:t>
      </w:r>
      <w:r>
        <w:rPr>
          <w:spacing w:val="-2"/>
        </w:rPr>
        <w:t> </w:t>
      </w:r>
      <w:r>
        <w:rPr/>
        <w:t>ě</w:t>
      </w:r>
      <w:r>
        <w:rPr>
          <w:spacing w:val="-3"/>
        </w:rPr>
        <w:t> </w:t>
      </w:r>
      <w:r>
        <w:rPr/>
        <w:t>m e</w:t>
      </w:r>
      <w:r>
        <w:rPr>
          <w:spacing w:val="-3"/>
        </w:rPr>
        <w:t> </w:t>
      </w:r>
      <w:r>
        <w:rPr/>
        <w:t>č k</w:t>
      </w:r>
      <w:r>
        <w:rPr>
          <w:spacing w:val="-2"/>
        </w:rPr>
        <w:t> </w:t>
      </w:r>
      <w:r>
        <w:rPr/>
        <w:t>o</w:t>
      </w:r>
      <w:r>
        <w:rPr>
          <w:spacing w:val="-1"/>
        </w:rPr>
        <w:t> </w:t>
      </w:r>
      <w:r>
        <w:rPr/>
        <w:t>v</w:t>
      </w:r>
      <w:r>
        <w:rPr>
          <w:spacing w:val="-1"/>
        </w:rPr>
        <w:t> </w:t>
      </w:r>
      <w:r>
        <w:rPr/>
        <w:t>o</w:t>
      </w:r>
      <w:r>
        <w:rPr>
          <w:spacing w:val="-1"/>
        </w:rPr>
        <w:t> </w:t>
      </w:r>
      <w:r>
        <w:rPr/>
        <w:t>u,</w:t>
      </w:r>
      <w:r>
        <w:rPr>
          <w:spacing w:val="-1"/>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3413361/0710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7221301026 o poskytnutí finančních prostředků ze Státního fondu životního prostředí ČR ze dne 21. 3. 2024, ve znění změny č. 1 ze</w:t>
      </w:r>
      <w:r>
        <w:rPr>
          <w:spacing w:val="45"/>
        </w:rPr>
        <w:t> </w:t>
      </w:r>
      <w:r>
        <w:rPr/>
        <w:t>dne</w:t>
      </w:r>
      <w:r>
        <w:rPr>
          <w:spacing w:val="46"/>
        </w:rPr>
        <w:t> </w:t>
      </w:r>
      <w:r>
        <w:rPr/>
        <w:t>3.</w:t>
      </w:r>
      <w:r>
        <w:rPr>
          <w:spacing w:val="46"/>
        </w:rPr>
        <w:t> </w:t>
      </w:r>
      <w:r>
        <w:rPr/>
        <w:t>4.</w:t>
      </w:r>
      <w:r>
        <w:rPr>
          <w:spacing w:val="47"/>
        </w:rPr>
        <w:t> </w:t>
      </w:r>
      <w:r>
        <w:rPr/>
        <w:t>2025</w:t>
      </w:r>
      <w:r>
        <w:rPr>
          <w:spacing w:val="49"/>
        </w:rPr>
        <w:t> </w:t>
      </w:r>
      <w:r>
        <w:rPr/>
        <w:t>v</w:t>
      </w:r>
      <w:r>
        <w:rPr>
          <w:spacing w:val="-2"/>
        </w:rPr>
        <w:t> </w:t>
      </w:r>
      <w:r>
        <w:rPr/>
        <w:t>rámci</w:t>
      </w:r>
      <w:r>
        <w:rPr>
          <w:spacing w:val="50"/>
        </w:rPr>
        <w:t> </w:t>
      </w:r>
      <w:r>
        <w:rPr/>
        <w:t>Programu</w:t>
      </w:r>
      <w:r>
        <w:rPr>
          <w:spacing w:val="46"/>
        </w:rPr>
        <w:t> </w:t>
      </w:r>
      <w:r>
        <w:rPr/>
        <w:t>financovaného</w:t>
      </w:r>
      <w:r>
        <w:rPr>
          <w:spacing w:val="48"/>
        </w:rPr>
        <w:t> </w:t>
      </w:r>
      <w:r>
        <w:rPr/>
        <w:t>z</w:t>
      </w:r>
      <w:r>
        <w:rPr>
          <w:spacing w:val="1"/>
        </w:rPr>
        <w:t> </w:t>
      </w:r>
      <w:r>
        <w:rPr/>
        <w:t>prostředků</w:t>
      </w:r>
      <w:r>
        <w:rPr>
          <w:spacing w:val="46"/>
        </w:rPr>
        <w:t> </w:t>
      </w:r>
      <w:r>
        <w:rPr/>
        <w:t>Modernizačního</w:t>
      </w:r>
      <w:r>
        <w:rPr>
          <w:spacing w:val="47"/>
        </w:rPr>
        <w:t> </w:t>
      </w:r>
      <w:r>
        <w:rPr/>
        <w:t>fondu</w:t>
      </w:r>
      <w:r>
        <w:rPr>
          <w:spacing w:val="46"/>
        </w:rPr>
        <w:t> </w:t>
      </w:r>
      <w:r>
        <w:rPr/>
        <w:t>(dále</w:t>
      </w:r>
      <w:r>
        <w:rPr>
          <w:spacing w:val="45"/>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6"/>
          <w:sz w:val="20"/>
        </w:rPr>
        <w:t> </w:t>
      </w:r>
      <w:r>
        <w:rPr>
          <w:b/>
          <w:sz w:val="20"/>
        </w:rPr>
        <w:t>Obec</w:t>
      </w:r>
      <w:r>
        <w:rPr>
          <w:b/>
          <w:spacing w:val="-7"/>
          <w:sz w:val="20"/>
        </w:rPr>
        <w:t> </w:t>
      </w:r>
      <w:r>
        <w:rPr>
          <w:b/>
          <w:spacing w:val="-2"/>
          <w:sz w:val="20"/>
        </w:rPr>
        <w:t>Kramolín“</w:t>
      </w:r>
    </w:p>
    <w:p>
      <w:pPr>
        <w:spacing w:after="0"/>
        <w:jc w:val="left"/>
        <w:rPr>
          <w:sz w:val="20"/>
        </w:rPr>
        <w:sectPr>
          <w:type w:val="continuous"/>
          <w:pgSz w:w="12240" w:h="15840"/>
          <w:pgMar w:header="708" w:footer="771" w:top="2040" w:bottom="960" w:left="1600" w:right="1020"/>
          <w:cols w:num="2" w:equalWidth="0">
            <w:col w:w="3609" w:space="100"/>
            <w:col w:w="5911"/>
          </w:cols>
        </w:sectPr>
      </w:pPr>
    </w:p>
    <w:p>
      <w:pPr>
        <w:pStyle w:val="BodyText"/>
        <w:spacing w:before="8"/>
        <w:rPr>
          <w:b/>
          <w:sz w:val="12"/>
        </w:rPr>
      </w:pPr>
    </w:p>
    <w:p>
      <w:pPr>
        <w:pStyle w:val="Heading1"/>
        <w:spacing w:before="99"/>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9"/>
          <w:sz w:val="20"/>
        </w:rPr>
        <w:t> </w:t>
      </w:r>
      <w:r>
        <w:rPr>
          <w:sz w:val="20"/>
        </w:rPr>
        <w:t>výši</w:t>
      </w:r>
      <w:r>
        <w:rPr>
          <w:spacing w:val="-7"/>
          <w:sz w:val="20"/>
        </w:rPr>
        <w:t> </w:t>
      </w:r>
      <w:r>
        <w:rPr>
          <w:b/>
          <w:sz w:val="20"/>
        </w:rPr>
        <w:t>612</w:t>
      </w:r>
      <w:r>
        <w:rPr>
          <w:b/>
          <w:spacing w:val="-2"/>
          <w:sz w:val="20"/>
        </w:rPr>
        <w:t> </w:t>
      </w:r>
      <w:r>
        <w:rPr>
          <w:b/>
          <w:sz w:val="20"/>
        </w:rPr>
        <w:t>472,39</w:t>
      </w:r>
      <w:r>
        <w:rPr>
          <w:b/>
          <w:spacing w:val="-6"/>
          <w:sz w:val="20"/>
        </w:rPr>
        <w:t> </w:t>
      </w:r>
      <w:r>
        <w:rPr>
          <w:b/>
          <w:sz w:val="20"/>
        </w:rPr>
        <w:t>Kč</w:t>
      </w:r>
      <w:r>
        <w:rPr>
          <w:b/>
          <w:spacing w:val="-8"/>
          <w:sz w:val="20"/>
        </w:rPr>
        <w:t> </w:t>
      </w:r>
      <w:r>
        <w:rPr>
          <w:sz w:val="20"/>
        </w:rPr>
        <w:t>(slovy:</w:t>
      </w:r>
      <w:r>
        <w:rPr>
          <w:spacing w:val="-7"/>
          <w:sz w:val="20"/>
        </w:rPr>
        <w:t> </w:t>
      </w:r>
      <w:r>
        <w:rPr>
          <w:sz w:val="20"/>
        </w:rPr>
        <w:t>šest</w:t>
      </w:r>
      <w:r>
        <w:rPr>
          <w:spacing w:val="-9"/>
          <w:sz w:val="20"/>
        </w:rPr>
        <w:t> </w:t>
      </w:r>
      <w:r>
        <w:rPr>
          <w:sz w:val="20"/>
        </w:rPr>
        <w:t>set</w:t>
      </w:r>
      <w:r>
        <w:rPr>
          <w:spacing w:val="-8"/>
          <w:sz w:val="20"/>
        </w:rPr>
        <w:t> </w:t>
      </w:r>
      <w:r>
        <w:rPr>
          <w:sz w:val="20"/>
        </w:rPr>
        <w:t>dvanáct</w:t>
      </w:r>
      <w:r>
        <w:rPr>
          <w:spacing w:val="-8"/>
          <w:sz w:val="20"/>
        </w:rPr>
        <w:t> </w:t>
      </w:r>
      <w:r>
        <w:rPr>
          <w:sz w:val="20"/>
        </w:rPr>
        <w:t>tisíc</w:t>
      </w:r>
      <w:r>
        <w:rPr>
          <w:spacing w:val="-7"/>
          <w:sz w:val="20"/>
        </w:rPr>
        <w:t> </w:t>
      </w:r>
      <w:r>
        <w:rPr>
          <w:sz w:val="20"/>
        </w:rPr>
        <w:t>čtyři</w:t>
      </w:r>
      <w:r>
        <w:rPr>
          <w:spacing w:val="-5"/>
          <w:sz w:val="20"/>
        </w:rPr>
        <w:t> </w:t>
      </w:r>
      <w:r>
        <w:rPr>
          <w:sz w:val="20"/>
        </w:rPr>
        <w:t>sta</w:t>
      </w:r>
      <w:r>
        <w:rPr>
          <w:spacing w:val="-6"/>
          <w:sz w:val="20"/>
        </w:rPr>
        <w:t> </w:t>
      </w:r>
      <w:r>
        <w:rPr>
          <w:sz w:val="20"/>
        </w:rPr>
        <w:t>sedmdesát</w:t>
      </w:r>
      <w:r>
        <w:rPr>
          <w:spacing w:val="-8"/>
          <w:sz w:val="20"/>
        </w:rPr>
        <w:t> </w:t>
      </w:r>
      <w:r>
        <w:rPr>
          <w:sz w:val="20"/>
        </w:rPr>
        <w:t>dvě</w:t>
      </w:r>
      <w:r>
        <w:rPr>
          <w:spacing w:val="-6"/>
          <w:sz w:val="20"/>
        </w:rPr>
        <w:t> </w:t>
      </w:r>
      <w:r>
        <w:rPr>
          <w:sz w:val="20"/>
        </w:rPr>
        <w:t>korun</w:t>
      </w:r>
      <w:r>
        <w:rPr>
          <w:spacing w:val="-5"/>
          <w:sz w:val="20"/>
        </w:rPr>
        <w:t> </w:t>
      </w:r>
      <w:r>
        <w:rPr>
          <w:sz w:val="20"/>
        </w:rPr>
        <w:t>českých a třicet devět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891 610,00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0" w:hanging="360"/>
        <w:jc w:val="left"/>
        <w:rPr>
          <w:sz w:val="20"/>
        </w:rPr>
      </w:pPr>
      <w:r>
        <w:rPr>
          <w:sz w:val="20"/>
        </w:rPr>
        <w:t>splní</w:t>
      </w:r>
      <w:r>
        <w:rPr>
          <w:spacing w:val="23"/>
          <w:sz w:val="20"/>
        </w:rPr>
        <w:t> </w:t>
      </w:r>
      <w:r>
        <w:rPr>
          <w:sz w:val="20"/>
        </w:rPr>
        <w:t>účel</w:t>
      </w:r>
      <w:r>
        <w:rPr>
          <w:spacing w:val="23"/>
          <w:sz w:val="20"/>
        </w:rPr>
        <w:t> </w:t>
      </w:r>
      <w:r>
        <w:rPr>
          <w:sz w:val="20"/>
        </w:rPr>
        <w:t>akce</w:t>
      </w:r>
      <w:r>
        <w:rPr>
          <w:spacing w:val="22"/>
          <w:sz w:val="20"/>
        </w:rPr>
        <w:t> </w:t>
      </w:r>
      <w:r>
        <w:rPr>
          <w:sz w:val="20"/>
        </w:rPr>
        <w:t>„FVE</w:t>
      </w:r>
      <w:r>
        <w:rPr>
          <w:spacing w:val="23"/>
          <w:sz w:val="20"/>
        </w:rPr>
        <w:t> </w:t>
      </w:r>
      <w:r>
        <w:rPr>
          <w:sz w:val="20"/>
        </w:rPr>
        <w:t>Obec</w:t>
      </w:r>
      <w:r>
        <w:rPr>
          <w:spacing w:val="23"/>
          <w:sz w:val="20"/>
        </w:rPr>
        <w:t> </w:t>
      </w:r>
      <w:r>
        <w:rPr>
          <w:sz w:val="20"/>
        </w:rPr>
        <w:t>Kramolín“</w:t>
      </w:r>
      <w:r>
        <w:rPr>
          <w:spacing w:val="22"/>
          <w:sz w:val="20"/>
        </w:rPr>
        <w:t> </w:t>
      </w:r>
      <w:r>
        <w:rPr>
          <w:sz w:val="20"/>
        </w:rPr>
        <w:t>tím,</w:t>
      </w:r>
      <w:r>
        <w:rPr>
          <w:spacing w:val="23"/>
          <w:sz w:val="20"/>
        </w:rPr>
        <w:t> </w:t>
      </w:r>
      <w:r>
        <w:rPr>
          <w:sz w:val="20"/>
        </w:rPr>
        <w:t>že</w:t>
      </w:r>
      <w:r>
        <w:rPr>
          <w:spacing w:val="22"/>
          <w:sz w:val="20"/>
        </w:rPr>
        <w:t> </w:t>
      </w:r>
      <w:r>
        <w:rPr>
          <w:sz w:val="20"/>
        </w:rPr>
        <w:t>akce</w:t>
      </w:r>
      <w:r>
        <w:rPr>
          <w:spacing w:val="22"/>
          <w:sz w:val="20"/>
        </w:rPr>
        <w:t> </w:t>
      </w:r>
      <w:r>
        <w:rPr>
          <w:sz w:val="20"/>
        </w:rPr>
        <w:t>bude</w:t>
      </w:r>
      <w:r>
        <w:rPr>
          <w:spacing w:val="22"/>
          <w:sz w:val="20"/>
        </w:rPr>
        <w:t> </w:t>
      </w:r>
      <w:r>
        <w:rPr>
          <w:sz w:val="20"/>
        </w:rPr>
        <w:t>provedena</w:t>
      </w:r>
      <w:r>
        <w:rPr>
          <w:spacing w:val="23"/>
          <w:sz w:val="20"/>
        </w:rPr>
        <w:t> </w:t>
      </w:r>
      <w:r>
        <w:rPr>
          <w:sz w:val="20"/>
        </w:rPr>
        <w:t>v souladu</w:t>
      </w:r>
      <w:r>
        <w:rPr>
          <w:spacing w:val="23"/>
          <w:sz w:val="20"/>
        </w:rPr>
        <w:t> </w:t>
      </w:r>
      <w:r>
        <w:rPr>
          <w:sz w:val="20"/>
        </w:rPr>
        <w:t>s</w:t>
      </w:r>
      <w:r>
        <w:rPr>
          <w:spacing w:val="-1"/>
          <w:sz w:val="20"/>
        </w:rPr>
        <w:t> </w:t>
      </w:r>
      <w:r>
        <w:rPr>
          <w:sz w:val="20"/>
        </w:rPr>
        <w:t>Výzvou,</w:t>
      </w:r>
      <w:r>
        <w:rPr>
          <w:spacing w:val="23"/>
          <w:sz w:val="20"/>
        </w:rPr>
        <w:t> </w:t>
      </w:r>
      <w:r>
        <w:rPr>
          <w:sz w:val="20"/>
        </w:rPr>
        <w:t>žádostí</w:t>
      </w:r>
      <w:r>
        <w:rPr>
          <w:spacing w:val="23"/>
          <w:sz w:val="20"/>
        </w:rPr>
        <w:t> </w:t>
      </w:r>
      <w:r>
        <w:rPr>
          <w:sz w:val="20"/>
        </w:rPr>
        <w:t>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7"/>
        </w:rPr>
        <w:t> </w:t>
      </w:r>
      <w:r>
        <w:rPr/>
        <w:t>výkonem</w:t>
      </w:r>
      <w:r>
        <w:rPr>
          <w:spacing w:val="-5"/>
        </w:rPr>
        <w:t> </w:t>
      </w:r>
      <w:r>
        <w:rPr/>
        <w:t>29,7</w:t>
      </w:r>
      <w:r>
        <w:rPr>
          <w:spacing w:val="-7"/>
        </w:rPr>
        <w:t> </w:t>
      </w:r>
      <w:r>
        <w:rPr>
          <w:spacing w:val="-4"/>
        </w:rPr>
        <w:t>kWp,</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2"/>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29.70</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24.70</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74.70</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28.70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8" w:hanging="360"/>
        <w:jc w:val="both"/>
        <w:rPr>
          <w:sz w:val="20"/>
        </w:rPr>
      </w:pPr>
      <w:r>
        <w:rPr>
          <w:sz w:val="20"/>
        </w:rPr>
        <w:t>předloží Fondu současně s žádostí o platbu podklady k ZVA podle čl. čl. 14.4 Výzvy, a to nejpozději do 3 měsíců, počítáno od celého kalendářního měsíce, následujícího po dni, kdy tato Smlouva nabude 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825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771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2025-05-22T11:13:45Z</dcterms:created>
  <dcterms:modified xsi:type="dcterms:W3CDTF">2025-05-22T11:13:45Z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pro Microsoft 365</vt:lpwstr>
  </property>
  <property fmtid="{D5CDD505-2E9C-101B-9397-08002B2CF9AE}" pid="4" name="LastSaved">
    <vt:filetime>2025-05-22T00:00:00Z</vt:filetime>
  </property>
</Properties>
</file>