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7868" w14:textId="77777777" w:rsidR="003623BD" w:rsidRDefault="00AA27F5">
      <w:pPr>
        <w:pStyle w:val="Nadpis20"/>
        <w:keepNext/>
        <w:keepLines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89C241B" wp14:editId="49221F43">
            <wp:simplePos x="0" y="0"/>
            <wp:positionH relativeFrom="page">
              <wp:posOffset>916940</wp:posOffset>
            </wp:positionH>
            <wp:positionV relativeFrom="paragraph">
              <wp:posOffset>12700</wp:posOffset>
            </wp:positionV>
            <wp:extent cx="560705" cy="6705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Český telekomunikační úřad</w:t>
      </w:r>
      <w:bookmarkEnd w:id="0"/>
    </w:p>
    <w:p w14:paraId="46200B5E" w14:textId="77777777" w:rsidR="003623BD" w:rsidRDefault="00AA27F5">
      <w:pPr>
        <w:pStyle w:val="Zkladntext20"/>
        <w:spacing w:after="100"/>
        <w:ind w:firstLine="360"/>
        <w:jc w:val="both"/>
      </w:pPr>
      <w:r>
        <w:t>se sídlem Sokolovská 219, Praha 9</w:t>
      </w:r>
    </w:p>
    <w:p w14:paraId="5660E9F7" w14:textId="77777777" w:rsidR="003623BD" w:rsidRDefault="00AA27F5">
      <w:pPr>
        <w:pStyle w:val="Zkladntext20"/>
        <w:spacing w:after="420"/>
        <w:ind w:firstLine="0"/>
        <w:jc w:val="center"/>
      </w:pPr>
      <w:r>
        <w:t>poštovní přihrádka 02, 225 02 Praha 025</w:t>
      </w:r>
    </w:p>
    <w:p w14:paraId="5EFC9A3F" w14:textId="77777777" w:rsidR="003623BD" w:rsidRDefault="00AA27F5">
      <w:pPr>
        <w:pStyle w:val="Zkladntext30"/>
        <w:spacing w:after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D16260E" wp14:editId="15BEC353">
                <wp:simplePos x="0" y="0"/>
                <wp:positionH relativeFrom="page">
                  <wp:posOffset>5842635</wp:posOffset>
                </wp:positionH>
                <wp:positionV relativeFrom="paragraph">
                  <wp:posOffset>12700</wp:posOffset>
                </wp:positionV>
                <wp:extent cx="631190" cy="1219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C8D7FD" w14:textId="77777777" w:rsidR="003623BD" w:rsidRDefault="00AA27F5">
                            <w:pPr>
                              <w:pStyle w:val="Zkladntext30"/>
                              <w:spacing w:after="0"/>
                            </w:pPr>
                            <w:r>
                              <w:t>Praha 7.5.2025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60.05000000000001pt;margin-top:1.pt;width:49.700000000000003pt;height:9.599999999999999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7.5.2025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jednací ČTÚ-16 837/2025-613</w:t>
      </w:r>
    </w:p>
    <w:p w14:paraId="1BB643D9" w14:textId="77777777" w:rsidR="003623BD" w:rsidRDefault="00AA27F5">
      <w:pPr>
        <w:pStyle w:val="Zkladntext1"/>
        <w:ind w:firstLine="560"/>
        <w:jc w:val="both"/>
      </w:pPr>
      <w:r>
        <w:t xml:space="preserve">Český telekomunikační úřad (dále jen „Úřad“) jako příslušný správní orgán podle § 10 zákona č. </w:t>
      </w:r>
      <w:r>
        <w:t xml:space="preserve">500/2004 </w:t>
      </w:r>
      <w:proofErr w:type="spellStart"/>
      <w:proofErr w:type="gramStart"/>
      <w:r>
        <w:t>Sb</w:t>
      </w:r>
      <w:proofErr w:type="spellEnd"/>
      <w:r>
        <w:t>„ správní</w:t>
      </w:r>
      <w:proofErr w:type="gramEnd"/>
      <w:r>
        <w:t xml:space="preserve"> řád, a podle § 108 odst. 1 písm. o) zákona č. 127/2005 Sb., o elektronických komunikacích a o změně některých souvisejících zákonů (zákon o elektronických komunikacích), ve znění pozdějších předpisů (dále jen “zákon”), uděluje podle § 19 odst. 1 a § 18 zákona v řízení o žádosti žadatele ze dne 23.04.2025 toto</w:t>
      </w:r>
    </w:p>
    <w:p w14:paraId="3A5590F5" w14:textId="77777777" w:rsidR="003623BD" w:rsidRDefault="00AA27F5">
      <w:pPr>
        <w:pStyle w:val="Nadpis10"/>
        <w:keepNext/>
        <w:keepLines/>
      </w:pPr>
      <w:bookmarkStart w:id="1" w:name="bookmark2"/>
      <w:r>
        <w:t>individuální oprávnění</w:t>
      </w:r>
      <w:bookmarkEnd w:id="1"/>
    </w:p>
    <w:p w14:paraId="7FA6D886" w14:textId="77777777" w:rsidR="003623BD" w:rsidRDefault="00AA27F5">
      <w:pPr>
        <w:pStyle w:val="Zkladntext1"/>
        <w:spacing w:after="180" w:line="240" w:lineRule="auto"/>
        <w:ind w:firstLine="800"/>
        <w:jc w:val="both"/>
      </w:pPr>
      <w:r>
        <w:t>k využívání rádiových kmitočtů pozemní pohyblivé a pevné služby (dále jen „oprávnění“).</w:t>
      </w:r>
    </w:p>
    <w:p w14:paraId="3ECD7E7F" w14:textId="77777777" w:rsidR="003623BD" w:rsidRDefault="00AA27F5">
      <w:pPr>
        <w:pStyle w:val="Titulektabulky0"/>
        <w:tabs>
          <w:tab w:val="left" w:pos="7051"/>
        </w:tabs>
      </w:pPr>
      <w:r>
        <w:t>Číslo oprávnění: 317198/TI</w:t>
      </w:r>
      <w:r>
        <w:tab/>
        <w:t>Platnost do: 30.4.2030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458"/>
        <w:gridCol w:w="5750"/>
      </w:tblGrid>
      <w:tr w:rsidR="003623BD" w14:paraId="5191CF1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AA4AD" w14:textId="77777777" w:rsidR="003623BD" w:rsidRDefault="00AA27F5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A</w:t>
            </w:r>
          </w:p>
        </w:tc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792F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Držitel oprávnění</w:t>
            </w:r>
          </w:p>
        </w:tc>
      </w:tr>
      <w:tr w:rsidR="003623BD" w14:paraId="4EDB379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3CA4D" w14:textId="77777777" w:rsidR="003623BD" w:rsidRDefault="00AA27F5">
            <w:pPr>
              <w:pStyle w:val="Jin0"/>
              <w:spacing w:line="240" w:lineRule="auto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A.l</w:t>
            </w:r>
            <w:proofErr w:type="spellEnd"/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4D759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/ Příjmení a jméno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2FFA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Statutární město Pardubice</w:t>
            </w:r>
          </w:p>
        </w:tc>
      </w:tr>
      <w:tr w:rsidR="003623BD" w14:paraId="2EBAFDB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0E81C" w14:textId="77777777" w:rsidR="003623BD" w:rsidRDefault="00AA27F5">
            <w:pPr>
              <w:pStyle w:val="Jin0"/>
              <w:spacing w:before="80" w:line="240" w:lineRule="auto"/>
              <w:ind w:firstLine="0"/>
            </w:pPr>
            <w:r>
              <w:rPr>
                <w:b/>
                <w:bCs/>
              </w:rPr>
              <w:t>A.2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559DC" w14:textId="77777777" w:rsidR="003623BD" w:rsidRDefault="00AA27F5">
            <w:pPr>
              <w:pStyle w:val="Jin0"/>
              <w:spacing w:before="10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Sídlo/Bydliště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FEAD" w14:textId="77777777" w:rsidR="003623BD" w:rsidRDefault="00AA27F5">
            <w:pPr>
              <w:pStyle w:val="Jin0"/>
              <w:spacing w:line="240" w:lineRule="auto"/>
              <w:ind w:firstLine="0"/>
            </w:pPr>
            <w:proofErr w:type="spellStart"/>
            <w:r>
              <w:t>Perštýnské</w:t>
            </w:r>
            <w:proofErr w:type="spellEnd"/>
            <w:r>
              <w:t xml:space="preserve"> náměstí 1</w:t>
            </w:r>
          </w:p>
        </w:tc>
      </w:tr>
      <w:tr w:rsidR="003623BD" w14:paraId="497C389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A3A779" w14:textId="77777777" w:rsidR="003623BD" w:rsidRDefault="003623BD"/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5CB8ED" w14:textId="77777777" w:rsidR="003623BD" w:rsidRDefault="003623BD"/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527D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Pardubice-Staré Město</w:t>
            </w:r>
          </w:p>
        </w:tc>
      </w:tr>
      <w:tr w:rsidR="003623BD" w14:paraId="136FB3F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93AEA8" w14:textId="77777777" w:rsidR="003623BD" w:rsidRDefault="003623BD"/>
        </w:tc>
        <w:tc>
          <w:tcPr>
            <w:tcW w:w="245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A03D8B" w14:textId="77777777" w:rsidR="003623BD" w:rsidRDefault="003623BD"/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E785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530 02</w:t>
            </w:r>
          </w:p>
        </w:tc>
      </w:tr>
      <w:tr w:rsidR="003623BD" w14:paraId="7183EB6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75C8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A.3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B4C14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 / Datum narození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6D9D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00274046</w:t>
            </w:r>
          </w:p>
        </w:tc>
      </w:tr>
    </w:tbl>
    <w:p w14:paraId="6CEB1101" w14:textId="77777777" w:rsidR="003623BD" w:rsidRDefault="003623BD">
      <w:pPr>
        <w:spacing w:after="239" w:line="1" w:lineRule="exact"/>
      </w:pPr>
    </w:p>
    <w:p w14:paraId="10F848EE" w14:textId="77777777" w:rsidR="003623BD" w:rsidRDefault="003623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458"/>
        <w:gridCol w:w="5746"/>
      </w:tblGrid>
      <w:tr w:rsidR="003623BD" w14:paraId="72C51287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285CA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5A1F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Přidělený rádiový kmitočet</w:t>
            </w:r>
          </w:p>
        </w:tc>
      </w:tr>
      <w:tr w:rsidR="003623BD" w14:paraId="10574FB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4B8E3" w14:textId="77777777" w:rsidR="003623BD" w:rsidRDefault="00AA27F5">
            <w:pPr>
              <w:pStyle w:val="Jin0"/>
              <w:spacing w:line="240" w:lineRule="auto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B.l</w:t>
            </w:r>
            <w:proofErr w:type="spellEnd"/>
            <w:proofErr w:type="gram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5946F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Provozní kmitočty [MHz]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5A77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 xml:space="preserve">459,59000; </w:t>
            </w:r>
            <w:r>
              <w:t>469,59000</w:t>
            </w:r>
          </w:p>
        </w:tc>
      </w:tr>
      <w:tr w:rsidR="003623BD" w14:paraId="7935AA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8DF38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B.2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81760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vysílání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81E9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14K0F2DAN</w:t>
            </w:r>
          </w:p>
        </w:tc>
      </w:tr>
      <w:tr w:rsidR="003623BD" w14:paraId="1A06AE6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2768F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B.3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AFCBB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Povolená 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E4EEE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20,0</w:t>
            </w:r>
          </w:p>
        </w:tc>
      </w:tr>
      <w:tr w:rsidR="003623BD" w14:paraId="3CED028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D196F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B.4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573E7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Volací značky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4C6F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*****</w:t>
            </w:r>
          </w:p>
        </w:tc>
      </w:tr>
    </w:tbl>
    <w:p w14:paraId="6B861A4D" w14:textId="77777777" w:rsidR="003623BD" w:rsidRDefault="003623BD">
      <w:pPr>
        <w:spacing w:after="179" w:line="1" w:lineRule="exact"/>
      </w:pPr>
    </w:p>
    <w:p w14:paraId="12ABFD74" w14:textId="77777777" w:rsidR="003623BD" w:rsidRDefault="003623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458"/>
        <w:gridCol w:w="816"/>
        <w:gridCol w:w="835"/>
        <w:gridCol w:w="394"/>
        <w:gridCol w:w="811"/>
        <w:gridCol w:w="830"/>
        <w:gridCol w:w="413"/>
        <w:gridCol w:w="1646"/>
      </w:tblGrid>
      <w:tr w:rsidR="003623BD" w14:paraId="3DB4A414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6F9D2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Cl</w:t>
            </w:r>
          </w:p>
        </w:tc>
        <w:tc>
          <w:tcPr>
            <w:tcW w:w="82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CD59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Nepohyblivá vysílací rádiová zařízení</w:t>
            </w:r>
          </w:p>
        </w:tc>
      </w:tr>
      <w:tr w:rsidR="003623BD" w14:paraId="16971D1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75773" w14:textId="77777777" w:rsidR="003623BD" w:rsidRDefault="00AA27F5">
            <w:pPr>
              <w:pStyle w:val="Jin0"/>
              <w:spacing w:line="240" w:lineRule="auto"/>
              <w:ind w:firstLine="140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C.l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</w:p>
          <w:p w14:paraId="72B2BBDA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D9BAC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stanice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9EA87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 xml:space="preserve">Z001P, </w:t>
            </w:r>
            <w:proofErr w:type="gramStart"/>
            <w:r>
              <w:t>PÍ - dispečink</w:t>
            </w:r>
            <w:proofErr w:type="gramEnd"/>
            <w:r>
              <w:t xml:space="preserve"> PCO, </w:t>
            </w:r>
            <w:proofErr w:type="spellStart"/>
            <w:r>
              <w:t>Pemerova</w:t>
            </w:r>
            <w:proofErr w:type="spellEnd"/>
            <w:r>
              <w:t xml:space="preserve"> 443, Pardubice</w:t>
            </w:r>
          </w:p>
        </w:tc>
      </w:tr>
      <w:tr w:rsidR="003623BD" w14:paraId="4555C3A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4430A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CB33E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Souřadnice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53ED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LON/E/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8BED4" w14:textId="77777777" w:rsidR="003623BD" w:rsidRDefault="00AA27F5">
            <w:pPr>
              <w:pStyle w:val="Jin0"/>
              <w:spacing w:line="240" w:lineRule="auto"/>
              <w:ind w:firstLine="200"/>
            </w:pPr>
            <w:r>
              <w:t>15° 46' 22"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DCD7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LAT/N/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03137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50° 02' 15"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CBC6F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(v soustavě WGS 84)</w:t>
            </w:r>
          </w:p>
        </w:tc>
      </w:tr>
      <w:tr w:rsidR="003623BD" w14:paraId="40CAAB1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04CB1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AE669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Nadmořská výška [m]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F62841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220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7324D9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Výška antény nad terénem [m]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6D80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16</w:t>
            </w:r>
          </w:p>
        </w:tc>
      </w:tr>
      <w:tr w:rsidR="003623BD" w14:paraId="49700DD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20777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53AF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směr záření [°]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414A9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*****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965B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Elevace v hlavním směru [°]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3063" w14:textId="77777777" w:rsidR="003623BD" w:rsidRDefault="00AA27F5">
            <w:pPr>
              <w:pStyle w:val="Jin0"/>
              <w:spacing w:line="240" w:lineRule="auto"/>
              <w:ind w:firstLine="580"/>
              <w:jc w:val="both"/>
            </w:pPr>
            <w:r>
              <w:t>*****</w:t>
            </w:r>
          </w:p>
        </w:tc>
      </w:tr>
      <w:tr w:rsidR="003623BD" w14:paraId="3F7BAE7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F128B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755DC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Max. vyzářený výkon ERP [W]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59A09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*****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A31F3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antény H/V (HCM)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5F10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000ND00 </w:t>
            </w:r>
            <w:r>
              <w:t xml:space="preserve">/ </w:t>
            </w:r>
            <w:r>
              <w:rPr>
                <w:lang w:val="en-US" w:eastAsia="en-US" w:bidi="en-US"/>
              </w:rPr>
              <w:t>000ND00</w:t>
            </w:r>
          </w:p>
        </w:tc>
      </w:tr>
      <w:tr w:rsidR="003623BD" w14:paraId="26EF7FC8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21522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1686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Kmitočet </w:t>
            </w:r>
            <w:r>
              <w:rPr>
                <w:sz w:val="15"/>
                <w:szCs w:val="15"/>
              </w:rPr>
              <w:t>vysílače [MHz] /</w:t>
            </w:r>
          </w:p>
          <w:p w14:paraId="101F3A52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1BC8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*****</w:t>
            </w:r>
          </w:p>
        </w:tc>
      </w:tr>
      <w:tr w:rsidR="003623BD" w14:paraId="2363DF6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5D101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FF9CA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Kmitočet přijímače [MHz] /</w:t>
            </w:r>
          </w:p>
          <w:p w14:paraId="128E9FD7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AC7D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469,59000 / 20,0</w:t>
            </w:r>
          </w:p>
        </w:tc>
      </w:tr>
      <w:tr w:rsidR="003623BD" w14:paraId="2BF590C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F0BEC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C.l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</w:p>
          <w:p w14:paraId="29F946D6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F3B02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stanice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AF91" w14:textId="77777777" w:rsidR="003623BD" w:rsidRDefault="00AA27F5">
            <w:pPr>
              <w:pStyle w:val="Jin0"/>
              <w:spacing w:after="40" w:line="240" w:lineRule="auto"/>
              <w:ind w:firstLine="0"/>
            </w:pPr>
            <w:r>
              <w:t>Z002R, retranslace R1 (</w:t>
            </w:r>
            <w:proofErr w:type="spellStart"/>
            <w:r>
              <w:t>Tx</w:t>
            </w:r>
            <w:proofErr w:type="spellEnd"/>
            <w:r>
              <w:t xml:space="preserve">), Univerzita Pardubice, </w:t>
            </w:r>
            <w:proofErr w:type="spellStart"/>
            <w:r>
              <w:t>fak</w:t>
            </w:r>
            <w:proofErr w:type="spellEnd"/>
            <w:r>
              <w:t>.</w:t>
            </w:r>
          </w:p>
          <w:p w14:paraId="0587207A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 xml:space="preserve">filozofická, (objekt EA), Studentská 84, Pardubice </w:t>
            </w:r>
            <w:proofErr w:type="gramStart"/>
            <w:r>
              <w:t xml:space="preserve">II - </w:t>
            </w:r>
            <w:r>
              <w:t>Polabiny</w:t>
            </w:r>
            <w:proofErr w:type="gramEnd"/>
          </w:p>
        </w:tc>
      </w:tr>
      <w:tr w:rsidR="003623BD" w14:paraId="2F89EB7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025CC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6AE1F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Souřadnice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298C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LON/E/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BE902" w14:textId="77777777" w:rsidR="003623BD" w:rsidRDefault="00AA27F5">
            <w:pPr>
              <w:pStyle w:val="Jin0"/>
              <w:spacing w:line="240" w:lineRule="auto"/>
              <w:ind w:firstLine="200"/>
            </w:pPr>
            <w:r>
              <w:t>15° 46' 14"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6959F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LAT/N/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6A876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50° 02' 53"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9D72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(v soustavě WGS 84)</w:t>
            </w:r>
          </w:p>
        </w:tc>
      </w:tr>
      <w:tr w:rsidR="003623BD" w14:paraId="78E9BC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A1D66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6B99B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Nadmořská výška [m]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B4A33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220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A46AA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Výška antény nad terénem [m]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D42F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44</w:t>
            </w:r>
          </w:p>
        </w:tc>
      </w:tr>
      <w:tr w:rsidR="003623BD" w14:paraId="00B7A26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517E3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23DF4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Hlavni směr záření [°]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F6EFE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177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1C656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Elevace v hlavním směru [°]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B6B1" w14:textId="77777777" w:rsidR="003623BD" w:rsidRDefault="00AA27F5">
            <w:pPr>
              <w:pStyle w:val="Jin0"/>
              <w:spacing w:line="240" w:lineRule="auto"/>
              <w:ind w:firstLine="700"/>
              <w:jc w:val="both"/>
            </w:pPr>
            <w:r>
              <w:t>-5</w:t>
            </w:r>
          </w:p>
        </w:tc>
      </w:tr>
      <w:tr w:rsidR="003623BD" w14:paraId="42D33E9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E3E3C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063E1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Max. vyzářený výkon ERP [W]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8E9D7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F810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antény H/V (HCM)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00A3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047EA31 /033EA17</w:t>
            </w:r>
          </w:p>
        </w:tc>
      </w:tr>
      <w:tr w:rsidR="003623BD" w14:paraId="5299DF5F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4E45F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EF3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Kmitočet vysílače [MHz] /</w:t>
            </w:r>
          </w:p>
          <w:p w14:paraId="77AB27F5" w14:textId="77777777" w:rsidR="003623BD" w:rsidRDefault="00AA27F5">
            <w:pPr>
              <w:pStyle w:val="Jin0"/>
              <w:spacing w:after="16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  <w:p w14:paraId="7C28E26D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Kmitočet přijímače [MHz] /</w:t>
            </w:r>
          </w:p>
          <w:p w14:paraId="47837CB0" w14:textId="77777777" w:rsidR="003623BD" w:rsidRDefault="00AA27F5">
            <w:pPr>
              <w:pStyle w:val="Jin0"/>
              <w:spacing w:after="10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6FA" w14:textId="77777777" w:rsidR="003623BD" w:rsidRDefault="00AA27F5">
            <w:pPr>
              <w:pStyle w:val="Jin0"/>
              <w:spacing w:after="240" w:line="240" w:lineRule="auto"/>
              <w:ind w:firstLine="0"/>
            </w:pPr>
            <w:r>
              <w:t>469,59000 / 20,0</w:t>
            </w:r>
          </w:p>
          <w:p w14:paraId="07D6B2E6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*****</w:t>
            </w:r>
          </w:p>
        </w:tc>
      </w:tr>
      <w:tr w:rsidR="003623BD" w14:paraId="170E886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B13BA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C.l</w:t>
            </w:r>
            <w:proofErr w:type="spellEnd"/>
            <w:r>
              <w:rPr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0CD1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stanice</w:t>
            </w:r>
          </w:p>
        </w:tc>
        <w:tc>
          <w:tcPr>
            <w:tcW w:w="57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E0D0" w14:textId="77777777" w:rsidR="003623BD" w:rsidRDefault="00AA27F5">
            <w:pPr>
              <w:pStyle w:val="Jin0"/>
              <w:spacing w:after="40" w:line="240" w:lineRule="auto"/>
              <w:ind w:firstLine="0"/>
            </w:pPr>
            <w:r>
              <w:t>Z003P, retranslace R1 (</w:t>
            </w:r>
            <w:proofErr w:type="spellStart"/>
            <w:r>
              <w:t>Rx</w:t>
            </w:r>
            <w:proofErr w:type="spellEnd"/>
            <w:r>
              <w:t xml:space="preserve">), Univerzita Pardubice, </w:t>
            </w:r>
            <w:proofErr w:type="spellStart"/>
            <w:r>
              <w:t>fak</w:t>
            </w:r>
            <w:proofErr w:type="spellEnd"/>
            <w:r>
              <w:t>.</w:t>
            </w:r>
          </w:p>
          <w:p w14:paraId="6C586B05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 xml:space="preserve">filozofická, (objekt EA), </w:t>
            </w:r>
            <w:r>
              <w:t xml:space="preserve">Studentská 84, Pardubice </w:t>
            </w:r>
            <w:proofErr w:type="gramStart"/>
            <w:r>
              <w:t>II - Polabiny</w:t>
            </w:r>
            <w:proofErr w:type="gramEnd"/>
          </w:p>
        </w:tc>
      </w:tr>
      <w:tr w:rsidR="003623BD" w14:paraId="359E94A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933B9F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30DB0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Souřadnice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10B5B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LON/E/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ED638B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15° 46' 14"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0C24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LAT/N/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933FE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50° 02' 53"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853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(v soustavě WGS 84)</w:t>
            </w:r>
          </w:p>
        </w:tc>
      </w:tr>
      <w:tr w:rsidR="003623BD" w14:paraId="6D8172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B8804A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E5946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Nadmořská výška [m]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53835C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220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32B59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Výška antény nad terénem [m]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E7BF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47</w:t>
            </w:r>
          </w:p>
        </w:tc>
      </w:tr>
      <w:tr w:rsidR="003623BD" w14:paraId="3985BD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0B3E6E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6D402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směr záření [°]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02698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250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57533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Elevace v hlavním směru [°]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1984" w14:textId="77777777" w:rsidR="003623BD" w:rsidRDefault="00AA27F5">
            <w:pPr>
              <w:pStyle w:val="Jin0"/>
              <w:spacing w:line="240" w:lineRule="auto"/>
              <w:ind w:firstLine="700"/>
            </w:pPr>
            <w:r>
              <w:t>0</w:t>
            </w:r>
          </w:p>
        </w:tc>
      </w:tr>
    </w:tbl>
    <w:p w14:paraId="5ACACF85" w14:textId="77777777" w:rsidR="003623BD" w:rsidRDefault="00AA27F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1651"/>
        <w:gridCol w:w="2030"/>
        <w:gridCol w:w="2050"/>
      </w:tblGrid>
      <w:tr w:rsidR="003623BD" w14:paraId="6552E04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7FF34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Max. vyzářený výkon ERP </w:t>
            </w:r>
            <w:r>
              <w:rPr>
                <w:sz w:val="15"/>
                <w:szCs w:val="15"/>
              </w:rPr>
              <w:t>[W]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563838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*****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B79D6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antény H/V (HCM)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4E55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110LA35 / 015DE25</w:t>
            </w:r>
          </w:p>
        </w:tc>
      </w:tr>
      <w:tr w:rsidR="003623BD" w14:paraId="31E7998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2F5FC" w14:textId="77777777" w:rsidR="003623BD" w:rsidRDefault="00AA27F5">
            <w:pPr>
              <w:pStyle w:val="Jin0"/>
              <w:spacing w:line="27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Kmitočet vysílače [MHz] / 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77E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*****</w:t>
            </w:r>
          </w:p>
        </w:tc>
      </w:tr>
      <w:tr w:rsidR="003623BD" w14:paraId="68A03F4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9F1AA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Kmitočet přijímače [MHz] /</w:t>
            </w:r>
          </w:p>
          <w:p w14:paraId="3BB8D8E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0C93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459,59000/20.0</w:t>
            </w:r>
          </w:p>
        </w:tc>
      </w:tr>
    </w:tbl>
    <w:p w14:paraId="66A7E1B4" w14:textId="77777777" w:rsidR="003623BD" w:rsidRDefault="003623BD">
      <w:pPr>
        <w:spacing w:after="159" w:line="1" w:lineRule="exact"/>
      </w:pPr>
    </w:p>
    <w:p w14:paraId="518A939A" w14:textId="77777777" w:rsidR="003623BD" w:rsidRDefault="003623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458"/>
        <w:gridCol w:w="816"/>
        <w:gridCol w:w="1229"/>
        <w:gridCol w:w="816"/>
        <w:gridCol w:w="1234"/>
        <w:gridCol w:w="1637"/>
      </w:tblGrid>
      <w:tr w:rsidR="003623BD" w14:paraId="679B3DE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D5349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C2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F747" w14:textId="77777777" w:rsidR="003623BD" w:rsidRDefault="00AA27F5">
            <w:pPr>
              <w:pStyle w:val="Jin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Pohyblivá vysílací rádiová zařízení nebo nepohyblivé terminály dálkového </w:t>
            </w:r>
            <w:r>
              <w:rPr>
                <w:b/>
                <w:bCs/>
                <w:sz w:val="17"/>
                <w:szCs w:val="17"/>
              </w:rPr>
              <w:t>ovládání a signalizace</w:t>
            </w:r>
          </w:p>
        </w:tc>
      </w:tr>
      <w:tr w:rsidR="003623BD" w14:paraId="31B8A6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1A778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C.2.</w:t>
            </w:r>
          </w:p>
          <w:p w14:paraId="59A2926A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7D4F5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stanice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9CCA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M001U, terminály</w:t>
            </w:r>
          </w:p>
        </w:tc>
      </w:tr>
      <w:tr w:rsidR="003623BD" w14:paraId="3719150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5BAE2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F1951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Poloměr obsluhované oblasti [km]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E829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11,0</w:t>
            </w:r>
          </w:p>
        </w:tc>
      </w:tr>
      <w:tr w:rsidR="003623BD" w14:paraId="19AA269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9A1B6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DA4FA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Střed obsluhované oblastí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EC6D7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LON/E/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5EEC89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15° 43'25"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53A15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LAT/N/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20A46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t>50° 01'30"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06AE" w14:textId="77777777" w:rsidR="003623BD" w:rsidRDefault="00AA27F5">
            <w:pPr>
              <w:pStyle w:val="Jin0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(WGS 84)</w:t>
            </w:r>
          </w:p>
        </w:tc>
      </w:tr>
      <w:tr w:rsidR="003623BD" w14:paraId="21F82E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73F7B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B163E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Max. vyzářený výkon ERP [W]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2A15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10</w:t>
            </w:r>
          </w:p>
        </w:tc>
      </w:tr>
      <w:tr w:rsidR="003623BD" w14:paraId="3B3FFC77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ECBA2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6D44D" w14:textId="77777777" w:rsidR="003623BD" w:rsidRDefault="00AA27F5">
            <w:pPr>
              <w:pStyle w:val="Jin0"/>
              <w:spacing w:line="27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Kmitočet vysílače [MHz] / 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EA2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459,59000 / 20,0</w:t>
            </w:r>
          </w:p>
        </w:tc>
      </w:tr>
      <w:tr w:rsidR="003623BD" w14:paraId="7F81990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5433D" w14:textId="77777777" w:rsidR="003623BD" w:rsidRDefault="003623BD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1451D" w14:textId="77777777" w:rsidR="003623BD" w:rsidRDefault="00AA27F5">
            <w:pPr>
              <w:pStyle w:val="Jin0"/>
              <w:spacing w:line="27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Kmitočet přijímače [MHz] / Kanálová rozteč </w:t>
            </w:r>
            <w:r>
              <w:rPr>
                <w:sz w:val="15"/>
                <w:szCs w:val="15"/>
                <w:lang w:val="en-US" w:eastAsia="en-US" w:bidi="en-US"/>
              </w:rPr>
              <w:t>[kHz]</w:t>
            </w:r>
          </w:p>
        </w:tc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4E18" w14:textId="77777777" w:rsidR="003623BD" w:rsidRDefault="00AA27F5">
            <w:pPr>
              <w:pStyle w:val="Jin0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*****</w:t>
            </w:r>
          </w:p>
        </w:tc>
      </w:tr>
    </w:tbl>
    <w:p w14:paraId="29D9799E" w14:textId="77777777" w:rsidR="003623BD" w:rsidRDefault="003623BD">
      <w:pPr>
        <w:spacing w:after="159" w:line="1" w:lineRule="exact"/>
      </w:pPr>
    </w:p>
    <w:p w14:paraId="171B5979" w14:textId="77777777" w:rsidR="003623BD" w:rsidRDefault="003623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8064"/>
      </w:tblGrid>
      <w:tr w:rsidR="003623BD" w14:paraId="0ABBF2B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43DD8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3480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rPr>
                <w:b/>
                <w:bCs/>
              </w:rPr>
              <w:t>Podmínky pro využívání přidělených kmitočtů</w:t>
            </w:r>
          </w:p>
        </w:tc>
      </w:tr>
      <w:tr w:rsidR="003623BD" w14:paraId="5488728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AEC48" w14:textId="77777777" w:rsidR="003623BD" w:rsidRDefault="00AA27F5">
            <w:pPr>
              <w:pStyle w:val="Jin0"/>
              <w:spacing w:line="240" w:lineRule="auto"/>
              <w:ind w:firstLine="180"/>
            </w:pPr>
            <w:proofErr w:type="spellStart"/>
            <w:r>
              <w:rPr>
                <w:b/>
                <w:bCs/>
              </w:rPr>
              <w:t>D.l</w:t>
            </w:r>
            <w:proofErr w:type="spellEnd"/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80E4" w14:textId="77777777" w:rsidR="003623BD" w:rsidRDefault="00AA27F5">
            <w:pPr>
              <w:pStyle w:val="Jin0"/>
              <w:ind w:firstLine="0"/>
              <w:jc w:val="both"/>
            </w:pPr>
            <w:r>
              <w:t xml:space="preserve">Přidělené rádiové kmitočty mohou být sdíleny s dalšími rádiovými sítěmi. </w:t>
            </w:r>
            <w:r>
              <w:t>Vzájemné ovlivňování rádiových sítí vznikající sdílením kmitočtů se nepovažuje za škodlivé rušení.</w:t>
            </w:r>
          </w:p>
        </w:tc>
      </w:tr>
      <w:tr w:rsidR="003623BD" w14:paraId="634A99DE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EC518" w14:textId="77777777" w:rsidR="003623BD" w:rsidRDefault="00AA27F5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D.2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DC99" w14:textId="77777777" w:rsidR="003623BD" w:rsidRDefault="00AA27F5">
            <w:pPr>
              <w:pStyle w:val="Jin0"/>
              <w:spacing w:line="288" w:lineRule="auto"/>
              <w:ind w:firstLine="0"/>
              <w:jc w:val="both"/>
            </w:pPr>
            <w:r>
              <w:t xml:space="preserve">Přidělené technologické číslo sítě je 134. Držitel oprávnění je povinen zajistit nastavení tohoto parametru při konfiguraci koncových pevných </w:t>
            </w:r>
            <w:r>
              <w:t>stanic, jinak též nazývaných terminály či objektové vysílače.</w:t>
            </w:r>
          </w:p>
        </w:tc>
      </w:tr>
      <w:tr w:rsidR="003623BD" w14:paraId="4F5674C5" w14:textId="77777777">
        <w:tblPrEx>
          <w:tblCellMar>
            <w:top w:w="0" w:type="dxa"/>
            <w:bottom w:w="0" w:type="dxa"/>
          </w:tblCellMar>
        </w:tblPrEx>
        <w:trPr>
          <w:trHeight w:hRule="exact" w:val="428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DD402" w14:textId="77777777" w:rsidR="003623BD" w:rsidRDefault="00AA27F5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D.3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1BF5" w14:textId="77777777" w:rsidR="003623BD" w:rsidRDefault="00AA27F5">
            <w:pPr>
              <w:pStyle w:val="Jin0"/>
              <w:spacing w:after="240"/>
              <w:ind w:firstLine="0"/>
              <w:jc w:val="both"/>
            </w:pPr>
            <w:r>
              <w:t>Držitel oprávnění je pro účely kontroly provozní oblasti stanovené v části C2 oprávnění povinen vést aktuální seznam všech provozovaných koncových pevných stanic (terminálů / objektových vysílačů) v síti. Vhodný formulář v elektronické podobě poskytne držiteli oprávnění Úřad na vyžádání.</w:t>
            </w:r>
          </w:p>
          <w:p w14:paraId="302C4791" w14:textId="77777777" w:rsidR="003623BD" w:rsidRDefault="00AA27F5">
            <w:pPr>
              <w:pStyle w:val="Jin0"/>
              <w:spacing w:line="283" w:lineRule="auto"/>
              <w:ind w:firstLine="0"/>
              <w:jc w:val="both"/>
            </w:pPr>
            <w:r>
              <w:t>Seznam bude obsahovat následující údaje:</w:t>
            </w:r>
          </w:p>
          <w:p w14:paraId="2DC25D0B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line="283" w:lineRule="auto"/>
              <w:ind w:firstLine="0"/>
              <w:jc w:val="both"/>
            </w:pPr>
            <w:r>
              <w:t>označení stanoviště;</w:t>
            </w:r>
          </w:p>
          <w:p w14:paraId="147840E5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line="283" w:lineRule="auto"/>
              <w:ind w:firstLine="0"/>
              <w:jc w:val="both"/>
            </w:pPr>
            <w:r>
              <w:t>adresa stanoviště;</w:t>
            </w:r>
          </w:p>
          <w:p w14:paraId="645E591F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line="283" w:lineRule="auto"/>
              <w:ind w:firstLine="0"/>
              <w:jc w:val="both"/>
            </w:pPr>
            <w:r>
              <w:t xml:space="preserve">souřadnice stanoviště v systému WGS 84 ve formátu </w:t>
            </w:r>
            <w:r>
              <w:t xml:space="preserve">stupeň-minuta-vteřina, nebo pouze stupeň (desetinné číslo) </w:t>
            </w:r>
            <w:proofErr w:type="gramStart"/>
            <w:r>
              <w:t>s</w:t>
            </w:r>
            <w:proofErr w:type="gramEnd"/>
            <w:r>
              <w:t xml:space="preserve"> přesnosti nejméně na 1 vteřinu;</w:t>
            </w:r>
          </w:p>
          <w:p w14:paraId="128DE27D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line="283" w:lineRule="auto"/>
              <w:ind w:firstLine="0"/>
            </w:pPr>
            <w:r>
              <w:t>výška středu anténního systému nad terénem (m);</w:t>
            </w:r>
          </w:p>
          <w:p w14:paraId="6836A249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line="283" w:lineRule="auto"/>
              <w:ind w:firstLine="0"/>
            </w:pPr>
            <w:r>
              <w:t>rádiový kmitočet vysílače (MHz);</w:t>
            </w:r>
          </w:p>
          <w:p w14:paraId="12FCB24C" w14:textId="77777777" w:rsidR="003623BD" w:rsidRDefault="00AA27F5">
            <w:pPr>
              <w:pStyle w:val="Jin0"/>
              <w:numPr>
                <w:ilvl w:val="0"/>
                <w:numId w:val="1"/>
              </w:numPr>
              <w:tabs>
                <w:tab w:val="left" w:pos="341"/>
              </w:tabs>
              <w:spacing w:after="240" w:line="283" w:lineRule="auto"/>
              <w:ind w:firstLine="0"/>
            </w:pPr>
            <w:r>
              <w:t>maximální vyzářený výkon ERP (W).</w:t>
            </w:r>
          </w:p>
          <w:p w14:paraId="0350D70B" w14:textId="77777777" w:rsidR="003623BD" w:rsidRDefault="00AA27F5">
            <w:pPr>
              <w:pStyle w:val="Jin0"/>
              <w:ind w:firstLine="0"/>
              <w:jc w:val="both"/>
            </w:pPr>
            <w:r>
              <w:t>Uvedený seznam koncových pevných stanic (terminálů / objektových vysílačů) v síti je držitel oprávnění povinen přiložit ke každé žádosti o změnu nebo prodloužení doby platnosti oprávnění.</w:t>
            </w:r>
          </w:p>
        </w:tc>
      </w:tr>
      <w:tr w:rsidR="003623BD" w14:paraId="2A3AC31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A971D" w14:textId="77777777" w:rsidR="003623BD" w:rsidRDefault="00AA27F5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D.4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1371" w14:textId="77777777" w:rsidR="003623BD" w:rsidRDefault="00AA27F5">
            <w:pPr>
              <w:pStyle w:val="Jin0"/>
              <w:spacing w:line="240" w:lineRule="auto"/>
              <w:ind w:firstLine="0"/>
            </w:pPr>
            <w:r>
              <w:t>Nabytím právní moci tohoto rozhodnutí se odnímá oprávnění č. 239600/TI.</w:t>
            </w:r>
          </w:p>
        </w:tc>
      </w:tr>
    </w:tbl>
    <w:p w14:paraId="2B5A6E78" w14:textId="77777777" w:rsidR="003623BD" w:rsidRDefault="003623BD">
      <w:pPr>
        <w:spacing w:after="159" w:line="1" w:lineRule="exact"/>
      </w:pPr>
    </w:p>
    <w:p w14:paraId="474CBEC5" w14:textId="77777777" w:rsidR="003623BD" w:rsidRDefault="003623B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8064"/>
      </w:tblGrid>
      <w:tr w:rsidR="003623BD" w14:paraId="6CB7FA8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F68DA" w14:textId="77777777" w:rsidR="003623BD" w:rsidRDefault="00AA27F5">
            <w:pPr>
              <w:pStyle w:val="Jin0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E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281" w14:textId="77777777" w:rsidR="003623BD" w:rsidRDefault="00AA27F5">
            <w:pPr>
              <w:pStyle w:val="Jin0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Poplatky</w:t>
            </w:r>
          </w:p>
        </w:tc>
      </w:tr>
      <w:tr w:rsidR="003623BD" w14:paraId="6B9AFBB9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1DFF5" w14:textId="77777777" w:rsidR="003623BD" w:rsidRDefault="00AA27F5">
            <w:pPr>
              <w:pStyle w:val="Jin0"/>
              <w:spacing w:before="140" w:line="240" w:lineRule="auto"/>
              <w:ind w:firstLine="200"/>
            </w:pPr>
            <w:proofErr w:type="spellStart"/>
            <w:proofErr w:type="gramStart"/>
            <w:r>
              <w:rPr>
                <w:b/>
                <w:bCs/>
              </w:rPr>
              <w:t>E.l</w:t>
            </w:r>
            <w:proofErr w:type="spellEnd"/>
            <w:proofErr w:type="gramEnd"/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A3BA" w14:textId="77777777" w:rsidR="003623BD" w:rsidRDefault="00AA27F5">
            <w:pPr>
              <w:pStyle w:val="Jin0"/>
              <w:tabs>
                <w:tab w:val="left" w:pos="7234"/>
              </w:tabs>
              <w:spacing w:line="307" w:lineRule="auto"/>
              <w:ind w:firstLine="0"/>
              <w:jc w:val="both"/>
            </w:pPr>
            <w:r>
              <w:t xml:space="preserve">Za </w:t>
            </w:r>
            <w:r>
              <w:t>využívání rádiových kmitočtů je držitel oprávnění povinen v následujících letech vždy k 31. lednu každého celistvého roku po dobu platnosti oprávnění platit podle § 24 zákona roční poplatek, jehož výše je stanovena nařízením vlády č. 154/2005 Sb., o stanoveni výše a způsobu výpočtu poplatků za využívání rádiových kmitočtů a čísel, ve znění pozdějších předpisů, a to ve výši, která činí:</w:t>
            </w:r>
            <w:r>
              <w:tab/>
              <w:t>7 100 Kč</w:t>
            </w:r>
          </w:p>
        </w:tc>
      </w:tr>
      <w:tr w:rsidR="003623BD" w14:paraId="19971807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7CA70" w14:textId="77777777" w:rsidR="003623BD" w:rsidRDefault="00AA27F5">
            <w:pPr>
              <w:pStyle w:val="Jin0"/>
              <w:spacing w:before="140" w:line="240" w:lineRule="auto"/>
              <w:ind w:firstLine="200"/>
            </w:pPr>
            <w:r>
              <w:rPr>
                <w:b/>
                <w:bCs/>
              </w:rPr>
              <w:t>E.2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09A0" w14:textId="77777777" w:rsidR="003623BD" w:rsidRDefault="00AA27F5">
            <w:pPr>
              <w:pStyle w:val="Jin0"/>
              <w:spacing w:line="288" w:lineRule="auto"/>
              <w:ind w:firstLine="0"/>
              <w:jc w:val="both"/>
            </w:pPr>
            <w:r>
              <w:t xml:space="preserve">Držitel oprávnění je povinen do 15 dnů ode dne nabytí právní moci tohoto rozhodnutí uhradit první </w:t>
            </w:r>
            <w:r>
              <w:t>poplatek za období od nabytí právní moci tohoto rozhodnutí do 31.12.2025, který činí:</w:t>
            </w:r>
          </w:p>
          <w:p w14:paraId="5D23F7EB" w14:textId="77777777" w:rsidR="003623BD" w:rsidRDefault="00AA27F5">
            <w:pPr>
              <w:pStyle w:val="Jin0"/>
              <w:spacing w:line="288" w:lineRule="auto"/>
              <w:ind w:firstLine="0"/>
              <w:jc w:val="right"/>
            </w:pPr>
            <w:r>
              <w:t>4 142 Kč</w:t>
            </w:r>
          </w:p>
          <w:p w14:paraId="47EAE66F" w14:textId="77777777" w:rsidR="003623BD" w:rsidRDefault="00AA27F5">
            <w:pPr>
              <w:pStyle w:val="Jin0"/>
              <w:spacing w:line="288" w:lineRule="auto"/>
              <w:ind w:firstLine="0"/>
              <w:jc w:val="both"/>
            </w:pPr>
            <w:r>
              <w:t>Tento poplatek se stanoví jako násobek jedné dvanáctiny ročního poplatku a počtu celých měsíců následujících po dni nabytí právní moci tohoto rozhodnutí v daném kalendářním roce.</w:t>
            </w:r>
          </w:p>
        </w:tc>
      </w:tr>
    </w:tbl>
    <w:p w14:paraId="54818701" w14:textId="77777777" w:rsidR="003623BD" w:rsidRDefault="003623BD">
      <w:pPr>
        <w:sectPr w:rsidR="003623BD">
          <w:headerReference w:type="even" r:id="rId8"/>
          <w:headerReference w:type="default" r:id="rId9"/>
          <w:headerReference w:type="first" r:id="rId10"/>
          <w:pgSz w:w="11900" w:h="16840"/>
          <w:pgMar w:top="1059" w:right="1682" w:bottom="350" w:left="1406" w:header="0" w:footer="3" w:gutter="0"/>
          <w:pgNumType w:start="1"/>
          <w:cols w:space="720"/>
          <w:noEndnote/>
          <w:titlePg/>
          <w:docGrid w:linePitch="360"/>
        </w:sectPr>
      </w:pPr>
    </w:p>
    <w:p w14:paraId="08250FA0" w14:textId="77777777" w:rsidR="003623BD" w:rsidRDefault="00AA27F5">
      <w:pPr>
        <w:pStyle w:val="Zkladntext1"/>
        <w:tabs>
          <w:tab w:val="left" w:pos="7974"/>
        </w:tabs>
        <w:spacing w:line="288" w:lineRule="auto"/>
        <w:ind w:left="760" w:firstLine="0"/>
        <w:jc w:val="both"/>
      </w:pPr>
      <w:r>
        <w:lastRenderedPageBreak/>
        <w:t xml:space="preserve">Držitel oprávnění je povinen uhradit poslední poplatek za období od 1.1.2030 do 30.4.2030 do 31. </w:t>
      </w:r>
      <w:r>
        <w:t>ledna příslušného kalendářního roku, který činí:</w:t>
      </w:r>
      <w:r>
        <w:tab/>
        <w:t>2 367 Kč</w:t>
      </w:r>
    </w:p>
    <w:p w14:paraId="10D533EF" w14:textId="77777777" w:rsidR="003623BD" w:rsidRDefault="00AA27F5">
      <w:pPr>
        <w:pStyle w:val="Zkladntext1"/>
        <w:spacing w:after="80" w:line="288" w:lineRule="auto"/>
        <w:ind w:left="760" w:firstLine="0"/>
        <w:jc w:val="both"/>
      </w:pPr>
      <w:r>
        <w:t>Tento poplatek se stanoví jako násobek jedné dvanáctiny ročního poplatku a počtu měsíců v posledním roce platnosti tohoto oprávnění.</w:t>
      </w:r>
    </w:p>
    <w:p w14:paraId="5E362440" w14:textId="77777777" w:rsidR="003623BD" w:rsidRDefault="00AA27F5">
      <w:pPr>
        <w:pStyle w:val="Zkladntext1"/>
        <w:ind w:left="760" w:firstLine="0"/>
        <w:jc w:val="both"/>
      </w:pPr>
      <w:r>
        <w:t xml:space="preserve">Poplatky se uhrazují na účet číslo </w:t>
      </w:r>
      <w:r>
        <w:t>19-60426011/0710 vedený u České národní banky Praha, konstantní symbol 308 (platba bankovním převodem) nebo 379 (platba poštovní poukázkou).</w:t>
      </w:r>
    </w:p>
    <w:p w14:paraId="5E198F94" w14:textId="77777777" w:rsidR="003623BD" w:rsidRDefault="00AA27F5">
      <w:pPr>
        <w:pStyle w:val="Zkladntext1"/>
        <w:spacing w:after="160"/>
        <w:ind w:left="760" w:firstLine="0"/>
        <w:jc w:val="both"/>
      </w:pPr>
      <w:r>
        <w:t xml:space="preserve">Variabilní symbol příslušné platby se uvede ve tvaru XXXX317198, kde XXXX označuje čtyřmi číslicemi rok, za </w:t>
      </w:r>
      <w:r>
        <w:t>který je poplatek uhrazován a 317198 je číslo tohoto oprávnění.</w:t>
      </w:r>
    </w:p>
    <w:p w14:paraId="15A602ED" w14:textId="77777777" w:rsidR="003623BD" w:rsidRDefault="00AA27F5">
      <w:pPr>
        <w:pStyle w:val="Nadpis30"/>
        <w:keepNext/>
        <w:keepLines/>
        <w:spacing w:after="160"/>
      </w:pPr>
      <w:bookmarkStart w:id="2" w:name="bookmark4"/>
      <w:r>
        <w:t>Odůvodnění</w:t>
      </w:r>
      <w:bookmarkEnd w:id="2"/>
    </w:p>
    <w:p w14:paraId="1CCAEFA1" w14:textId="77777777" w:rsidR="003623BD" w:rsidRDefault="00AA27F5">
      <w:pPr>
        <w:pStyle w:val="Zkladntext1"/>
        <w:jc w:val="both"/>
      </w:pPr>
      <w:r>
        <w:t xml:space="preserve">Český telekomunikační úřad (dále jen „Úřad") obdržel dne 23. 4. 2025 žádost o změnu individuálního oprávněni č. 239600/TI k využívání rádiových kmitočtů pozemní pohyblivé služby a pevné služby. Žadatel změnou </w:t>
      </w:r>
      <w:proofErr w:type="gramStart"/>
      <w:r>
        <w:t>řeší</w:t>
      </w:r>
      <w:proofErr w:type="gramEnd"/>
      <w:r>
        <w:t xml:space="preserve"> optimalizaci rádiového provozu sítě. V této souvislosti dochází k odnětí a pozbytí platnosti výše uvedeného individuálního oprávnění k využívání rádiových kmitočtů. Využívání rádiových kmitočtů upravuje opatření obecné povahy část plánu využití rádiového spektra č. PV-P/15/02.2020-2 pro kmitočtové pásmo 380-470 MHz. Podle § 19 odst. I. písni. e) zákona č. 127/2005 Sb. se žádost o změnu technických parametrů přiděleného kmitočtu považuje za žádost o uděleni nového individuálního oprávnění k využíváni rá</w:t>
      </w:r>
      <w:r>
        <w:t>diových kmitočtů. Úřad žádosti vyhověl udělením individuálního oprávněni č. 3I7I98/TI, ve kterém stanovil podmínky k využíváni rádiových kmitočtů s tímto odůvodněním:</w:t>
      </w:r>
    </w:p>
    <w:p w14:paraId="3057A970" w14:textId="77777777" w:rsidR="003623BD" w:rsidRDefault="00AA27F5">
      <w:pPr>
        <w:pStyle w:val="Zkladntext1"/>
        <w:tabs>
          <w:tab w:val="left" w:pos="958"/>
          <w:tab w:val="left" w:pos="2852"/>
          <w:tab w:val="left" w:pos="4140"/>
          <w:tab w:val="left" w:pos="5293"/>
          <w:tab w:val="left" w:pos="6126"/>
          <w:tab w:val="left" w:pos="7241"/>
        </w:tabs>
        <w:jc w:val="both"/>
      </w:pPr>
      <w:r>
        <w:t xml:space="preserve">Odůvodnění podmínky č. I: při kmitočtovém plánování se vychází </w:t>
      </w:r>
      <w:proofErr w:type="gramStart"/>
      <w:r>
        <w:t>z</w:t>
      </w:r>
      <w:proofErr w:type="gramEnd"/>
      <w:r>
        <w:t xml:space="preserve"> opakovači vzdálenosti kmitočtové síťky 75 km (pro efektivní výšku antény do 35 m), která je stanovena PVRS. Takto stanovená</w:t>
      </w:r>
      <w:r>
        <w:tab/>
        <w:t>opakovači vzdálenost</w:t>
      </w:r>
      <w:r>
        <w:tab/>
        <w:t>zajišťuje při</w:t>
      </w:r>
      <w:r>
        <w:tab/>
        <w:t>respektováni</w:t>
      </w:r>
      <w:r>
        <w:tab/>
        <w:t>ostatních</w:t>
      </w:r>
      <w:r>
        <w:tab/>
        <w:t>plánovacích</w:t>
      </w:r>
      <w:r>
        <w:tab/>
        <w:t>parametrů takové</w:t>
      </w:r>
    </w:p>
    <w:p w14:paraId="2E0BFF23" w14:textId="77777777" w:rsidR="003623BD" w:rsidRDefault="00AA27F5">
      <w:pPr>
        <w:pStyle w:val="Zkladntext1"/>
        <w:tabs>
          <w:tab w:val="left" w:pos="958"/>
          <w:tab w:val="left" w:pos="2825"/>
          <w:tab w:val="left" w:pos="4167"/>
          <w:tab w:val="left" w:pos="5293"/>
          <w:tab w:val="left" w:pos="6130"/>
          <w:tab w:val="left" w:pos="7244"/>
        </w:tabs>
        <w:ind w:firstLine="0"/>
        <w:jc w:val="both"/>
      </w:pPr>
      <w:r>
        <w:t>zeslabení</w:t>
      </w:r>
      <w:r>
        <w:tab/>
        <w:t>signálu, při kterém</w:t>
      </w:r>
      <w:r>
        <w:tab/>
        <w:t>již nedochází</w:t>
      </w:r>
      <w:r>
        <w:tab/>
        <w:t>ke vzniku</w:t>
      </w:r>
      <w:r>
        <w:tab/>
        <w:t>škodlivé</w:t>
      </w:r>
      <w:r>
        <w:tab/>
        <w:t>interference</w:t>
      </w:r>
      <w:r>
        <w:tab/>
        <w:t>mezi sousedními</w:t>
      </w:r>
    </w:p>
    <w:p w14:paraId="1D47A634" w14:textId="77777777" w:rsidR="003623BD" w:rsidRDefault="00AA27F5">
      <w:pPr>
        <w:pStyle w:val="Zkladntext1"/>
        <w:tabs>
          <w:tab w:val="left" w:pos="4493"/>
          <w:tab w:val="left" w:pos="5293"/>
          <w:tab w:val="left" w:pos="6080"/>
          <w:tab w:val="left" w:pos="6955"/>
          <w:tab w:val="left" w:pos="7795"/>
        </w:tabs>
        <w:ind w:firstLine="0"/>
        <w:jc w:val="both"/>
      </w:pPr>
      <w:r>
        <w:t>rádiovými sítěmi (jedná se o tzv, prostorovou separaci). Uplatňování prostorové separace je opodstatněné tam, kde je rádiový kmitočet vysíláním využíván nepřetržitě nebo lam. kde nelze technickými opatřeními zajistit selektivní využívání rádiového kmitočtu. V ostatních případech však stanovená opakovači vzdálenost neumožňuje optimální využíváni rádiového spektra. Protože za splněni předepsaných podmínek a na základě projektové dokumentace požadované kmitočty nebudou využívány v nepřetržitém provozu, byla st</w:t>
      </w:r>
      <w:r>
        <w:t>anovena podmínka D. 1 umožňující využíváni přiděleného rádiového kmitočtu i jinými rádiovými sítěmi ve vzdálenosti menši, než je vzdálenost stanovená PVRS. Přitom nelze vyloučil vzájemné ovlivňováni rádiových síti způsobené provozováním vysílacích rádiových zařízeni v blízkých lokalitách. Toto vzájemné ovlivňováni se nepovažuje za škodlivou interferenci, neboť je technickými prostředky</w:t>
      </w:r>
      <w:r>
        <w:tab/>
        <w:t>možné</w:t>
      </w:r>
      <w:r>
        <w:tab/>
        <w:t>zajistit</w:t>
      </w:r>
      <w:r>
        <w:tab/>
        <w:t>oddělení</w:t>
      </w:r>
      <w:r>
        <w:tab/>
        <w:t>rádiové</w:t>
      </w:r>
      <w:r>
        <w:tab/>
        <w:t>komunikace</w:t>
      </w:r>
    </w:p>
    <w:p w14:paraId="60BFCD1D" w14:textId="77777777" w:rsidR="003623BD" w:rsidRDefault="00AA27F5">
      <w:pPr>
        <w:pStyle w:val="Zkladntext1"/>
        <w:ind w:firstLine="0"/>
        <w:jc w:val="both"/>
      </w:pPr>
      <w:r>
        <w:t>jednotlivých uživatelů rádiového spektra.</w:t>
      </w:r>
    </w:p>
    <w:p w14:paraId="392CC287" w14:textId="77777777" w:rsidR="003623BD" w:rsidRDefault="00AA27F5">
      <w:pPr>
        <w:pStyle w:val="Zkladntext1"/>
        <w:tabs>
          <w:tab w:val="left" w:pos="4493"/>
          <w:tab w:val="left" w:pos="5338"/>
          <w:tab w:val="left" w:pos="6080"/>
          <w:tab w:val="left" w:pos="6955"/>
        </w:tabs>
        <w:jc w:val="both"/>
      </w:pPr>
      <w:r>
        <w:t>Odůvodnění podmínky č.2: při kmitočtovém</w:t>
      </w:r>
      <w:r>
        <w:tab/>
        <w:t>plánováni</w:t>
      </w:r>
      <w:r>
        <w:tab/>
        <w:t>nebyla</w:t>
      </w:r>
      <w:r>
        <w:tab/>
        <w:t>uplatněna</w:t>
      </w:r>
      <w:r>
        <w:tab/>
        <w:t>opakovači vzdálenost</w:t>
      </w:r>
    </w:p>
    <w:p w14:paraId="052F8B97" w14:textId="77777777" w:rsidR="003623BD" w:rsidRDefault="00AA27F5">
      <w:pPr>
        <w:pStyle w:val="Zkladntext1"/>
        <w:ind w:firstLine="0"/>
        <w:jc w:val="both"/>
      </w:pPr>
      <w:r>
        <w:t xml:space="preserve">stanovená PVRS. Selektivní vyhodnocováni přijímaných signálů je zajištěno přidělením technologického čísla sítě. Proto byla stanovena podmínka D.2 ukládající držiteli individuálního oprávněni povinnost zajistit nastaveni přiděleného technologického </w:t>
      </w:r>
      <w:proofErr w:type="spellStart"/>
      <w:r>
        <w:t>čisla</w:t>
      </w:r>
      <w:proofErr w:type="spellEnd"/>
      <w:r>
        <w:t xml:space="preserve"> sítě při konfiguraci koncových pevných stanic </w:t>
      </w:r>
      <w:proofErr w:type="spellStart"/>
      <w:r>
        <w:t>tiebo-li</w:t>
      </w:r>
      <w:proofErr w:type="spellEnd"/>
      <w:r>
        <w:t xml:space="preserve"> terminálů (též objektových vysilačů).</w:t>
      </w:r>
    </w:p>
    <w:p w14:paraId="0C0ACB78" w14:textId="77777777" w:rsidR="003623BD" w:rsidRDefault="00AA27F5">
      <w:pPr>
        <w:pStyle w:val="Zkladntext1"/>
        <w:jc w:val="both"/>
      </w:pPr>
      <w:r>
        <w:t>Odůvodnění podmínky č.3: v rádiové síti provozované na základě tohoto oprávněni je držiteli oprávněni umožněno provádět změny v počtu a umístění koncových pevných stanic v síti, pokud takovou změnou nedojde k překročeni povolené provozní oblasti stanovené v Části C2 oprávněni. Pro účely kontroly, zda provedením změn nedošlo k překročeni povoleného rozsahu provozní oblasti, byla podmínkou D.3 držiteli oprávněni stanovena povinnost vést pro účely kontroly aktualizovaný seznam koncových pevných stanic v síti a</w:t>
      </w:r>
      <w:r>
        <w:t xml:space="preserve"> tento seznam předložit při podáni každé žádosti o změnu oprávněni nebo o prodloužení doby platnosti oprávnění. Koncovou pevnou stanicí sítě se pro tyto účely rozumí každá pevná stanice v šiti, která není centrální stanici (např. dispečink), sběrnou stanicí nebo retranslační stanici, a která není uvedena v části Cl oprávnění.</w:t>
      </w:r>
    </w:p>
    <w:p w14:paraId="152C6322" w14:textId="77777777" w:rsidR="003623BD" w:rsidRDefault="00AA27F5">
      <w:pPr>
        <w:pStyle w:val="Zkladntext1"/>
        <w:jc w:val="both"/>
      </w:pPr>
      <w:r>
        <w:t xml:space="preserve">Protože žadatel splnil všechny náležitosti požadované zákonem a uhradil dne 11. 4. 2025 bankovním převodem správní poplatek 5 000 Kč předepsaný podle § 133 odst. 1 </w:t>
      </w:r>
      <w:proofErr w:type="spellStart"/>
      <w:r>
        <w:t>pism</w:t>
      </w:r>
      <w:proofErr w:type="spellEnd"/>
      <w:r>
        <w:t>. a) zákona a jehož výše je stanovena zákonem č. 634/2004 Sb., o správních poplatcích, ve znění pozdějších předpisů, položka č. 112, rozhodl správní orgán tak. jak je uvedeno ve výroku.</w:t>
      </w:r>
    </w:p>
    <w:p w14:paraId="62E3CD17" w14:textId="77777777" w:rsidR="003623BD" w:rsidRDefault="00AA27F5">
      <w:pPr>
        <w:pStyle w:val="Zkladntext1"/>
        <w:jc w:val="both"/>
      </w:pPr>
      <w:r>
        <w:t>K zamezení duplicity práv k využívání přidělených rádiových kmitočtů Úřad současně rozhodl o odnětí původního individuálního oprávnění č. 239600/TI.</w:t>
      </w:r>
    </w:p>
    <w:p w14:paraId="583FDEF8" w14:textId="77777777" w:rsidR="003623BD" w:rsidRDefault="00AA27F5">
      <w:pPr>
        <w:pStyle w:val="Zkladntext1"/>
        <w:spacing w:after="40"/>
        <w:jc w:val="both"/>
      </w:pPr>
      <w:r>
        <w:t xml:space="preserve">Vzhledem k tomu, že se žadateli při respektování výše uvedených podmínek k využívání rádiových kmitočtů vyhovuje v plném rozsahu, další odůvodněni se podle § 68 odst. 4 zákona č. 500/2004 </w:t>
      </w:r>
      <w:proofErr w:type="gramStart"/>
      <w:r>
        <w:t>Sb..</w:t>
      </w:r>
      <w:proofErr w:type="gramEnd"/>
      <w:r>
        <w:t xml:space="preserve"> správní řád, neuvádí.</w:t>
      </w:r>
      <w:r>
        <w:br w:type="page"/>
      </w:r>
    </w:p>
    <w:p w14:paraId="2559B45A" w14:textId="77777777" w:rsidR="003623BD" w:rsidRDefault="00AA27F5">
      <w:pPr>
        <w:pStyle w:val="Nadpis30"/>
        <w:keepNext/>
        <w:keepLines/>
        <w:spacing w:after="220"/>
      </w:pPr>
      <w:bookmarkStart w:id="3" w:name="bookmark6"/>
      <w:r>
        <w:lastRenderedPageBreak/>
        <w:t>Poučení</w:t>
      </w:r>
      <w:bookmarkEnd w:id="3"/>
    </w:p>
    <w:p w14:paraId="7D689584" w14:textId="77777777" w:rsidR="003623BD" w:rsidRDefault="00AA27F5">
      <w:pPr>
        <w:pStyle w:val="Zkladntext1"/>
        <w:spacing w:line="295" w:lineRule="auto"/>
        <w:ind w:firstLine="560"/>
      </w:pPr>
      <w:r>
        <w:t xml:space="preserve">Proti tomuto rozhodnutí lze do 15 dnů ode dne jeho doručení podat rozklad k předsedovi P Českého telekomunikačního úřadu, a to prostřednictvím odboru správy kmitočtového spektra Českého telekomunikačního úřadu, se sídlem Sokolovská 219, Praha 9, poštovní adresa: poštovní přihrádka 225 02 Praha 025. Rozklad lze podat rovněž přímo do datové schránky Českého telekomunikačního úřadu: a9qaats, či elektronickou poštou s uznávaným elektronickým podpisem na adresu: </w:t>
      </w:r>
      <w:hyperlink r:id="rId11" w:history="1">
        <w:r>
          <w:rPr>
            <w:lang w:val="en-US" w:eastAsia="en-US" w:bidi="en-US"/>
          </w:rPr>
          <w:t>podatelna@ctu.cz</w:t>
        </w:r>
      </w:hyperlink>
      <w:r>
        <w:rPr>
          <w:lang w:val="en-US" w:eastAsia="en-US" w:bidi="en-US"/>
        </w:rPr>
        <w:t>.</w:t>
      </w:r>
    </w:p>
    <w:p w14:paraId="303CEB54" w14:textId="77777777" w:rsidR="003623BD" w:rsidRDefault="00AA27F5">
      <w:pPr>
        <w:pStyle w:val="Zkladntext1"/>
        <w:spacing w:after="840" w:line="295" w:lineRule="auto"/>
        <w:ind w:firstLine="240"/>
      </w:pPr>
      <w:r>
        <w:t>Podání opravného prostředku proti rozhodnutí nemá podle § 17 odst. 14 zákona odkladný účinek.</w:t>
      </w:r>
    </w:p>
    <w:p w14:paraId="2C1CD174" w14:textId="3E701654" w:rsidR="003623BD" w:rsidRDefault="00AA27F5">
      <w:pPr>
        <w:pStyle w:val="Zkladntext1"/>
        <w:spacing w:line="329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213360" distL="2195830" distR="114935" simplePos="0" relativeHeight="125829381" behindDoc="0" locked="0" layoutInCell="1" allowOverlap="1" wp14:anchorId="525811A1" wp14:editId="17A93C76">
                <wp:simplePos x="0" y="0"/>
                <wp:positionH relativeFrom="page">
                  <wp:posOffset>2952115</wp:posOffset>
                </wp:positionH>
                <wp:positionV relativeFrom="paragraph">
                  <wp:posOffset>165100</wp:posOffset>
                </wp:positionV>
                <wp:extent cx="1094105" cy="1435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A81B6" w14:textId="576E9FD8" w:rsidR="003623BD" w:rsidRDefault="003623BD">
                            <w:pPr>
                              <w:pStyle w:val="Zkladntext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5811A1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left:0;text-align:left;margin-left:232.45pt;margin-top:13pt;width:86.15pt;height:11.3pt;z-index:125829381;visibility:visible;mso-wrap-style:none;mso-wrap-distance-left:172.9pt;mso-wrap-distance-top:0;mso-wrap-distance-right:9.05pt;mso-wrap-distance-bottom:1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" filled="f" stroked="f">
                <v:textbox inset="0,0,0,0">
                  <w:txbxContent>
                    <w:p w14:paraId="020A81B6" w14:textId="576E9FD8" w:rsidR="003623BD" w:rsidRDefault="003623BD">
                      <w:pPr>
                        <w:pStyle w:val="Zkladntext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br/>
        <w:t>vyšší referent odboru</w:t>
      </w:r>
      <w:r>
        <w:br/>
      </w:r>
      <w:r>
        <w:rPr>
          <w:vertAlign w:val="subscript"/>
        </w:rPr>
        <w:t>o</w:t>
      </w:r>
      <w:r>
        <w:t xml:space="preserve"> správy kmitočtového spektra</w:t>
      </w:r>
    </w:p>
    <w:sectPr w:rsidR="003623BD">
      <w:headerReference w:type="even" r:id="rId12"/>
      <w:headerReference w:type="default" r:id="rId13"/>
      <w:pgSz w:w="11900" w:h="16840"/>
      <w:pgMar w:top="1403" w:right="1734" w:bottom="644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D372" w14:textId="77777777" w:rsidR="00AA27F5" w:rsidRDefault="00AA27F5">
      <w:r>
        <w:separator/>
      </w:r>
    </w:p>
  </w:endnote>
  <w:endnote w:type="continuationSeparator" w:id="0">
    <w:p w14:paraId="7E2F76ED" w14:textId="77777777" w:rsidR="00AA27F5" w:rsidRDefault="00AA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7455" w14:textId="77777777" w:rsidR="003623BD" w:rsidRDefault="003623BD"/>
  </w:footnote>
  <w:footnote w:type="continuationSeparator" w:id="0">
    <w:p w14:paraId="5ECEAAE0" w14:textId="77777777" w:rsidR="003623BD" w:rsidRDefault="00362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11A7" w14:textId="77777777" w:rsidR="003623BD" w:rsidRDefault="00AA27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B0A14F4" wp14:editId="2CD2BF7D">
              <wp:simplePos x="0" y="0"/>
              <wp:positionH relativeFrom="page">
                <wp:posOffset>916940</wp:posOffset>
              </wp:positionH>
              <wp:positionV relativeFrom="page">
                <wp:posOffset>504825</wp:posOffset>
              </wp:positionV>
              <wp:extent cx="5544185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1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52AC3" w14:textId="77777777" w:rsidR="003623BD" w:rsidRDefault="00AA27F5">
                          <w:pPr>
                            <w:pStyle w:val="Zhlavnebozpat20"/>
                            <w:tabs>
                              <w:tab w:val="right" w:pos="873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Číslo oprávnění: 317198/T1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Sír</w:t>
                          </w:r>
                          <w:proofErr w:type="gramStart"/>
                          <w:r>
                            <w:rPr>
                              <w:sz w:val="15"/>
                              <w:szCs w:val="15"/>
                            </w:rPr>
                            <w:t>. :</w:t>
                          </w:r>
                          <w:proofErr w:type="gramEnd"/>
                          <w:r>
                            <w:rPr>
                              <w:sz w:val="15"/>
                              <w:szCs w:val="15"/>
                            </w:rPr>
                            <w:t xml:space="preserve"> 2/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2.200000000000003pt;margin-top:39.75pt;width:436.55000000000001pt;height:8.1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oprávnění: 317198/T1</w:t>
                      <w:tab/>
                      <w:t>Sír. : 2/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ED11" w14:textId="77777777" w:rsidR="003623BD" w:rsidRDefault="00AA27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08F900" wp14:editId="6F453FA0">
              <wp:simplePos x="0" y="0"/>
              <wp:positionH relativeFrom="page">
                <wp:posOffset>916940</wp:posOffset>
              </wp:positionH>
              <wp:positionV relativeFrom="page">
                <wp:posOffset>504825</wp:posOffset>
              </wp:positionV>
              <wp:extent cx="554418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1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D2E1D" w14:textId="77777777" w:rsidR="003623BD" w:rsidRDefault="00AA27F5">
                          <w:pPr>
                            <w:pStyle w:val="Zhlavnebozpat20"/>
                            <w:tabs>
                              <w:tab w:val="right" w:pos="873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Číslo oprávnění: 317198/T1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Sír</w:t>
                          </w:r>
                          <w:proofErr w:type="gramStart"/>
                          <w:r>
                            <w:rPr>
                              <w:sz w:val="15"/>
                              <w:szCs w:val="15"/>
                            </w:rPr>
                            <w:t>. :</w:t>
                          </w:r>
                          <w:proofErr w:type="gramEnd"/>
                          <w:r>
                            <w:rPr>
                              <w:sz w:val="15"/>
                              <w:szCs w:val="15"/>
                            </w:rPr>
                            <w:t xml:space="preserve"> 2/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2.200000000000003pt;margin-top:39.75pt;width:436.55000000000001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oprávnění: 317198/T1</w:t>
                      <w:tab/>
                      <w:t>Sír. : 2/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F5E3" w14:textId="77777777" w:rsidR="003623BD" w:rsidRDefault="003623BD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068F" w14:textId="77777777" w:rsidR="003623BD" w:rsidRDefault="00AA27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EA6DA08" wp14:editId="720736F3">
              <wp:simplePos x="0" y="0"/>
              <wp:positionH relativeFrom="page">
                <wp:posOffset>870585</wp:posOffset>
              </wp:positionH>
              <wp:positionV relativeFrom="page">
                <wp:posOffset>622300</wp:posOffset>
              </wp:positionV>
              <wp:extent cx="5294630" cy="1187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46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463E5" w14:textId="77777777" w:rsidR="003623BD" w:rsidRDefault="00AA27F5">
                          <w:pPr>
                            <w:pStyle w:val="Zhlavnebozpat20"/>
                            <w:tabs>
                              <w:tab w:val="right" w:pos="833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Číslo oprávnění: 317198/T1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Str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8.549999999999997pt;margin-top:49.pt;width:416.90000000000003pt;height:9.3499999999999996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oprávnění: 317198/T1</w:t>
                      <w:tab/>
                      <w:t>Str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C5B0" w14:textId="77777777" w:rsidR="003623BD" w:rsidRDefault="00AA27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9D40483" wp14:editId="75BDCF5B">
              <wp:simplePos x="0" y="0"/>
              <wp:positionH relativeFrom="page">
                <wp:posOffset>883920</wp:posOffset>
              </wp:positionH>
              <wp:positionV relativeFrom="page">
                <wp:posOffset>637540</wp:posOffset>
              </wp:positionV>
              <wp:extent cx="5547360" cy="103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7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FA743" w14:textId="77777777" w:rsidR="003623BD" w:rsidRDefault="00AA27F5">
                          <w:pPr>
                            <w:pStyle w:val="Zhlavnebozpat20"/>
                            <w:tabs>
                              <w:tab w:val="right" w:pos="873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Číslo oprávněni: 317198/TI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Sir.: 3/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9.600000000000009pt;margin-top:50.200000000000003pt;width:436.80000000000001pt;height:8.15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7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oprávněni: 317198/TI</w:t>
                      <w:tab/>
                      <w:t>Sir.: 3/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8B8"/>
    <w:multiLevelType w:val="multilevel"/>
    <w:tmpl w:val="E25C9A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597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BD"/>
    <w:rsid w:val="001A0493"/>
    <w:rsid w:val="002956F6"/>
    <w:rsid w:val="003623BD"/>
    <w:rsid w:val="00A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96A4"/>
  <w15:docId w15:val="{97F3FED0-43BF-41C4-872B-BD20A403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pPr>
      <w:spacing w:after="9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jc w:val="righ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pacing w:after="260"/>
      <w:ind w:firstLine="180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line="290" w:lineRule="auto"/>
      <w:ind w:firstLine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pacing w:line="290" w:lineRule="auto"/>
      <w:ind w:firstLine="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90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ct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1557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2025-05-20T07:28:00Z</dcterms:created>
  <dcterms:modified xsi:type="dcterms:W3CDTF">2025-05-20T07:28:00Z</dcterms:modified>
</cp:coreProperties>
</file>