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7241100238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BOHEMIA</w:t>
      </w:r>
      <w:r>
        <w:rPr>
          <w:spacing w:val="-9"/>
        </w:rPr>
        <w:t> </w:t>
      </w:r>
      <w:r>
        <w:rPr/>
        <w:t>SEKT,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Krajským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3"/>
        </w:rPr>
        <w:t> </w:t>
      </w:r>
      <w:r>
        <w:rPr/>
        <w:t>Plzni,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4"/>
        </w:rPr>
        <w:t> </w:t>
      </w:r>
      <w:r>
        <w:rPr>
          <w:spacing w:val="-2"/>
        </w:rPr>
        <w:t>26443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Smetanova</w:t>
      </w:r>
      <w:r>
        <w:rPr>
          <w:spacing w:val="-7"/>
        </w:rPr>
        <w:t> </w:t>
      </w:r>
      <w:r>
        <w:rPr/>
        <w:t>220,</w:t>
      </w:r>
      <w:r>
        <w:rPr>
          <w:spacing w:val="-7"/>
        </w:rPr>
        <w:t> </w:t>
      </w:r>
      <w:r>
        <w:rPr/>
        <w:t>332</w:t>
      </w:r>
      <w:r>
        <w:rPr>
          <w:spacing w:val="-4"/>
        </w:rPr>
        <w:t> </w:t>
      </w:r>
      <w:r>
        <w:rPr/>
        <w:t>02</w:t>
      </w:r>
      <w:r>
        <w:rPr>
          <w:spacing w:val="-5"/>
        </w:rPr>
        <w:t> </w:t>
      </w:r>
      <w:r>
        <w:rPr/>
        <w:t>Starý</w:t>
      </w:r>
      <w:r>
        <w:rPr>
          <w:spacing w:val="-7"/>
        </w:rPr>
        <w:t> </w:t>
      </w:r>
      <w:r>
        <w:rPr>
          <w:spacing w:val="-2"/>
        </w:rPr>
        <w:t>Plzenec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45358711</w:t>
      </w:r>
    </w:p>
    <w:p>
      <w:pPr>
        <w:pStyle w:val="BodyText"/>
        <w:tabs>
          <w:tab w:pos="2981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Ondřejem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ch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</w:t>
      </w:r>
      <w:r>
        <w:rPr>
          <w:spacing w:val="76"/>
          <w:w w:val="150"/>
        </w:rPr>
        <w:t> </w:t>
      </w:r>
      <w:r>
        <w:rPr/>
        <w:t>a</w:t>
      </w:r>
      <w:r>
        <w:rPr>
          <w:spacing w:val="75"/>
          <w:w w:val="150"/>
        </w:rPr>
        <w:t> </w:t>
      </w:r>
      <w:r>
        <w:rPr/>
        <w:t>Ing.</w:t>
      </w:r>
      <w:r>
        <w:rPr>
          <w:spacing w:val="-2"/>
        </w:rPr>
        <w:t> </w:t>
      </w:r>
      <w:r>
        <w:rPr/>
        <w:t>Romanem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</w:t>
      </w:r>
      <w:r>
        <w:rPr>
          <w:spacing w:val="-3"/>
        </w:rPr>
        <w:t> </w:t>
      </w:r>
      <w:r>
        <w:rPr/>
        <w:t>p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prokuristy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5603361/0100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7241100238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89" w:after="0"/>
        <w:ind w:left="451" w:right="0" w:hanging="34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určena</w:t>
      </w:r>
      <w:r>
        <w:rPr>
          <w:spacing w:val="-5"/>
          <w:sz w:val="20"/>
        </w:rPr>
        <w:t> </w:t>
      </w:r>
      <w:r>
        <w:rPr>
          <w:sz w:val="20"/>
        </w:rPr>
        <w:t>výhradně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246"/>
        <w:jc w:val="both"/>
      </w:pPr>
      <w:r>
        <w:rPr/>
        <w:t>„Instalace</w:t>
      </w:r>
      <w:r>
        <w:rPr>
          <w:spacing w:val="-6"/>
        </w:rPr>
        <w:t> </w:t>
      </w:r>
      <w:r>
        <w:rPr/>
        <w:t>FVE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výkonu</w:t>
      </w:r>
      <w:r>
        <w:rPr>
          <w:spacing w:val="-7"/>
        </w:rPr>
        <w:t> </w:t>
      </w:r>
      <w:r>
        <w:rPr/>
        <w:t>388,3</w:t>
      </w:r>
      <w:r>
        <w:rPr>
          <w:spacing w:val="-5"/>
        </w:rPr>
        <w:t> </w:t>
      </w:r>
      <w:r>
        <w:rPr/>
        <w:t>kWp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spol.</w:t>
      </w:r>
      <w:r>
        <w:rPr>
          <w:spacing w:val="-5"/>
        </w:rPr>
        <w:t> </w:t>
      </w:r>
      <w:r>
        <w:rPr/>
        <w:t>BOHEMIA</w:t>
      </w:r>
      <w:r>
        <w:rPr>
          <w:spacing w:val="-7"/>
        </w:rPr>
        <w:t> </w:t>
      </w:r>
      <w:r>
        <w:rPr/>
        <w:t>SEKT,</w:t>
      </w:r>
      <w:r>
        <w:rPr>
          <w:spacing w:val="-6"/>
        </w:rPr>
        <w:t> </w:t>
      </w:r>
      <w:r>
        <w:rPr/>
        <w:t>s.r.o.</w:t>
      </w:r>
      <w:r>
        <w:rPr>
          <w:spacing w:val="-5"/>
        </w:rPr>
        <w:t> </w:t>
      </w:r>
      <w:r>
        <w:rPr/>
        <w:t>(Starý</w:t>
      </w:r>
      <w:r>
        <w:rPr>
          <w:spacing w:val="-5"/>
        </w:rPr>
        <w:t> </w:t>
      </w:r>
      <w:r>
        <w:rPr>
          <w:spacing w:val="-2"/>
        </w:rPr>
        <w:t>Plzenec)“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857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853,65 Kč </w:t>
      </w:r>
      <w:r>
        <w:rPr>
          <w:sz w:val="20"/>
        </w:rPr>
        <w:t>(slovy: dva miliony osm set padesát sedm tisíc osm set padesát tři korun českých, šedesát pět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9</w:t>
      </w:r>
      <w:r>
        <w:rPr>
          <w:spacing w:val="-4"/>
        </w:rPr>
        <w:t> </w:t>
      </w:r>
      <w:r>
        <w:rPr/>
        <w:t>668</w:t>
      </w:r>
      <w:r>
        <w:rPr>
          <w:spacing w:val="-2"/>
        </w:rPr>
        <w:t> </w:t>
      </w:r>
      <w:r>
        <w:rPr/>
        <w:t>670,00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stanovených</w:t>
      </w:r>
      <w:r>
        <w:rPr>
          <w:spacing w:val="12"/>
          <w:sz w:val="20"/>
        </w:rPr>
        <w:t> </w:t>
      </w:r>
      <w:r>
        <w:rPr>
          <w:sz w:val="20"/>
        </w:rPr>
        <w:t>touto</w:t>
      </w:r>
      <w:r>
        <w:rPr>
          <w:spacing w:val="13"/>
          <w:sz w:val="20"/>
        </w:rPr>
        <w:t> </w:t>
      </w:r>
      <w:r>
        <w:rPr>
          <w:sz w:val="20"/>
        </w:rPr>
        <w:t>Smlouvou,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plnění</w:t>
      </w:r>
      <w:r>
        <w:rPr>
          <w:spacing w:val="10"/>
          <w:sz w:val="20"/>
        </w:rPr>
        <w:t> </w:t>
      </w:r>
      <w:r>
        <w:rPr>
          <w:sz w:val="20"/>
        </w:rPr>
        <w:t>některé</w:t>
      </w:r>
      <w:r>
        <w:rPr>
          <w:spacing w:val="9"/>
          <w:sz w:val="20"/>
        </w:rPr>
        <w:t> </w:t>
      </w:r>
      <w:r>
        <w:rPr>
          <w:sz w:val="20"/>
        </w:rPr>
        <w:t>povinnosti</w:t>
      </w:r>
      <w:r>
        <w:rPr>
          <w:spacing w:val="9"/>
          <w:sz w:val="20"/>
        </w:rPr>
        <w:t> </w:t>
      </w:r>
      <w:r>
        <w:rPr>
          <w:sz w:val="20"/>
        </w:rPr>
        <w:t>vážně</w:t>
      </w:r>
      <w:r>
        <w:rPr>
          <w:spacing w:val="9"/>
          <w:sz w:val="20"/>
        </w:rPr>
        <w:t> </w:t>
      </w:r>
      <w:r>
        <w:rPr>
          <w:sz w:val="20"/>
        </w:rPr>
        <w:t>ohroženo.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> </w:t>
      </w:r>
      <w:r>
        <w:rPr>
          <w:sz w:val="20"/>
        </w:rPr>
        <w:t>účel</w:t>
      </w:r>
      <w:r>
        <w:rPr>
          <w:spacing w:val="9"/>
          <w:sz w:val="20"/>
        </w:rPr>
        <w:t> </w:t>
      </w:r>
      <w:r>
        <w:rPr>
          <w:sz w:val="20"/>
        </w:rPr>
        <w:t>akce</w:t>
      </w:r>
      <w:r>
        <w:rPr>
          <w:spacing w:val="8"/>
          <w:sz w:val="20"/>
        </w:rPr>
        <w:t> </w:t>
      </w:r>
      <w:r>
        <w:rPr>
          <w:sz w:val="20"/>
        </w:rPr>
        <w:t>„Instalace</w:t>
      </w:r>
      <w:r>
        <w:rPr>
          <w:spacing w:val="9"/>
          <w:sz w:val="20"/>
        </w:rPr>
        <w:t> </w:t>
      </w:r>
      <w:r>
        <w:rPr>
          <w:sz w:val="20"/>
        </w:rPr>
        <w:t>FVE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výkonu</w:t>
      </w:r>
      <w:r>
        <w:rPr>
          <w:spacing w:val="10"/>
          <w:sz w:val="20"/>
        </w:rPr>
        <w:t> </w:t>
      </w:r>
      <w:r>
        <w:rPr>
          <w:sz w:val="20"/>
        </w:rPr>
        <w:t>388,3</w:t>
      </w:r>
      <w:r>
        <w:rPr>
          <w:spacing w:val="10"/>
          <w:sz w:val="20"/>
        </w:rPr>
        <w:t> </w:t>
      </w:r>
      <w:r>
        <w:rPr>
          <w:sz w:val="20"/>
        </w:rPr>
        <w:t>kWp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spol.</w:t>
      </w:r>
      <w:r>
        <w:rPr>
          <w:spacing w:val="9"/>
          <w:sz w:val="20"/>
        </w:rPr>
        <w:t> </w:t>
      </w:r>
      <w:r>
        <w:rPr>
          <w:sz w:val="20"/>
        </w:rPr>
        <w:t>BOHEMIA</w:t>
      </w:r>
      <w:r>
        <w:rPr>
          <w:spacing w:val="10"/>
          <w:sz w:val="20"/>
        </w:rPr>
        <w:t> </w:t>
      </w:r>
      <w:r>
        <w:rPr>
          <w:sz w:val="20"/>
        </w:rPr>
        <w:t>SEKT,</w:t>
      </w:r>
      <w:r>
        <w:rPr>
          <w:spacing w:val="10"/>
          <w:sz w:val="20"/>
        </w:rPr>
        <w:t> </w:t>
      </w:r>
      <w:r>
        <w:rPr>
          <w:sz w:val="20"/>
        </w:rPr>
        <w:t>s.r.o.</w:t>
      </w:r>
      <w:r>
        <w:rPr>
          <w:spacing w:val="9"/>
          <w:sz w:val="20"/>
        </w:rPr>
        <w:t> </w:t>
      </w:r>
      <w:r>
        <w:rPr>
          <w:sz w:val="20"/>
        </w:rPr>
        <w:t>(Starý</w:t>
      </w:r>
      <w:r>
        <w:rPr>
          <w:spacing w:val="8"/>
          <w:sz w:val="20"/>
        </w:rPr>
        <w:t> </w:t>
      </w:r>
      <w:r>
        <w:rPr>
          <w:sz w:val="20"/>
        </w:rPr>
        <w:t>Plzenec)“</w:t>
      </w:r>
      <w:r>
        <w:rPr>
          <w:spacing w:val="9"/>
          <w:sz w:val="20"/>
        </w:rPr>
        <w:t> </w:t>
      </w:r>
      <w:r>
        <w:rPr>
          <w:sz w:val="20"/>
        </w:rPr>
        <w:t>tím,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že</w:t>
      </w:r>
    </w:p>
    <w:p>
      <w:pPr>
        <w:pStyle w:val="BodyText"/>
        <w:spacing w:before="1"/>
        <w:ind w:left="756"/>
      </w:pPr>
      <w:r>
        <w:rPr/>
        <w:t>akce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/>
        <w:t>provedena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6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předpokládaným výkonem 388,3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388.30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328.61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802.41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382.10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2"/>
          <w:sz w:val="20"/>
        </w:rPr>
        <w:t> </w:t>
      </w:r>
      <w:r>
        <w:rPr>
          <w:sz w:val="20"/>
        </w:rPr>
        <w:t>rekonstruované,</w:t>
      </w:r>
      <w:r>
        <w:rPr>
          <w:spacing w:val="32"/>
          <w:sz w:val="20"/>
        </w:rPr>
        <w:t> </w:t>
      </w:r>
      <w:r>
        <w:rPr>
          <w:sz w:val="20"/>
        </w:rPr>
        <w:t>upravené,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jinak</w:t>
      </w:r>
      <w:r>
        <w:rPr>
          <w:spacing w:val="31"/>
          <w:sz w:val="20"/>
        </w:rPr>
        <w:t> </w:t>
      </w:r>
      <w:r>
        <w:rPr>
          <w:sz w:val="20"/>
        </w:rPr>
        <w:t>výrazně</w:t>
      </w:r>
      <w:r>
        <w:rPr>
          <w:spacing w:val="31"/>
          <w:sz w:val="20"/>
        </w:rPr>
        <w:t> </w:t>
      </w:r>
      <w:r>
        <w:rPr>
          <w:sz w:val="20"/>
        </w:rPr>
        <w:t>zhodnocené)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podporou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Smlouvy,</w:t>
      </w:r>
      <w:r>
        <w:rPr>
          <w:spacing w:val="32"/>
          <w:sz w:val="20"/>
        </w:rPr>
        <w:t> </w:t>
      </w:r>
      <w:r>
        <w:rPr>
          <w:sz w:val="20"/>
        </w:rPr>
        <w:t>jakož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3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12"/>
      </w:pPr>
      <w:r>
        <w:rPr>
          <w:spacing w:val="-5"/>
        </w:rPr>
        <w:t>V:</w:t>
      </w:r>
    </w:p>
    <w:p>
      <w:pPr>
        <w:pStyle w:val="BodyText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2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59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000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2025-05-20T05:59:26Z</dcterms:created>
  <dcterms:modified xsi:type="dcterms:W3CDTF">2025-05-20T05:59:26Z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2025-05-20T00:00:00Z</vt:filetime>
  </property>
</Properties>
</file>