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91289" w14:textId="77777777" w:rsidR="00726B26" w:rsidRPr="006B14CF" w:rsidRDefault="006B14CF" w:rsidP="00726B26">
      <w:pPr>
        <w:jc w:val="center"/>
        <w:rPr>
          <w:b/>
          <w:sz w:val="36"/>
          <w:szCs w:val="36"/>
        </w:rPr>
      </w:pPr>
      <w:bookmarkStart w:id="0" w:name="_GoBack"/>
      <w:bookmarkEnd w:id="0"/>
      <w:r w:rsidRPr="006B14CF">
        <w:rPr>
          <w:b/>
          <w:sz w:val="36"/>
          <w:szCs w:val="36"/>
        </w:rPr>
        <w:t xml:space="preserve">Smlouva o </w:t>
      </w:r>
      <w:r w:rsidR="0085112B">
        <w:rPr>
          <w:b/>
          <w:sz w:val="36"/>
          <w:szCs w:val="36"/>
        </w:rPr>
        <w:t>zajištění licence</w:t>
      </w:r>
    </w:p>
    <w:p w14:paraId="1CB8CA91" w14:textId="77777777" w:rsidR="00726B26" w:rsidRPr="002E515C" w:rsidRDefault="00726B26" w:rsidP="00726B26">
      <w:pPr>
        <w:jc w:val="center"/>
        <w:rPr>
          <w:sz w:val="23"/>
          <w:szCs w:val="23"/>
          <w:highlight w:val="green"/>
        </w:rPr>
      </w:pPr>
    </w:p>
    <w:p w14:paraId="783FEA60" w14:textId="77777777" w:rsidR="00726B26" w:rsidRPr="002B77A6" w:rsidRDefault="00A2087D" w:rsidP="00726B26">
      <w:pPr>
        <w:jc w:val="center"/>
      </w:pPr>
      <w:r w:rsidRPr="00A2087D">
        <w:t xml:space="preserve">uzavřená podle </w:t>
      </w:r>
      <w:r w:rsidR="00ED61B0">
        <w:t xml:space="preserve">§ </w:t>
      </w:r>
      <w:r w:rsidR="00761FEC">
        <w:t>1746 odst. 2</w:t>
      </w:r>
      <w:r w:rsidR="00ED61B0">
        <w:t xml:space="preserve">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470F4C93" w14:textId="77777777" w:rsidR="00726B26" w:rsidRDefault="00726B26" w:rsidP="00726B26"/>
    <w:p w14:paraId="30F98C3A" w14:textId="35E564CE" w:rsidR="00BC273A" w:rsidRPr="00726B26" w:rsidRDefault="005A2358" w:rsidP="00BC273A">
      <w:pPr>
        <w:rPr>
          <w:b/>
        </w:rPr>
      </w:pPr>
      <w:r w:rsidRPr="005A2358">
        <w:rPr>
          <w:b/>
        </w:rPr>
        <w:t>First information systems, s.r.o.</w:t>
      </w:r>
    </w:p>
    <w:p w14:paraId="70856B54" w14:textId="72181E72" w:rsidR="00BC273A" w:rsidRDefault="00BC273A" w:rsidP="00BC273A">
      <w:r>
        <w:t xml:space="preserve">IČ: </w:t>
      </w:r>
      <w:r w:rsidR="00CE2241">
        <w:t>49608754</w:t>
      </w:r>
    </w:p>
    <w:p w14:paraId="497362B0" w14:textId="2DF918F7" w:rsidR="00BC273A" w:rsidRPr="00512AB9" w:rsidRDefault="00BC273A" w:rsidP="00BC273A">
      <w:r>
        <w:t xml:space="preserve">DIČ: </w:t>
      </w:r>
      <w:r w:rsidR="00CE2241">
        <w:t>CZ49608754</w:t>
      </w:r>
    </w:p>
    <w:p w14:paraId="6A9DC670" w14:textId="0E8DDBE7" w:rsidR="00BC273A" w:rsidRPr="00512AB9" w:rsidRDefault="00BC273A" w:rsidP="00BC273A">
      <w:r>
        <w:t>se sídlem</w:t>
      </w:r>
      <w:r w:rsidRPr="00512AB9">
        <w:t xml:space="preserve">: </w:t>
      </w:r>
      <w:r w:rsidR="00CE2241">
        <w:t>Kalvodova 1087/2, 709 00 Ostrava-Mariánské Hory</w:t>
      </w:r>
    </w:p>
    <w:p w14:paraId="7B5CD5F0" w14:textId="0D2CC490" w:rsidR="00FA4D82" w:rsidRPr="00FA4D82" w:rsidRDefault="00BC273A" w:rsidP="00FA4D82">
      <w:pPr>
        <w:pStyle w:val="Zpat"/>
        <w:tabs>
          <w:tab w:val="left" w:pos="6480"/>
        </w:tabs>
        <w:spacing w:line="260" w:lineRule="atLeast"/>
      </w:pPr>
      <w:r>
        <w:t>zastoupena</w:t>
      </w:r>
      <w:r w:rsidRPr="00512AB9">
        <w:t xml:space="preserve">: </w:t>
      </w:r>
      <w:r w:rsidR="00CE2241">
        <w:t>Ing. Borisem Kalischem, výkonným ředitelem na základě plné moci</w:t>
      </w:r>
      <w:r w:rsidR="00FA4D82">
        <w:t xml:space="preserve"> </w:t>
      </w:r>
      <w:r w:rsidR="00FA4D82" w:rsidRPr="00FA4D82">
        <w:t xml:space="preserve">ze dne 11.12.2020 </w:t>
      </w:r>
    </w:p>
    <w:p w14:paraId="489D1E95" w14:textId="53BAEA39" w:rsidR="00BC273A" w:rsidRPr="00512AB9" w:rsidRDefault="00BC273A" w:rsidP="00BC273A">
      <w:r w:rsidRPr="00512AB9">
        <w:t xml:space="preserve">bankovní spojení: </w:t>
      </w:r>
      <w:r w:rsidR="00CE2241">
        <w:t>Komerční banka</w:t>
      </w:r>
    </w:p>
    <w:p w14:paraId="4EAB1265" w14:textId="059D359B" w:rsidR="00BC273A" w:rsidRPr="00512AB9" w:rsidRDefault="00BC273A" w:rsidP="00BC273A">
      <w:r w:rsidRPr="00512AB9">
        <w:t xml:space="preserve">číslo </w:t>
      </w:r>
      <w:r w:rsidR="00FA4D82">
        <w:t xml:space="preserve">bankovního </w:t>
      </w:r>
      <w:r w:rsidRPr="00512AB9">
        <w:t xml:space="preserve">účtu: </w:t>
      </w:r>
      <w:r w:rsidR="00FA4D82" w:rsidRPr="00FA4D82">
        <w:t>96400761/0100</w:t>
      </w:r>
    </w:p>
    <w:p w14:paraId="13ED857C" w14:textId="144EF2EE" w:rsidR="00BC273A" w:rsidRPr="00512AB9" w:rsidRDefault="00BC273A" w:rsidP="00BC273A">
      <w:pPr>
        <w:jc w:val="left"/>
      </w:pPr>
      <w:r>
        <w:t>z</w:t>
      </w:r>
      <w:r w:rsidRPr="00512AB9">
        <w:t>apsán</w:t>
      </w:r>
      <w:r>
        <w:t>a</w:t>
      </w:r>
      <w:r w:rsidRPr="00512AB9">
        <w:t xml:space="preserve"> v obchodním rejstříku vedeném </w:t>
      </w:r>
      <w:r w:rsidR="00CE2241">
        <w:t>Krajským</w:t>
      </w:r>
      <w:r>
        <w:t xml:space="preserve"> </w:t>
      </w:r>
      <w:r w:rsidRPr="00652864">
        <w:t>soudem v </w:t>
      </w:r>
      <w:r w:rsidR="00CE2241">
        <w:t>Ostravě</w:t>
      </w:r>
      <w:r w:rsidRPr="00652864">
        <w:t xml:space="preserve">, oddíl </w:t>
      </w:r>
      <w:r w:rsidR="00CE2241">
        <w:t>C,</w:t>
      </w:r>
      <w:r w:rsidRPr="00652864">
        <w:t xml:space="preserve"> vložka </w:t>
      </w:r>
      <w:r w:rsidR="00CE2241">
        <w:t>11180</w:t>
      </w:r>
    </w:p>
    <w:p w14:paraId="1A26A2E4" w14:textId="77777777" w:rsidR="00726B26" w:rsidRPr="002B77A6" w:rsidRDefault="00726B26" w:rsidP="00726B26">
      <w:pPr>
        <w:rPr>
          <w:rStyle w:val="platne1"/>
        </w:rPr>
      </w:pPr>
    </w:p>
    <w:p w14:paraId="5743CB2F" w14:textId="77777777" w:rsidR="00726B26" w:rsidRPr="00726B26" w:rsidRDefault="00726B26" w:rsidP="00726B26">
      <w:pPr>
        <w:rPr>
          <w:rStyle w:val="platne1"/>
        </w:rPr>
      </w:pPr>
      <w:r w:rsidRPr="00726B26">
        <w:rPr>
          <w:rStyle w:val="platne1"/>
        </w:rPr>
        <w:t xml:space="preserve">jako </w:t>
      </w:r>
      <w:r w:rsidR="00AF7E1F">
        <w:rPr>
          <w:rStyle w:val="platne1"/>
        </w:rPr>
        <w:t>Poskytovatel</w:t>
      </w:r>
      <w:r w:rsidR="002E515C">
        <w:rPr>
          <w:rStyle w:val="platne1"/>
        </w:rPr>
        <w:t>e</w:t>
      </w:r>
      <w:r w:rsidR="001B5F9C">
        <w:rPr>
          <w:rStyle w:val="platne1"/>
        </w:rPr>
        <w:t>m</w:t>
      </w:r>
      <w:r w:rsidRPr="00726B26">
        <w:rPr>
          <w:rStyle w:val="platne1"/>
        </w:rPr>
        <w:t xml:space="preserve"> (dále jen „</w:t>
      </w:r>
      <w:r w:rsidR="00AF7E1F">
        <w:rPr>
          <w:rStyle w:val="platne1"/>
          <w:b/>
        </w:rPr>
        <w:t>Poskytovatel</w:t>
      </w:r>
      <w:r w:rsidRPr="00726B26">
        <w:rPr>
          <w:rStyle w:val="platne1"/>
        </w:rPr>
        <w:t>“) na straně jedné</w:t>
      </w:r>
    </w:p>
    <w:p w14:paraId="5ED6B96B" w14:textId="77777777" w:rsidR="00726B26" w:rsidRPr="002B77A6" w:rsidRDefault="00726B26" w:rsidP="00726B26">
      <w:pPr>
        <w:rPr>
          <w:rStyle w:val="platne1"/>
        </w:rPr>
      </w:pPr>
    </w:p>
    <w:p w14:paraId="6E941490" w14:textId="77777777" w:rsidR="00726B26" w:rsidRDefault="00726B26" w:rsidP="00726B26">
      <w:pPr>
        <w:rPr>
          <w:rStyle w:val="platne1"/>
        </w:rPr>
      </w:pPr>
      <w:r w:rsidRPr="002B77A6">
        <w:rPr>
          <w:rStyle w:val="platne1"/>
        </w:rPr>
        <w:t>a</w:t>
      </w:r>
    </w:p>
    <w:p w14:paraId="41E5B839" w14:textId="77777777" w:rsidR="00726B26" w:rsidRPr="002B77A6" w:rsidRDefault="00726B26" w:rsidP="00726B26">
      <w:pPr>
        <w:rPr>
          <w:rStyle w:val="platne1"/>
        </w:rPr>
      </w:pPr>
    </w:p>
    <w:p w14:paraId="24D9295E" w14:textId="77777777" w:rsidR="00726B26" w:rsidRPr="002B77A6" w:rsidRDefault="00726B26" w:rsidP="00726B26">
      <w:pPr>
        <w:rPr>
          <w:b/>
        </w:rPr>
      </w:pPr>
      <w:r w:rsidRPr="002B77A6">
        <w:rPr>
          <w:b/>
        </w:rPr>
        <w:t xml:space="preserve">Fakultní nemocnice Brno </w:t>
      </w:r>
    </w:p>
    <w:p w14:paraId="3A14B9A4" w14:textId="77777777" w:rsidR="00726B26" w:rsidRPr="002B77A6" w:rsidRDefault="00726B26" w:rsidP="00726B26">
      <w:r w:rsidRPr="002B77A6">
        <w:t>IČ: 65269705</w:t>
      </w:r>
    </w:p>
    <w:p w14:paraId="48228EC9" w14:textId="77777777" w:rsidR="00726B26" w:rsidRPr="002B77A6" w:rsidRDefault="00726B26" w:rsidP="00726B26">
      <w:r w:rsidRPr="002B77A6">
        <w:t>DIČ: CZ65269705</w:t>
      </w:r>
    </w:p>
    <w:p w14:paraId="70CC966C" w14:textId="77777777" w:rsidR="00726B26" w:rsidRPr="002B77A6" w:rsidRDefault="00726B26" w:rsidP="00726B26">
      <w:r w:rsidRPr="002B77A6">
        <w:t xml:space="preserve">se sídlem: Brno, Jihlavská 20, PSČ 625 00 </w:t>
      </w:r>
    </w:p>
    <w:p w14:paraId="73B3B287" w14:textId="5B0743E9" w:rsidR="00665EAC" w:rsidRPr="002B77A6" w:rsidRDefault="00665EAC" w:rsidP="00665EAC">
      <w:r>
        <w:t>zastoupena</w:t>
      </w:r>
      <w:r w:rsidRPr="002B77A6">
        <w:t>:</w:t>
      </w:r>
      <w:r>
        <w:t xml:space="preserve"> MUDr. </w:t>
      </w:r>
      <w:r w:rsidR="00DF09F8">
        <w:t>Ivem Rovným</w:t>
      </w:r>
      <w:r>
        <w:t xml:space="preserve">, </w:t>
      </w:r>
      <w:r w:rsidR="00DF09F8">
        <w:t>MBA</w:t>
      </w:r>
      <w:r>
        <w:t>, ředitelem</w:t>
      </w:r>
    </w:p>
    <w:p w14:paraId="4FD4EAA4" w14:textId="77777777" w:rsidR="00726B26" w:rsidRPr="002B77A6" w:rsidRDefault="00726B26" w:rsidP="00726B26">
      <w:r w:rsidRPr="002B77A6">
        <w:t>bankovní spo</w:t>
      </w:r>
      <w:r>
        <w:t>jení: Česká národní banka</w:t>
      </w:r>
    </w:p>
    <w:p w14:paraId="363A6A53" w14:textId="77777777" w:rsidR="00726B26" w:rsidRPr="002B77A6" w:rsidRDefault="00726B26" w:rsidP="00726B26">
      <w:r w:rsidRPr="002B77A6">
        <w:t>číslo ban</w:t>
      </w:r>
      <w:r>
        <w:t>kovního účtu: 71234621/0710</w:t>
      </w:r>
    </w:p>
    <w:p w14:paraId="7A0DB655" w14:textId="77777777" w:rsidR="00726B26" w:rsidRDefault="00726B26" w:rsidP="00726B26"/>
    <w:p w14:paraId="7B18E651"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48B2FB" w14:textId="77777777" w:rsidR="00726B26" w:rsidRPr="002B77A6" w:rsidRDefault="00726B26" w:rsidP="00726B26">
      <w:pPr>
        <w:rPr>
          <w:rStyle w:val="platne1"/>
        </w:rPr>
      </w:pPr>
    </w:p>
    <w:p w14:paraId="5106FCE8" w14:textId="77777777" w:rsidR="00726B26" w:rsidRPr="00BE50CA" w:rsidRDefault="00726B26" w:rsidP="00726B26">
      <w:pPr>
        <w:rPr>
          <w:rStyle w:val="platne1"/>
        </w:rPr>
      </w:pPr>
      <w:r w:rsidRPr="00BE50CA">
        <w:rPr>
          <w:rStyle w:val="platne1"/>
        </w:rPr>
        <w:t xml:space="preserve">jako </w:t>
      </w:r>
      <w:r w:rsidR="00B50110">
        <w:rPr>
          <w:rStyle w:val="platne1"/>
        </w:rPr>
        <w:t>Nabyvatel</w:t>
      </w:r>
      <w:r w:rsidR="002E515C">
        <w:rPr>
          <w:rStyle w:val="platne1"/>
        </w:rPr>
        <w:t>e</w:t>
      </w:r>
      <w:r w:rsidR="001B5F9C">
        <w:rPr>
          <w:rStyle w:val="platne1"/>
        </w:rPr>
        <w:t>m</w:t>
      </w:r>
      <w:r w:rsidR="00BE50CA" w:rsidRPr="00BE50CA">
        <w:rPr>
          <w:rStyle w:val="platne1"/>
        </w:rPr>
        <w:t xml:space="preserve"> (</w:t>
      </w:r>
      <w:r w:rsidRPr="00BE50CA">
        <w:rPr>
          <w:rStyle w:val="platne1"/>
        </w:rPr>
        <w:t xml:space="preserve">dále jen </w:t>
      </w:r>
      <w:r w:rsidR="00B50110">
        <w:rPr>
          <w:rStyle w:val="platne1"/>
        </w:rPr>
        <w:t>„</w:t>
      </w:r>
      <w:r w:rsidR="00B50110" w:rsidRPr="00B50110">
        <w:rPr>
          <w:rStyle w:val="platne1"/>
          <w:b/>
        </w:rPr>
        <w:t>Nabyvatel</w:t>
      </w:r>
      <w:r w:rsidR="00B50110">
        <w:rPr>
          <w:rStyle w:val="platne1"/>
        </w:rPr>
        <w:t>“</w:t>
      </w:r>
      <w:r w:rsidR="00BE50CA" w:rsidRPr="00BE50CA">
        <w:rPr>
          <w:rStyle w:val="platne1"/>
        </w:rPr>
        <w:t>) na straně druhé</w:t>
      </w:r>
      <w:r w:rsidR="001B5F9C">
        <w:rPr>
          <w:rStyle w:val="platne1"/>
        </w:rPr>
        <w:t>,</w:t>
      </w:r>
    </w:p>
    <w:p w14:paraId="14213331" w14:textId="77777777" w:rsidR="00726B26" w:rsidRPr="002B77A6" w:rsidRDefault="00726B26" w:rsidP="00726B26">
      <w:pPr>
        <w:rPr>
          <w:rStyle w:val="platne1"/>
        </w:rPr>
      </w:pPr>
    </w:p>
    <w:p w14:paraId="58B58949"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D505DF">
        <w:rPr>
          <w:rStyle w:val="platne1"/>
        </w:rPr>
        <w:t xml:space="preserve"> (dále též jen „</w:t>
      </w:r>
      <w:r w:rsidR="00D505DF" w:rsidRPr="00D505DF">
        <w:rPr>
          <w:rStyle w:val="platne1"/>
          <w:b/>
        </w:rPr>
        <w:t>Smlouva</w:t>
      </w:r>
      <w:r w:rsidR="00D505DF">
        <w:rPr>
          <w:rStyle w:val="platne1"/>
        </w:rPr>
        <w:t>“)</w:t>
      </w:r>
      <w:r w:rsidR="00726B26" w:rsidRPr="002B77A6">
        <w:rPr>
          <w:rStyle w:val="platne1"/>
        </w:rPr>
        <w:t>:</w:t>
      </w:r>
    </w:p>
    <w:p w14:paraId="47608EFC" w14:textId="77777777" w:rsidR="00BC273A" w:rsidRDefault="00BC273A">
      <w:pPr>
        <w:spacing w:line="240" w:lineRule="auto"/>
        <w:jc w:val="left"/>
        <w:rPr>
          <w:b/>
          <w:bCs/>
          <w:caps/>
        </w:rPr>
      </w:pPr>
    </w:p>
    <w:p w14:paraId="47F91C43" w14:textId="77777777" w:rsidR="005E47C0" w:rsidRDefault="005E47C0">
      <w:pPr>
        <w:spacing w:line="240" w:lineRule="auto"/>
        <w:jc w:val="left"/>
        <w:rPr>
          <w:b/>
          <w:bCs/>
          <w:caps/>
        </w:rPr>
      </w:pPr>
      <w:r>
        <w:br w:type="page"/>
      </w:r>
    </w:p>
    <w:p w14:paraId="5E5A2EBD" w14:textId="00F4BCBC" w:rsidR="00726B26" w:rsidRPr="002B77A6" w:rsidRDefault="00BE50CA" w:rsidP="00CF0C56">
      <w:pPr>
        <w:pStyle w:val="Nadpis1"/>
      </w:pPr>
      <w:r>
        <w:lastRenderedPageBreak/>
        <w:t>Účel smlouvy</w:t>
      </w:r>
      <w:r w:rsidR="003B0D03">
        <w:t xml:space="preserve"> a úvodní ujednání</w:t>
      </w:r>
    </w:p>
    <w:p w14:paraId="13665763" w14:textId="0BEF8BDF" w:rsidR="00C07977" w:rsidRDefault="00BE50CA" w:rsidP="00B11CD3">
      <w:pPr>
        <w:pStyle w:val="Odstavecsmlouvy"/>
      </w:pPr>
      <w:r w:rsidRPr="00CF0C56">
        <w:t xml:space="preserve">Účelem </w:t>
      </w:r>
      <w:r w:rsidR="005E224A">
        <w:t xml:space="preserve">této smlouvy je </w:t>
      </w:r>
      <w:r w:rsidR="00726B26" w:rsidRPr="00CF0C56">
        <w:t xml:space="preserve">sjednání závazku </w:t>
      </w:r>
      <w:r w:rsidR="00AF7E1F">
        <w:t>Poskytovatel</w:t>
      </w:r>
      <w:r w:rsidR="002E515C">
        <w:t>e</w:t>
      </w:r>
      <w:r w:rsidR="00726B26" w:rsidRPr="00CF0C56">
        <w:t xml:space="preserve"> </w:t>
      </w:r>
      <w:r w:rsidR="00465DC2">
        <w:t xml:space="preserve">s odbornou péčí profesionála zajistit Nabyvateli práva užití </w:t>
      </w:r>
      <w:r w:rsidR="00F8412F">
        <w:t>k</w:t>
      </w:r>
      <w:r w:rsidR="00AF7E1F">
        <w:t xml:space="preserve"> počítačovým programům </w:t>
      </w:r>
      <w:r w:rsidR="00AF7E1F">
        <w:rPr>
          <w:color w:val="000000"/>
        </w:rPr>
        <w:t xml:space="preserve">dle přílohy č. 1 této smlouvy </w:t>
      </w:r>
      <w:r w:rsidR="00F8412F">
        <w:rPr>
          <w:color w:val="000000"/>
        </w:rPr>
        <w:t xml:space="preserve">(dále </w:t>
      </w:r>
      <w:r w:rsidR="00AF7E1F">
        <w:rPr>
          <w:color w:val="000000"/>
        </w:rPr>
        <w:t xml:space="preserve">souhrnně </w:t>
      </w:r>
      <w:r w:rsidR="00F8412F">
        <w:rPr>
          <w:color w:val="000000"/>
        </w:rPr>
        <w:t>jen „</w:t>
      </w:r>
      <w:r w:rsidR="00F8412F" w:rsidRPr="00F8412F">
        <w:rPr>
          <w:b/>
          <w:color w:val="000000"/>
        </w:rPr>
        <w:t>Software</w:t>
      </w:r>
      <w:r w:rsidR="00F8412F">
        <w:rPr>
          <w:color w:val="000000"/>
        </w:rPr>
        <w:t>“)</w:t>
      </w:r>
      <w:r w:rsidR="00706E61">
        <w:rPr>
          <w:color w:val="000000"/>
        </w:rPr>
        <w:t xml:space="preserve"> a zajistit pro Nabyvatele poskytování služeb dle </w:t>
      </w:r>
      <w:r w:rsidR="00465DC2">
        <w:t xml:space="preserve">přílohy č. </w:t>
      </w:r>
      <w:r w:rsidR="000D6C4D">
        <w:t xml:space="preserve">2 </w:t>
      </w:r>
      <w:r w:rsidR="00465DC2">
        <w:t>této smlouvy</w:t>
      </w:r>
      <w:r w:rsidR="005E47C0">
        <w:t xml:space="preserve"> (dále jen „</w:t>
      </w:r>
      <w:r w:rsidR="005E47C0" w:rsidRPr="005E47C0">
        <w:rPr>
          <w:b/>
        </w:rPr>
        <w:t>Služby</w:t>
      </w:r>
      <w:r w:rsidR="005E47C0">
        <w:t>“)</w:t>
      </w:r>
      <w:r w:rsidR="00706E61">
        <w:t>, to vše</w:t>
      </w:r>
      <w:r w:rsidR="00465DC2">
        <w:t xml:space="preserve"> </w:t>
      </w:r>
      <w:r w:rsidR="002E515C">
        <w:t xml:space="preserve">tak, aby </w:t>
      </w:r>
      <w:r w:rsidR="00465DC2">
        <w:t xml:space="preserve">Nabyvatel </w:t>
      </w:r>
      <w:r w:rsidR="00B50110">
        <w:t>mohl</w:t>
      </w:r>
      <w:r w:rsidR="002E515C">
        <w:t xml:space="preserve"> </w:t>
      </w:r>
      <w:r w:rsidR="00F8412F">
        <w:t>S</w:t>
      </w:r>
      <w:r w:rsidR="000C4E61">
        <w:rPr>
          <w:color w:val="000000"/>
        </w:rPr>
        <w:t xml:space="preserve">oftware </w:t>
      </w:r>
      <w:r w:rsidR="005E224A">
        <w:t xml:space="preserve">řádně a nerušeně užívat </w:t>
      </w:r>
      <w:r w:rsidR="005E47C0">
        <w:t xml:space="preserve">a čerpat Služby, a to </w:t>
      </w:r>
      <w:r w:rsidR="005E224A">
        <w:t>v soul</w:t>
      </w:r>
      <w:r w:rsidR="00512300">
        <w:t>adu s</w:t>
      </w:r>
      <w:r w:rsidR="002E515C">
        <w:t> </w:t>
      </w:r>
      <w:r w:rsidR="00512300">
        <w:t>účelovým určením</w:t>
      </w:r>
      <w:r w:rsidR="005E47C0">
        <w:t xml:space="preserve"> Software</w:t>
      </w:r>
      <w:r w:rsidR="00BC273A">
        <w:t xml:space="preserve">, </w:t>
      </w:r>
      <w:r w:rsidR="00465DC2">
        <w:t xml:space="preserve">touto </w:t>
      </w:r>
      <w:r w:rsidR="005E224A">
        <w:t>smlouvou</w:t>
      </w:r>
      <w:r w:rsidR="00BC273A" w:rsidRPr="00BC273A">
        <w:t xml:space="preserve"> </w:t>
      </w:r>
      <w:r w:rsidR="00BC273A">
        <w:t xml:space="preserve">a </w:t>
      </w:r>
      <w:r w:rsidR="000D6C4D">
        <w:t>zadáním, které Poskytovatel obdržel od Nabyvatele v rámci průzkumu trhu</w:t>
      </w:r>
      <w:r w:rsidR="00BC273A">
        <w:t xml:space="preserve"> (dále jen „</w:t>
      </w:r>
      <w:r w:rsidR="00BC273A" w:rsidRPr="00512300">
        <w:rPr>
          <w:b/>
        </w:rPr>
        <w:t>Zadávací dokumentace</w:t>
      </w:r>
      <w:r w:rsidR="00BC273A">
        <w:t>“)</w:t>
      </w:r>
      <w:r w:rsidR="00F8412F">
        <w:t>.</w:t>
      </w:r>
    </w:p>
    <w:p w14:paraId="3D90EEA5" w14:textId="5A9FB704" w:rsidR="00255AE6" w:rsidRDefault="000D6C4D" w:rsidP="005E224A">
      <w:pPr>
        <w:pStyle w:val="Odstavecsmlouvy"/>
      </w:pPr>
      <w:r>
        <w:t>Neuplatňuje se</w:t>
      </w:r>
      <w:r w:rsidR="00706E61">
        <w:t>.</w:t>
      </w:r>
    </w:p>
    <w:p w14:paraId="02750A0F" w14:textId="0CE9CFF6" w:rsidR="00E8691B" w:rsidRDefault="00E8691B" w:rsidP="00B11CD3">
      <w:pPr>
        <w:pStyle w:val="Odstavecsmlouvy"/>
      </w:pPr>
      <w:r>
        <w:t xml:space="preserve">Vzhledem k tomu, že pojem Software může zahrnovat více jednotlivých počítačových programů, uvádí se pro vyloučení pochybností, že ujednání čl. </w:t>
      </w:r>
      <w:r>
        <w:fldChar w:fldCharType="begin"/>
      </w:r>
      <w:r>
        <w:instrText xml:space="preserve"> REF _Ref491774179 \n \h </w:instrText>
      </w:r>
      <w:r>
        <w:fldChar w:fldCharType="separate"/>
      </w:r>
      <w:r w:rsidR="00295025">
        <w:t>II</w:t>
      </w:r>
      <w:r>
        <w:fldChar w:fldCharType="end"/>
      </w:r>
      <w:r>
        <w:t xml:space="preserve"> této smlouvy</w:t>
      </w:r>
      <w:r w:rsidR="004A4DFF">
        <w:t>, jakož i další ujednání, z jejichž povahy to vyplývá,</w:t>
      </w:r>
      <w:r w:rsidR="00053BC7">
        <w:t xml:space="preserve"> se vztahují jednotlivě na každý takový počítačový program.</w:t>
      </w:r>
      <w:r w:rsidR="00C660DA">
        <w:t xml:space="preserve"> Není-li výslovně sjednáno jinak, rozumí se pod pojmem „Licence“ licence opravňující Nabyvatele podle této smlouvy ve vztahu ke všem autorským dílům spadajícími pod pojem „Software“.</w:t>
      </w:r>
    </w:p>
    <w:p w14:paraId="73CAF356" w14:textId="77777777" w:rsidR="00726B26" w:rsidRDefault="00726B26" w:rsidP="00CF0C56">
      <w:pPr>
        <w:pStyle w:val="Nadpis1"/>
      </w:pPr>
      <w:bookmarkStart w:id="1" w:name="_Ref491774179"/>
      <w:r>
        <w:t xml:space="preserve">Předmět </w:t>
      </w:r>
      <w:r w:rsidR="00BE50CA">
        <w:t>smlouvy</w:t>
      </w:r>
      <w:bookmarkEnd w:id="1"/>
    </w:p>
    <w:p w14:paraId="76C3B950" w14:textId="156CF1D2" w:rsidR="00C660DA" w:rsidRDefault="00BC273A" w:rsidP="00C660DA">
      <w:pPr>
        <w:pStyle w:val="Odstavecsmlouvy"/>
      </w:pPr>
      <w:bookmarkStart w:id="2" w:name="_Ref55828288"/>
      <w:bookmarkStart w:id="3" w:name="_Ref496264709"/>
      <w:bookmarkStart w:id="4" w:name="_Ref25667426"/>
      <w:bookmarkStart w:id="5" w:name="_Ref111214480"/>
      <w:r>
        <w:t>Poskytovatel</w:t>
      </w:r>
      <w:r w:rsidRPr="00D46D7C">
        <w:t xml:space="preserve"> </w:t>
      </w:r>
      <w:r>
        <w:t xml:space="preserve">je povinen </w:t>
      </w:r>
      <w:r w:rsidR="000D6C4D">
        <w:t xml:space="preserve">zpřístupnit </w:t>
      </w:r>
      <w:r>
        <w:t>Nabyvateli Sof</w:t>
      </w:r>
      <w:r w:rsidR="00706E61">
        <w:t>tware</w:t>
      </w:r>
      <w:r w:rsidR="004E42DF">
        <w:t xml:space="preserve"> </w:t>
      </w:r>
      <w:r>
        <w:t xml:space="preserve">v rozsahu a za podmínek uvedených v příloze č. 1 této smlouvy </w:t>
      </w:r>
      <w:r w:rsidR="00BD09F8">
        <w:t>a v Zadávací dokumentaci</w:t>
      </w:r>
      <w:bookmarkEnd w:id="2"/>
      <w:bookmarkEnd w:id="3"/>
      <w:bookmarkEnd w:id="4"/>
      <w:bookmarkEnd w:id="5"/>
    </w:p>
    <w:p w14:paraId="6B8B34F0" w14:textId="6DA1CD59" w:rsidR="002731D3" w:rsidRDefault="00DF09F8" w:rsidP="002731D3">
      <w:pPr>
        <w:pStyle w:val="Odstavecsmlouvy"/>
      </w:pPr>
      <w:r>
        <w:t xml:space="preserve">Pokud je Poskytovatel </w:t>
      </w:r>
      <w:r w:rsidRPr="004E42DF">
        <w:rPr>
          <w:b/>
        </w:rPr>
        <w:t>oprávněn poskytnout práva užití k Software v rozsahu Licence sám</w:t>
      </w:r>
      <w:r w:rsidR="004E42DF">
        <w:t>,</w:t>
      </w:r>
      <w:r>
        <w:t xml:space="preserve"> poskytuje se Licence již touto smlouvou, </w:t>
      </w:r>
      <w:r w:rsidR="00C660DA">
        <w:t xml:space="preserve">přičemž Licence v takovém případě nabývá účinnosti v okamžiku nabytí účinnosti této smlouvy nebo v okamžiku uvedeném v příloze č. 1 této smlouvy podle toho, co nastane později, poskytuje se </w:t>
      </w:r>
      <w:r>
        <w:t>v rozsahu uvedeném v příloze č. 1 této smlouvy</w:t>
      </w:r>
      <w:r w:rsidR="00C660DA">
        <w:t xml:space="preserve"> a </w:t>
      </w:r>
      <w:r>
        <w:t xml:space="preserve">za Licenční smlouvu se považuje tato smlouva. </w:t>
      </w:r>
    </w:p>
    <w:p w14:paraId="3DE24870" w14:textId="035E1234" w:rsidR="00425E0D" w:rsidRDefault="002731D3" w:rsidP="002731D3">
      <w:pPr>
        <w:pStyle w:val="Odstavecsmlouvy"/>
      </w:pPr>
      <w:r>
        <w:t xml:space="preserve">Software </w:t>
      </w:r>
      <w:r w:rsidR="00413791">
        <w:t xml:space="preserve">je </w:t>
      </w:r>
      <w:r>
        <w:t xml:space="preserve">provozován formou </w:t>
      </w:r>
      <w:r w:rsidR="000472E8">
        <w:t xml:space="preserve">aplikace - </w:t>
      </w:r>
      <w:r w:rsidRPr="002731D3">
        <w:rPr>
          <w:b/>
        </w:rPr>
        <w:t>cloud computingu</w:t>
      </w:r>
      <w:r w:rsidR="009C1465">
        <w:rPr>
          <w:b/>
        </w:rPr>
        <w:t xml:space="preserve"> na serverových prostředcích Poskytovatele </w:t>
      </w:r>
      <w:r w:rsidR="000472E8" w:rsidRPr="00C510E1">
        <w:t>https://</w:t>
      </w:r>
      <w:hyperlink r:id="rId12" w:history="1">
        <w:r w:rsidR="000472E8" w:rsidRPr="00C510E1">
          <w:t>app.buildary.online</w:t>
        </w:r>
      </w:hyperlink>
      <w:r w:rsidR="00413791">
        <w:rPr>
          <w:b/>
        </w:rPr>
        <w:t>.</w:t>
      </w:r>
      <w:r w:rsidR="00425E0D" w:rsidRPr="00425E0D">
        <w:t xml:space="preserve"> P</w:t>
      </w:r>
      <w:r w:rsidR="00425E0D">
        <w:t xml:space="preserve">oskytovatel </w:t>
      </w:r>
      <w:r w:rsidR="00413791">
        <w:t xml:space="preserve">je </w:t>
      </w:r>
      <w:r w:rsidR="00425E0D">
        <w:t xml:space="preserve">povinen ve lhůtě sjednané pro nabytí účinnosti Licence poskytnout Nabyvateli jakožto součást Dokumentace veškeré přístupové a technické údaje nezbytné pro řádné užívání Software a čerpání Služeb. </w:t>
      </w:r>
      <w:r w:rsidR="000472E8" w:rsidRPr="00C510E1">
        <w:t>Internetová aplikace buildary.online je ve smyslu autorského zákona č. 121/2000 Sb. ve znění pozdějších předpisů autorským dílem Poskytovatele, který k němu vykonává všechna osobní a majetková práva autora.</w:t>
      </w:r>
      <w:r w:rsidR="000472E8">
        <w:t xml:space="preserve"> </w:t>
      </w:r>
      <w:r w:rsidR="00425E0D">
        <w:t xml:space="preserve">Poskytovatel je v takovém případě dále </w:t>
      </w:r>
      <w:r w:rsidR="00E13CC5">
        <w:t xml:space="preserve">povinen </w:t>
      </w:r>
      <w:r w:rsidR="00425E0D">
        <w:t xml:space="preserve">s odbornou péčí profesionála po celou dobu účinnosti Licence v parametrech </w:t>
      </w:r>
      <w:r w:rsidR="00E13CC5">
        <w:t xml:space="preserve">nezbytných pro řádné provozování Software a poskytování Služeb a v parametrech </w:t>
      </w:r>
      <w:r w:rsidR="00425E0D">
        <w:t>stanovených Zadávací dokumentací a sjednaných touto smlouvou:</w:t>
      </w:r>
    </w:p>
    <w:p w14:paraId="0F4FDDD8" w14:textId="56D2041E" w:rsidR="00425E0D" w:rsidRPr="00425E0D" w:rsidRDefault="00425E0D" w:rsidP="00425E0D">
      <w:pPr>
        <w:pStyle w:val="Psmenoodstavce"/>
      </w:pPr>
      <w:r w:rsidRPr="00425E0D">
        <w:t xml:space="preserve">zajišťovat </w:t>
      </w:r>
      <w:r w:rsidR="00E13CC5">
        <w:t xml:space="preserve">pro Software </w:t>
      </w:r>
      <w:r w:rsidRPr="00425E0D">
        <w:t>hostingové služby, běhové prostředí a jiná nezbytná plnění (dále jen „</w:t>
      </w:r>
      <w:r w:rsidRPr="00425E0D">
        <w:rPr>
          <w:b/>
        </w:rPr>
        <w:t>běhové prostředí</w:t>
      </w:r>
      <w:r w:rsidRPr="00425E0D">
        <w:t>“);</w:t>
      </w:r>
      <w:r>
        <w:t xml:space="preserve"> a</w:t>
      </w:r>
    </w:p>
    <w:p w14:paraId="1E5B2D0A" w14:textId="78659800" w:rsidR="00425E0D" w:rsidRDefault="00425E0D" w:rsidP="00425E0D">
      <w:pPr>
        <w:pStyle w:val="Psmenoodstavce"/>
      </w:pPr>
      <w:r w:rsidRPr="00425E0D">
        <w:t xml:space="preserve">zajišťovat </w:t>
      </w:r>
      <w:r>
        <w:t xml:space="preserve">řádný </w:t>
      </w:r>
      <w:r w:rsidRPr="00425E0D">
        <w:t>běh Software v běhovém prostředí</w:t>
      </w:r>
      <w:r>
        <w:t>.</w:t>
      </w:r>
    </w:p>
    <w:p w14:paraId="5AA4EA14" w14:textId="71BC6896" w:rsidR="00EF37AA" w:rsidRDefault="00BD09F8" w:rsidP="00EF37AA">
      <w:pPr>
        <w:pStyle w:val="Odstavecsmlouvy"/>
      </w:pPr>
      <w:bookmarkStart w:id="6" w:name="_Ref46315892"/>
      <w:bookmarkStart w:id="7" w:name="_Ref480357618"/>
      <w:r>
        <w:t xml:space="preserve">Jestliže je v příloze č. </w:t>
      </w:r>
      <w:r w:rsidR="000D6C4D">
        <w:t xml:space="preserve">2 </w:t>
      </w:r>
      <w:r>
        <w:t xml:space="preserve">této smlouvy specifikována služba vztahující se k Licenci nebo Software (dále </w:t>
      </w:r>
      <w:r w:rsidR="00DF537F">
        <w:t xml:space="preserve">a výše </w:t>
      </w:r>
      <w:r>
        <w:t>jen „</w:t>
      </w:r>
      <w:r w:rsidRPr="00DA2540">
        <w:rPr>
          <w:b/>
        </w:rPr>
        <w:t>Služb</w:t>
      </w:r>
      <w:r>
        <w:rPr>
          <w:b/>
        </w:rPr>
        <w:t>a</w:t>
      </w:r>
      <w:r>
        <w:t>“)</w:t>
      </w:r>
      <w:r w:rsidR="00706E61">
        <w:t>,</w:t>
      </w:r>
      <w:r>
        <w:t xml:space="preserve"> </w:t>
      </w:r>
      <w:r w:rsidR="00BC273A">
        <w:t xml:space="preserve">je </w:t>
      </w:r>
      <w:r>
        <w:t>Poskytovatel povinen takovou službu</w:t>
      </w:r>
      <w:r w:rsidR="00BC273A">
        <w:t xml:space="preserve"> </w:t>
      </w:r>
      <w:r>
        <w:t xml:space="preserve">Nabyvateli </w:t>
      </w:r>
      <w:r w:rsidR="00BC273A">
        <w:t xml:space="preserve">po dobu a za podmínek uvedených v příloze č. 1 této smlouvy </w:t>
      </w:r>
      <w:r>
        <w:t xml:space="preserve">a v Zadávací dokumentaci </w:t>
      </w:r>
      <w:r w:rsidR="00BC273A">
        <w:t xml:space="preserve">poskytovat. </w:t>
      </w:r>
      <w:bookmarkEnd w:id="6"/>
      <w:r w:rsidR="00AA439D">
        <w:t xml:space="preserve">Poskytovatel </w:t>
      </w:r>
      <w:r w:rsidR="00413791">
        <w:t xml:space="preserve">je </w:t>
      </w:r>
      <w:r w:rsidR="00AA439D">
        <w:t>povinen zahájit poskytování Služby ve lhůtě sjednané v odst. II.</w:t>
      </w:r>
      <w:r w:rsidR="00413791">
        <w:t xml:space="preserve"> </w:t>
      </w:r>
      <w:r w:rsidR="00AA439D">
        <w:t>1 věta první.</w:t>
      </w:r>
    </w:p>
    <w:p w14:paraId="06D06AA1" w14:textId="144B03A1" w:rsidR="00B50110" w:rsidRDefault="00B50110" w:rsidP="00B50110">
      <w:pPr>
        <w:pStyle w:val="Odstavecsmlouvy"/>
      </w:pPr>
      <w:r w:rsidRPr="00FB23A7">
        <w:t xml:space="preserve">Pokud je pro oprávněné užívání </w:t>
      </w:r>
      <w:r>
        <w:t>S</w:t>
      </w:r>
      <w:r w:rsidRPr="00FB23A7">
        <w:t xml:space="preserve">oftware </w:t>
      </w:r>
      <w:r w:rsidR="007B69F7">
        <w:t xml:space="preserve">dle </w:t>
      </w:r>
      <w:r>
        <w:t>L</w:t>
      </w:r>
      <w:r w:rsidR="007B69F7">
        <w:t>icenční smlouvy</w:t>
      </w:r>
      <w:r w:rsidR="00D505DF">
        <w:t xml:space="preserve"> </w:t>
      </w:r>
      <w:r w:rsidR="00053BC7">
        <w:t xml:space="preserve">nebo čerpání Služeb </w:t>
      </w:r>
      <w:r>
        <w:t>nezbytné provést aktivaci</w:t>
      </w:r>
      <w:r w:rsidR="00053BC7">
        <w:t>,</w:t>
      </w:r>
      <w:r w:rsidR="00053BC7" w:rsidRPr="00053BC7">
        <w:t xml:space="preserve"> </w:t>
      </w:r>
      <w:r w:rsidR="00053BC7" w:rsidRPr="00EF37AA">
        <w:t>zápis údajů do příslušn</w:t>
      </w:r>
      <w:r w:rsidR="00053BC7">
        <w:t>ých informačních systémů výrobce</w:t>
      </w:r>
      <w:r w:rsidR="00053BC7" w:rsidRPr="00EF37AA">
        <w:t xml:space="preserve"> </w:t>
      </w:r>
      <w:r w:rsidR="00053BC7">
        <w:t xml:space="preserve">Software, případně </w:t>
      </w:r>
      <w:r w:rsidR="00053BC7" w:rsidRPr="00EF37AA">
        <w:t>jiných třetích osob</w:t>
      </w:r>
      <w:r w:rsidR="00053BC7">
        <w:t>,</w:t>
      </w:r>
      <w:r>
        <w:t xml:space="preserve"> </w:t>
      </w:r>
      <w:r w:rsidR="00A621A7">
        <w:t xml:space="preserve">registraci </w:t>
      </w:r>
      <w:r>
        <w:t>Licence</w:t>
      </w:r>
      <w:r w:rsidR="00D505DF">
        <w:t xml:space="preserve"> </w:t>
      </w:r>
      <w:r w:rsidR="00761FEC">
        <w:t xml:space="preserve">nebo jiný obdobný úkon </w:t>
      </w:r>
      <w:r>
        <w:t>(dále jen „</w:t>
      </w:r>
      <w:r w:rsidRPr="00687A84">
        <w:rPr>
          <w:b/>
        </w:rPr>
        <w:t>Aktivace</w:t>
      </w:r>
      <w:r>
        <w:t xml:space="preserve">“), je </w:t>
      </w:r>
      <w:r w:rsidR="00AF7E1F">
        <w:t>Poskytovatel</w:t>
      </w:r>
      <w:r>
        <w:t xml:space="preserve"> povinen Aktivaci </w:t>
      </w:r>
      <w:r w:rsidR="00A621A7">
        <w:t xml:space="preserve">pro Nabyvatele </w:t>
      </w:r>
      <w:r w:rsidR="007A00A3">
        <w:t>ve lhůtě uvedené v odst. II.</w:t>
      </w:r>
      <w:r w:rsidR="00413791">
        <w:t xml:space="preserve"> </w:t>
      </w:r>
      <w:r w:rsidR="007A00A3">
        <w:t xml:space="preserve">1 </w:t>
      </w:r>
      <w:r>
        <w:t>provést</w:t>
      </w:r>
      <w:r w:rsidR="00A621A7">
        <w:t>, ledaže</w:t>
      </w:r>
      <w:r w:rsidR="00C63F88">
        <w:t xml:space="preserve"> </w:t>
      </w:r>
      <w:r w:rsidR="00A621A7">
        <w:t>si</w:t>
      </w:r>
      <w:r>
        <w:t xml:space="preserve"> </w:t>
      </w:r>
      <w:r w:rsidR="00A621A7">
        <w:t xml:space="preserve">provedení </w:t>
      </w:r>
      <w:r w:rsidR="00C63F88">
        <w:t>Aktivace vyhradil</w:t>
      </w:r>
      <w:r w:rsidR="00A621A7">
        <w:t xml:space="preserve"> Nabyvatel. V</w:t>
      </w:r>
      <w:r w:rsidR="00C63F88">
        <w:t xml:space="preserve">yhradil-li si provedení </w:t>
      </w:r>
      <w:r w:rsidR="007F1DCA">
        <w:t xml:space="preserve">kterékoli </w:t>
      </w:r>
      <w:r w:rsidR="00C63F88">
        <w:t xml:space="preserve">Aktivace Nabyvatel, je </w:t>
      </w:r>
      <w:r w:rsidR="00A621A7">
        <w:t xml:space="preserve">Poskytovatel </w:t>
      </w:r>
      <w:r w:rsidR="00C63F88">
        <w:t>povinen mu k tomu poskytnout</w:t>
      </w:r>
      <w:r w:rsidR="00A621A7">
        <w:t xml:space="preserve"> nezbytnou součinnost</w:t>
      </w:r>
      <w:r>
        <w:t>.</w:t>
      </w:r>
    </w:p>
    <w:p w14:paraId="3F649866" w14:textId="03117EDC" w:rsidR="0000720B" w:rsidRDefault="000472E8" w:rsidP="0000720B">
      <w:pPr>
        <w:pStyle w:val="Odstavecsmlouvy"/>
      </w:pPr>
      <w:r>
        <w:t>Neuplatňuje se</w:t>
      </w:r>
      <w:r w:rsidR="006C0628">
        <w:t>.</w:t>
      </w:r>
    </w:p>
    <w:p w14:paraId="14089078" w14:textId="253FC1B9" w:rsidR="0075495D" w:rsidRDefault="000472E8" w:rsidP="007536F8">
      <w:pPr>
        <w:pStyle w:val="Odstavecsmlouvy"/>
      </w:pPr>
      <w:bookmarkStart w:id="8" w:name="_Ref491769521"/>
      <w:bookmarkStart w:id="9" w:name="_Ref477347839"/>
      <w:bookmarkStart w:id="10" w:name="_Ref496272384"/>
      <w:bookmarkEnd w:id="7"/>
      <w:r>
        <w:t>Nabyvatel jmenuje Administrátora systému a oznámí jeho kontaktní údaje Poskytovateli</w:t>
      </w:r>
      <w:r w:rsidR="00FB5627">
        <w:t xml:space="preserve"> obratem po nabytí účinnosti této smlouvy</w:t>
      </w:r>
      <w:r>
        <w:t xml:space="preserve">. Poskytovatel zřídí Administrátorovi přístup na serverové prostředky určené pro užívání software a poskytne mu veškeré přístupové a technické údaje nezbytné pro řádné užívání Software a čerpání Služeb. </w:t>
      </w:r>
      <w:r w:rsidR="00250E2D">
        <w:t>Poskytovatel je povinný zřídit administrátorský přístup a poskytnou</w:t>
      </w:r>
      <w:r w:rsidR="00E35C02">
        <w:t>t</w:t>
      </w:r>
      <w:r w:rsidR="00250E2D">
        <w:t xml:space="preserve"> veškeré přístupové a technické údaje dle předchozí věty do </w:t>
      </w:r>
      <w:r w:rsidR="00250E2D" w:rsidRPr="00E35C02">
        <w:rPr>
          <w:b/>
        </w:rPr>
        <w:lastRenderedPageBreak/>
        <w:t>2 pracovních dnů</w:t>
      </w:r>
      <w:r w:rsidR="00250E2D">
        <w:t xml:space="preserve"> ode dne obdržení kontaktních údajů </w:t>
      </w:r>
      <w:r w:rsidR="00E35C02">
        <w:t xml:space="preserve">Administrátora. </w:t>
      </w:r>
      <w:r>
        <w:t xml:space="preserve">Veškeré návody jsou dostupné pro Nabyvatele online na:  </w:t>
      </w:r>
      <w:hyperlink r:id="rId13" w:history="1">
        <w:r w:rsidRPr="008B5C8B">
          <w:rPr>
            <w:rStyle w:val="Hypertextovodkaz"/>
          </w:rPr>
          <w:t>https://doc.buildary.online/subdom/doc/doku.php/cs:start</w:t>
        </w:r>
      </w:hyperlink>
      <w:r>
        <w:t>. Poskytovatel se zavazuje je podle potřeby aktualizovat. V</w:t>
      </w:r>
      <w:r w:rsidRPr="00862350">
        <w:t xml:space="preserve">eškeré </w:t>
      </w:r>
      <w:r w:rsidR="00F5367A">
        <w:t>návody</w:t>
      </w:r>
      <w:r w:rsidR="00090A11">
        <w:t xml:space="preserve"> a</w:t>
      </w:r>
      <w:r w:rsidR="00F5367A">
        <w:t xml:space="preserve"> </w:t>
      </w:r>
      <w:r w:rsidR="00726B26" w:rsidRPr="00862350">
        <w:t>doklady</w:t>
      </w:r>
      <w:r w:rsidR="00A2087D" w:rsidRPr="00862350">
        <w:t xml:space="preserve">, které se vztahují </w:t>
      </w:r>
      <w:r w:rsidR="00A2087D">
        <w:t>k</w:t>
      </w:r>
      <w:r w:rsidR="007A4E3A">
        <w:t> </w:t>
      </w:r>
      <w:r w:rsidR="00A2087D">
        <w:t>Licenci</w:t>
      </w:r>
      <w:r w:rsidR="007A4E3A">
        <w:t xml:space="preserve"> a Službám</w:t>
      </w:r>
      <w:r w:rsidR="00090A11">
        <w:t xml:space="preserve">, zejména návody a doklady nezbytné pro </w:t>
      </w:r>
      <w:r w:rsidR="007A4E3A">
        <w:t xml:space="preserve">jejich </w:t>
      </w:r>
      <w:r w:rsidR="00090A11">
        <w:t xml:space="preserve">oprávněné </w:t>
      </w:r>
      <w:r w:rsidR="007A4E3A">
        <w:t>vy</w:t>
      </w:r>
      <w:r w:rsidR="00090A11">
        <w:t>užívání</w:t>
      </w:r>
      <w:r w:rsidR="007F1DCA">
        <w:t xml:space="preserve"> a</w:t>
      </w:r>
      <w:r w:rsidR="00F5367A">
        <w:t xml:space="preserve"> </w:t>
      </w:r>
      <w:r w:rsidR="007A4E3A">
        <w:t>podmínky poskytování</w:t>
      </w:r>
      <w:r w:rsidR="007F1DCA">
        <w:t>, jakož i dokumentaci specifikovanou v příloze č. 1 této smlouvy</w:t>
      </w:r>
      <w:r w:rsidR="007A4E3A">
        <w:t xml:space="preserve"> </w:t>
      </w:r>
      <w:r w:rsidR="00F5367A">
        <w:t xml:space="preserve">a </w:t>
      </w:r>
      <w:r w:rsidR="007F1DCA">
        <w:t>v</w:t>
      </w:r>
      <w:r w:rsidR="00F5367A">
        <w:t xml:space="preserve"> </w:t>
      </w:r>
      <w:r w:rsidR="007F1DCA">
        <w:t>Zadávací dokumentaci</w:t>
      </w:r>
      <w:r>
        <w:t xml:space="preserve"> se souhrnně označují jako </w:t>
      </w:r>
      <w:r w:rsidR="00F5367A">
        <w:t>„</w:t>
      </w:r>
      <w:r w:rsidR="00F5367A" w:rsidRPr="00F5367A">
        <w:rPr>
          <w:b/>
        </w:rPr>
        <w:t>Dokumentace</w:t>
      </w:r>
      <w:r w:rsidR="00F5367A">
        <w:t>“</w:t>
      </w:r>
      <w:r w:rsidR="007536F8">
        <w:t>.</w:t>
      </w:r>
      <w:bookmarkEnd w:id="8"/>
      <w:bookmarkEnd w:id="9"/>
      <w:bookmarkEnd w:id="10"/>
    </w:p>
    <w:p w14:paraId="4A37AEEB" w14:textId="1D7BC382" w:rsidR="00795FAE" w:rsidRDefault="00053BC7" w:rsidP="00795FAE">
      <w:pPr>
        <w:pStyle w:val="Odstavecsmlouvy"/>
      </w:pPr>
      <w:r>
        <w:t xml:space="preserve">Pokud z přílohy č. 1 </w:t>
      </w:r>
      <w:r w:rsidR="00250E2D">
        <w:t xml:space="preserve">a přílohy č. 2 </w:t>
      </w:r>
      <w:r>
        <w:t>vyplývají další povinnosti Poskytovatele, je Poskytovatel povinen je plnit.</w:t>
      </w:r>
    </w:p>
    <w:p w14:paraId="4B843120" w14:textId="4C338E64" w:rsidR="00795FAE" w:rsidRDefault="00795FAE" w:rsidP="00795FAE">
      <w:pPr>
        <w:pStyle w:val="Odstavecsmlouvy"/>
      </w:pPr>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 Součinnost třetích stran</w:t>
      </w:r>
      <w:r w:rsidRPr="0079504E">
        <w:t xml:space="preserve"> </w:t>
      </w:r>
      <w:r>
        <w:t>nezbytnou pro provedení integračních vazeb výslovně požadovaných Nabyvatelem touto smlouvou nebo Zadávací dokumentací je povinen zajistit Nabyvatel, ledaže je taková třetí strana součástí veřejné správy nebo je zdravotní pojišťovnou nebo se smluvní strany v konkrétním případě dohodnou jinak.</w:t>
      </w:r>
    </w:p>
    <w:p w14:paraId="022690F9" w14:textId="77777777" w:rsidR="00726B26" w:rsidRDefault="006B14CF" w:rsidP="00500A87">
      <w:pPr>
        <w:pStyle w:val="Nadpis1"/>
      </w:pPr>
      <w:r>
        <w:t>Termíny a místo plnění</w:t>
      </w:r>
    </w:p>
    <w:p w14:paraId="7E9629D4" w14:textId="2B4F291E" w:rsidR="00116BD7" w:rsidRDefault="00726B26" w:rsidP="00F43EC4">
      <w:pPr>
        <w:pStyle w:val="Odstavecsmlouvy"/>
      </w:pPr>
      <w:r w:rsidRPr="00500A87">
        <w:t xml:space="preserve">Místem </w:t>
      </w:r>
      <w:r w:rsidR="00372B4E">
        <w:t xml:space="preserve">plnění </w:t>
      </w:r>
      <w:r w:rsidRPr="00500A87">
        <w:t xml:space="preserve">je </w:t>
      </w:r>
      <w:r w:rsidR="000777BF">
        <w:t>Oddělení rozvojových investic</w:t>
      </w:r>
      <w:r w:rsidR="00F43EC4">
        <w:t xml:space="preserve">, </w:t>
      </w:r>
      <w:r w:rsidR="00D15E7A">
        <w:t xml:space="preserve">Pracoviště </w:t>
      </w:r>
      <w:r w:rsidR="00127ABD">
        <w:t>medicíny dospělého věku</w:t>
      </w:r>
      <w:r w:rsidR="00D15E7A">
        <w:t xml:space="preserve">, </w:t>
      </w:r>
      <w:r w:rsidRPr="00500A87">
        <w:t>Fakultní nemocnice Brno, Jihlavská 20, 625 00 Brno</w:t>
      </w:r>
      <w:r w:rsidR="00372B4E">
        <w:t xml:space="preserve">, </w:t>
      </w:r>
      <w:r w:rsidR="003E3071">
        <w:t xml:space="preserve">případně </w:t>
      </w:r>
      <w:r w:rsidR="00372B4E">
        <w:t xml:space="preserve">i další pracoviště </w:t>
      </w:r>
      <w:r w:rsidR="00B50110">
        <w:t>Nabyvatel</w:t>
      </w:r>
      <w:r w:rsidR="00AF7E1F">
        <w:t>e</w:t>
      </w:r>
      <w:r w:rsidR="00372B4E">
        <w:t xml:space="preserve"> dle jeho pokynů</w:t>
      </w:r>
      <w:r w:rsidRPr="00500A87">
        <w:t>.</w:t>
      </w:r>
      <w:r w:rsidR="009E5E68" w:rsidRPr="009E5E68">
        <w:t xml:space="preserve"> </w:t>
      </w:r>
      <w:r w:rsidR="00AF7E1F">
        <w:t>Poskytovatel</w:t>
      </w:r>
      <w:r w:rsidR="009E5E68">
        <w:t xml:space="preserve"> je povinen poskytovat plnění dálkovým přístupem, ledaže z této smlouvy nebo z povahy </w:t>
      </w:r>
      <w:r w:rsidR="00AF7E1F">
        <w:t xml:space="preserve">určitého </w:t>
      </w:r>
      <w:r w:rsidR="009E5E68">
        <w:t xml:space="preserve">plnění vyplývá, že je nezbytné jej poskytnout osobně v místě sjednaném ve větě první. </w:t>
      </w:r>
      <w:r w:rsidR="00AF7E1F">
        <w:t>Poskytovatel</w:t>
      </w:r>
      <w:r w:rsidR="009E5E68">
        <w:t xml:space="preserve"> je povinen poskytnout </w:t>
      </w:r>
      <w:r w:rsidR="00AF7E1F">
        <w:t xml:space="preserve">určité </w:t>
      </w:r>
      <w:r w:rsidR="009E5E68">
        <w:t xml:space="preserve">plnění v místě dle věty první rovněž </w:t>
      </w:r>
      <w:r w:rsidR="00AF7E1F">
        <w:t xml:space="preserve">tehdy, kdy o to </w:t>
      </w:r>
      <w:r w:rsidR="009E5E68">
        <w:t xml:space="preserve">požádá </w:t>
      </w:r>
      <w:r w:rsidR="00B50110">
        <w:t>Nabyvatel</w:t>
      </w:r>
      <w:r w:rsidR="009E5E68">
        <w:t xml:space="preserve">. Při poskytování plnění dálkovým přístupem je </w:t>
      </w:r>
      <w:r w:rsidR="00AF7E1F">
        <w:t>Poskytovatel</w:t>
      </w:r>
      <w:r w:rsidR="009E5E68">
        <w:t xml:space="preserve"> povinen dodržovat podmínky stanovené </w:t>
      </w:r>
      <w:r w:rsidR="00B50110">
        <w:t>Nabyvatel</w:t>
      </w:r>
      <w:r w:rsidR="00812F2C">
        <w:t>e</w:t>
      </w:r>
      <w:r w:rsidR="009E5E68">
        <w:t>m.</w:t>
      </w:r>
    </w:p>
    <w:p w14:paraId="738EBD05" w14:textId="4695A4E9" w:rsidR="00D20310" w:rsidRDefault="00D6287A" w:rsidP="006B14CF">
      <w:pPr>
        <w:pStyle w:val="Odstavecsmlouvy"/>
      </w:pPr>
      <w:r>
        <w:t>Neuplatňuje se.</w:t>
      </w:r>
      <w:r w:rsidR="006B6C97">
        <w:t xml:space="preserve"> </w:t>
      </w:r>
    </w:p>
    <w:p w14:paraId="18F6D8D7" w14:textId="725D9CB3" w:rsidR="00916698" w:rsidRDefault="00250E2D" w:rsidP="006B14CF">
      <w:pPr>
        <w:pStyle w:val="Odstavecsmlouvy"/>
      </w:pPr>
      <w:r>
        <w:t>Neuplatňuje se</w:t>
      </w:r>
      <w:r w:rsidR="00916698" w:rsidRPr="00411036">
        <w:t>.</w:t>
      </w:r>
    </w:p>
    <w:p w14:paraId="25A3B109" w14:textId="77777777" w:rsidR="00726B26" w:rsidRPr="002B77A6" w:rsidRDefault="00726B26" w:rsidP="001D340D">
      <w:pPr>
        <w:pStyle w:val="Nadpis1"/>
      </w:pPr>
      <w:bookmarkStart w:id="11" w:name="_Ref477351956"/>
      <w:r>
        <w:t xml:space="preserve">Cena plnění </w:t>
      </w:r>
      <w:r w:rsidRPr="002B77A6">
        <w:t>a platební podmínky</w:t>
      </w:r>
      <w:bookmarkEnd w:id="11"/>
    </w:p>
    <w:p w14:paraId="4FE43B71" w14:textId="2FA98E0A" w:rsidR="004D0C03" w:rsidRDefault="004D0C03" w:rsidP="003D7E2C">
      <w:pPr>
        <w:pStyle w:val="Odstavecsmlouvy"/>
      </w:pPr>
      <w:r>
        <w:t xml:space="preserve">Cena za poskytování plnění dle této smlouvy se sjednává jako paušální cena </w:t>
      </w:r>
      <w:r w:rsidRPr="00D6287A">
        <w:rPr>
          <w:b/>
          <w:u w:val="single"/>
        </w:rPr>
        <w:t>za měsíc“</w:t>
      </w:r>
      <w:r w:rsidRPr="00D6287A">
        <w:t xml:space="preserve"> (tat</w:t>
      </w:r>
      <w:r>
        <w:t>o cena dále jen „</w:t>
      </w:r>
      <w:r w:rsidRPr="002F054B">
        <w:rPr>
          <w:b/>
        </w:rPr>
        <w:t xml:space="preserve">Cena za </w:t>
      </w:r>
      <w:r>
        <w:rPr>
          <w:b/>
        </w:rPr>
        <w:t>plnění</w:t>
      </w:r>
      <w:r>
        <w:t>“; toto období dále jen „</w:t>
      </w:r>
      <w:r w:rsidRPr="004D0C03">
        <w:rPr>
          <w:b/>
        </w:rPr>
        <w:t>fakturační období</w:t>
      </w:r>
      <w:r>
        <w:t>“) a činí:</w:t>
      </w:r>
    </w:p>
    <w:p w14:paraId="491F1AB0" w14:textId="77777777" w:rsidR="004D0C03" w:rsidRDefault="004D0C03" w:rsidP="004D0C03"/>
    <w:tbl>
      <w:tblPr>
        <w:tblW w:w="0" w:type="auto"/>
        <w:tblInd w:w="709" w:type="dxa"/>
        <w:tblLook w:val="04A0" w:firstRow="1" w:lastRow="0" w:firstColumn="1" w:lastColumn="0" w:noHBand="0" w:noVBand="1"/>
      </w:tblPr>
      <w:tblGrid>
        <w:gridCol w:w="5858"/>
        <w:gridCol w:w="3513"/>
      </w:tblGrid>
      <w:tr w:rsidR="004D0C03" w:rsidRPr="005B49AA" w14:paraId="398F5144" w14:textId="77777777" w:rsidTr="0059451A">
        <w:tc>
          <w:tcPr>
            <w:tcW w:w="5920" w:type="dxa"/>
            <w:shd w:val="clear" w:color="auto" w:fill="auto"/>
          </w:tcPr>
          <w:p w14:paraId="494FB6A4" w14:textId="77777777" w:rsidR="004D0C03" w:rsidRPr="005B49AA" w:rsidRDefault="004D0C03" w:rsidP="0059451A">
            <w:pPr>
              <w:pStyle w:val="Zkladntext3"/>
              <w:rPr>
                <w:b/>
                <w:sz w:val="22"/>
                <w:szCs w:val="22"/>
              </w:rPr>
            </w:pPr>
            <w:r>
              <w:rPr>
                <w:b/>
                <w:sz w:val="22"/>
                <w:szCs w:val="22"/>
              </w:rPr>
              <w:t>C</w:t>
            </w:r>
            <w:r w:rsidRPr="005B49AA">
              <w:rPr>
                <w:b/>
                <w:sz w:val="22"/>
                <w:szCs w:val="22"/>
              </w:rPr>
              <w:t xml:space="preserve">ena </w:t>
            </w:r>
            <w:r>
              <w:rPr>
                <w:b/>
                <w:sz w:val="22"/>
                <w:szCs w:val="22"/>
              </w:rPr>
              <w:t xml:space="preserve">plnění </w:t>
            </w:r>
            <w:r w:rsidRPr="005B49AA">
              <w:rPr>
                <w:b/>
                <w:sz w:val="22"/>
                <w:szCs w:val="22"/>
              </w:rPr>
              <w:t>bez DPH:</w:t>
            </w:r>
          </w:p>
        </w:tc>
        <w:tc>
          <w:tcPr>
            <w:tcW w:w="3544" w:type="dxa"/>
            <w:shd w:val="clear" w:color="auto" w:fill="auto"/>
          </w:tcPr>
          <w:p w14:paraId="121E9037" w14:textId="16BAE12A" w:rsidR="004D0C03" w:rsidRPr="005B49AA" w:rsidRDefault="00FB5627" w:rsidP="0059451A">
            <w:pPr>
              <w:pStyle w:val="Zkladntext3"/>
              <w:jc w:val="right"/>
              <w:rPr>
                <w:b/>
                <w:sz w:val="22"/>
                <w:szCs w:val="22"/>
              </w:rPr>
            </w:pPr>
            <w:r>
              <w:rPr>
                <w:b/>
                <w:sz w:val="22"/>
                <w:szCs w:val="22"/>
              </w:rPr>
              <w:t>41 000,-</w:t>
            </w:r>
            <w:r w:rsidR="004D0C03" w:rsidRPr="005B49AA">
              <w:rPr>
                <w:b/>
                <w:sz w:val="22"/>
                <w:szCs w:val="22"/>
              </w:rPr>
              <w:t xml:space="preserve"> Kč</w:t>
            </w:r>
          </w:p>
        </w:tc>
      </w:tr>
      <w:tr w:rsidR="004D0C03" w:rsidRPr="005B49AA" w14:paraId="087205AC" w14:textId="77777777" w:rsidTr="0059451A">
        <w:tc>
          <w:tcPr>
            <w:tcW w:w="5920" w:type="dxa"/>
            <w:shd w:val="clear" w:color="auto" w:fill="auto"/>
          </w:tcPr>
          <w:p w14:paraId="4A2D7BE3" w14:textId="69B59A3C" w:rsidR="004D0C03" w:rsidRPr="005B49AA" w:rsidRDefault="004D0C03" w:rsidP="0059451A">
            <w:pPr>
              <w:pStyle w:val="Zkladntext3"/>
              <w:rPr>
                <w:b/>
                <w:sz w:val="22"/>
                <w:szCs w:val="22"/>
              </w:rPr>
            </w:pPr>
          </w:p>
        </w:tc>
        <w:tc>
          <w:tcPr>
            <w:tcW w:w="3544" w:type="dxa"/>
            <w:shd w:val="clear" w:color="auto" w:fill="auto"/>
          </w:tcPr>
          <w:p w14:paraId="4DF699AB" w14:textId="293D78C4" w:rsidR="004D0C03" w:rsidRPr="005B49AA" w:rsidRDefault="004D0C03" w:rsidP="0059451A">
            <w:pPr>
              <w:pStyle w:val="Zkladntext3"/>
              <w:jc w:val="right"/>
              <w:rPr>
                <w:b/>
                <w:sz w:val="22"/>
                <w:szCs w:val="22"/>
              </w:rPr>
            </w:pPr>
          </w:p>
        </w:tc>
      </w:tr>
      <w:tr w:rsidR="004D0C03" w:rsidRPr="005B49AA" w14:paraId="5FE2DD43" w14:textId="77777777" w:rsidTr="0059451A">
        <w:tc>
          <w:tcPr>
            <w:tcW w:w="5920" w:type="dxa"/>
            <w:shd w:val="clear" w:color="auto" w:fill="auto"/>
          </w:tcPr>
          <w:p w14:paraId="19505514" w14:textId="22F0CEDD" w:rsidR="004D0C03" w:rsidRPr="005B49AA" w:rsidRDefault="004D0C03" w:rsidP="0059451A">
            <w:pPr>
              <w:pStyle w:val="Zkladntext3"/>
              <w:rPr>
                <w:b/>
                <w:sz w:val="22"/>
                <w:szCs w:val="22"/>
              </w:rPr>
            </w:pPr>
          </w:p>
        </w:tc>
        <w:tc>
          <w:tcPr>
            <w:tcW w:w="3544" w:type="dxa"/>
            <w:shd w:val="clear" w:color="auto" w:fill="auto"/>
          </w:tcPr>
          <w:p w14:paraId="39DC9F95" w14:textId="33301C2A" w:rsidR="004D0C03" w:rsidRPr="005B49AA" w:rsidRDefault="004D0C03" w:rsidP="0059451A">
            <w:pPr>
              <w:pStyle w:val="Zkladntext3"/>
              <w:jc w:val="right"/>
              <w:rPr>
                <w:b/>
                <w:sz w:val="22"/>
                <w:szCs w:val="22"/>
              </w:rPr>
            </w:pPr>
          </w:p>
        </w:tc>
      </w:tr>
    </w:tbl>
    <w:p w14:paraId="16C971CA" w14:textId="092D32D6" w:rsidR="004D0C03" w:rsidRDefault="00F1047E" w:rsidP="004D0C03">
      <w:r>
        <w:tab/>
        <w:t>Cena plnění pozůstává z úhrady plnění za software v následujícím rozsahu:</w:t>
      </w:r>
    </w:p>
    <w:p w14:paraId="271BEECF" w14:textId="77777777" w:rsidR="00F1047E" w:rsidRDefault="00F1047E" w:rsidP="004D0C03"/>
    <w:tbl>
      <w:tblPr>
        <w:tblStyle w:val="Mkatabulky"/>
        <w:tblW w:w="0" w:type="auto"/>
        <w:tblInd w:w="562" w:type="dxa"/>
        <w:tblLook w:val="04A0" w:firstRow="1" w:lastRow="0" w:firstColumn="1" w:lastColumn="0" w:noHBand="0" w:noVBand="1"/>
      </w:tblPr>
      <w:tblGrid>
        <w:gridCol w:w="1955"/>
        <w:gridCol w:w="2517"/>
        <w:gridCol w:w="2518"/>
        <w:gridCol w:w="2518"/>
      </w:tblGrid>
      <w:tr w:rsidR="00F1047E" w14:paraId="587CB786" w14:textId="77777777" w:rsidTr="00F1047E">
        <w:tc>
          <w:tcPr>
            <w:tcW w:w="1955" w:type="dxa"/>
          </w:tcPr>
          <w:p w14:paraId="5D4BB4A9" w14:textId="41328D41" w:rsidR="00F1047E" w:rsidRPr="00F1047E" w:rsidRDefault="00F1047E" w:rsidP="00F1047E">
            <w:r w:rsidRPr="00F1047E">
              <w:rPr>
                <w:b/>
                <w:bCs/>
              </w:rPr>
              <w:t>Modul</w:t>
            </w:r>
          </w:p>
        </w:tc>
        <w:tc>
          <w:tcPr>
            <w:tcW w:w="2517" w:type="dxa"/>
          </w:tcPr>
          <w:p w14:paraId="3C5EAB02" w14:textId="07CD48A2" w:rsidR="00F1047E" w:rsidRPr="00F1047E" w:rsidRDefault="00F1047E" w:rsidP="00F1047E">
            <w:r w:rsidRPr="00F1047E">
              <w:rPr>
                <w:b/>
                <w:bCs/>
              </w:rPr>
              <w:t>Počet staveb</w:t>
            </w:r>
          </w:p>
        </w:tc>
        <w:tc>
          <w:tcPr>
            <w:tcW w:w="2518" w:type="dxa"/>
          </w:tcPr>
          <w:p w14:paraId="16D34FFC" w14:textId="68ACB7C1" w:rsidR="00F1047E" w:rsidRPr="00F1047E" w:rsidRDefault="00F1047E" w:rsidP="00F1047E">
            <w:pPr>
              <w:rPr>
                <w:b/>
              </w:rPr>
            </w:pPr>
            <w:r w:rsidRPr="00F1047E">
              <w:rPr>
                <w:b/>
              </w:rPr>
              <w:t>Počet uživatelů</w:t>
            </w:r>
          </w:p>
        </w:tc>
        <w:tc>
          <w:tcPr>
            <w:tcW w:w="2518" w:type="dxa"/>
          </w:tcPr>
          <w:p w14:paraId="43B02B5F" w14:textId="212CCCC3" w:rsidR="00F1047E" w:rsidRPr="00F1047E" w:rsidRDefault="00F1047E" w:rsidP="00F1047E">
            <w:pPr>
              <w:rPr>
                <w:b/>
              </w:rPr>
            </w:pPr>
            <w:r w:rsidRPr="00F1047E">
              <w:rPr>
                <w:b/>
              </w:rPr>
              <w:t>Cena za modul</w:t>
            </w:r>
            <w:r>
              <w:rPr>
                <w:b/>
              </w:rPr>
              <w:t xml:space="preserve"> (bez DPH)</w:t>
            </w:r>
          </w:p>
        </w:tc>
      </w:tr>
      <w:tr w:rsidR="00F1047E" w14:paraId="2EC2657C" w14:textId="77777777" w:rsidTr="00FF5A18">
        <w:tc>
          <w:tcPr>
            <w:tcW w:w="1955" w:type="dxa"/>
            <w:vAlign w:val="center"/>
          </w:tcPr>
          <w:p w14:paraId="43996B9E" w14:textId="24CCD64E" w:rsidR="00F1047E" w:rsidRDefault="00F1047E" w:rsidP="00F1047E">
            <w:r w:rsidRPr="00C510E1">
              <w:rPr>
                <w:szCs w:val="24"/>
              </w:rPr>
              <w:t>Stavební deník</w:t>
            </w:r>
          </w:p>
        </w:tc>
        <w:tc>
          <w:tcPr>
            <w:tcW w:w="2517" w:type="dxa"/>
            <w:vAlign w:val="center"/>
          </w:tcPr>
          <w:p w14:paraId="6FC2615D" w14:textId="61463BCF" w:rsidR="00F1047E" w:rsidRDefault="00F1047E" w:rsidP="00F1047E">
            <w:r>
              <w:rPr>
                <w:szCs w:val="24"/>
              </w:rPr>
              <w:t>20</w:t>
            </w:r>
          </w:p>
        </w:tc>
        <w:tc>
          <w:tcPr>
            <w:tcW w:w="2518" w:type="dxa"/>
            <w:vAlign w:val="center"/>
          </w:tcPr>
          <w:p w14:paraId="0F1E2C3E" w14:textId="5E716D5B" w:rsidR="00F1047E" w:rsidRDefault="00F1047E" w:rsidP="00F1047E">
            <w:r>
              <w:rPr>
                <w:szCs w:val="24"/>
              </w:rPr>
              <w:t>25</w:t>
            </w:r>
          </w:p>
        </w:tc>
        <w:tc>
          <w:tcPr>
            <w:tcW w:w="2518" w:type="dxa"/>
            <w:vAlign w:val="center"/>
          </w:tcPr>
          <w:p w14:paraId="1393F8F4" w14:textId="59DE7B4C" w:rsidR="00F1047E" w:rsidRDefault="00F1047E" w:rsidP="00F1047E">
            <w:r>
              <w:rPr>
                <w:szCs w:val="24"/>
              </w:rPr>
              <w:t xml:space="preserve">17 000,- </w:t>
            </w:r>
            <w:r w:rsidRPr="00C510E1">
              <w:rPr>
                <w:szCs w:val="24"/>
              </w:rPr>
              <w:t>CZK</w:t>
            </w:r>
          </w:p>
        </w:tc>
      </w:tr>
      <w:tr w:rsidR="00F1047E" w14:paraId="53D0C3DD" w14:textId="77777777" w:rsidTr="00FF5A18">
        <w:tc>
          <w:tcPr>
            <w:tcW w:w="1955" w:type="dxa"/>
            <w:vAlign w:val="center"/>
          </w:tcPr>
          <w:p w14:paraId="72BC0C67" w14:textId="1DD71B06" w:rsidR="00F1047E" w:rsidRDefault="00F1047E" w:rsidP="00F1047E">
            <w:r w:rsidRPr="00C510E1">
              <w:rPr>
                <w:szCs w:val="24"/>
              </w:rPr>
              <w:t>Management úkolů</w:t>
            </w:r>
          </w:p>
        </w:tc>
        <w:tc>
          <w:tcPr>
            <w:tcW w:w="2517" w:type="dxa"/>
            <w:vAlign w:val="center"/>
          </w:tcPr>
          <w:p w14:paraId="3334BAC3" w14:textId="6034868D" w:rsidR="00F1047E" w:rsidRDefault="00F1047E" w:rsidP="00F1047E">
            <w:r>
              <w:rPr>
                <w:szCs w:val="24"/>
              </w:rPr>
              <w:t>20</w:t>
            </w:r>
          </w:p>
        </w:tc>
        <w:tc>
          <w:tcPr>
            <w:tcW w:w="2518" w:type="dxa"/>
            <w:vAlign w:val="center"/>
          </w:tcPr>
          <w:p w14:paraId="08EDA1AF" w14:textId="5A1AB31A" w:rsidR="00F1047E" w:rsidRDefault="00F1047E" w:rsidP="00F1047E">
            <w:r>
              <w:rPr>
                <w:szCs w:val="24"/>
              </w:rPr>
              <w:t>25</w:t>
            </w:r>
          </w:p>
        </w:tc>
        <w:tc>
          <w:tcPr>
            <w:tcW w:w="2518" w:type="dxa"/>
            <w:vAlign w:val="center"/>
          </w:tcPr>
          <w:p w14:paraId="1F607E0F" w14:textId="1ADA4ACB" w:rsidR="00F1047E" w:rsidRDefault="00F1047E" w:rsidP="00F1047E">
            <w:r>
              <w:rPr>
                <w:szCs w:val="24"/>
              </w:rPr>
              <w:t xml:space="preserve">12 000,- </w:t>
            </w:r>
            <w:r w:rsidRPr="00C510E1">
              <w:rPr>
                <w:szCs w:val="24"/>
              </w:rPr>
              <w:t>CZK</w:t>
            </w:r>
          </w:p>
        </w:tc>
      </w:tr>
      <w:tr w:rsidR="00F1047E" w14:paraId="65CD5CD4" w14:textId="77777777" w:rsidTr="00FF5A18">
        <w:tc>
          <w:tcPr>
            <w:tcW w:w="1955" w:type="dxa"/>
            <w:vAlign w:val="center"/>
          </w:tcPr>
          <w:p w14:paraId="0AF6DAE4" w14:textId="6F5F87C8" w:rsidR="00F1047E" w:rsidRDefault="00F1047E" w:rsidP="00F1047E">
            <w:r w:rsidRPr="00C510E1">
              <w:rPr>
                <w:szCs w:val="24"/>
              </w:rPr>
              <w:t>Soupisy provedených prací</w:t>
            </w:r>
          </w:p>
        </w:tc>
        <w:tc>
          <w:tcPr>
            <w:tcW w:w="2517" w:type="dxa"/>
            <w:vAlign w:val="center"/>
          </w:tcPr>
          <w:p w14:paraId="3B381BFE" w14:textId="3EE90415" w:rsidR="00F1047E" w:rsidRDefault="00F1047E" w:rsidP="00F1047E">
            <w:r>
              <w:rPr>
                <w:szCs w:val="24"/>
              </w:rPr>
              <w:t>20</w:t>
            </w:r>
          </w:p>
        </w:tc>
        <w:tc>
          <w:tcPr>
            <w:tcW w:w="2518" w:type="dxa"/>
            <w:vAlign w:val="center"/>
          </w:tcPr>
          <w:p w14:paraId="7296BDD5" w14:textId="0C4E805C" w:rsidR="00F1047E" w:rsidRDefault="00F1047E" w:rsidP="00F1047E">
            <w:r>
              <w:rPr>
                <w:szCs w:val="24"/>
              </w:rPr>
              <w:t>25</w:t>
            </w:r>
          </w:p>
        </w:tc>
        <w:tc>
          <w:tcPr>
            <w:tcW w:w="2518" w:type="dxa"/>
            <w:vAlign w:val="center"/>
          </w:tcPr>
          <w:p w14:paraId="1BFD7710" w14:textId="74DF1A33" w:rsidR="00F1047E" w:rsidRDefault="00F1047E" w:rsidP="00F1047E">
            <w:r>
              <w:rPr>
                <w:szCs w:val="24"/>
              </w:rPr>
              <w:t xml:space="preserve">12 000,- </w:t>
            </w:r>
            <w:r w:rsidRPr="00C510E1">
              <w:rPr>
                <w:szCs w:val="24"/>
              </w:rPr>
              <w:t>CZK</w:t>
            </w:r>
          </w:p>
        </w:tc>
      </w:tr>
    </w:tbl>
    <w:p w14:paraId="483DD59A" w14:textId="77777777" w:rsidR="00F1047E" w:rsidRDefault="00F1047E" w:rsidP="004D0C03"/>
    <w:p w14:paraId="73880B2A" w14:textId="0C2C4909" w:rsidR="00F1047E" w:rsidRDefault="004D0C03" w:rsidP="00F1047E">
      <w:pPr>
        <w:pStyle w:val="Odstavecsmlouvy"/>
      </w:pPr>
      <w:r w:rsidRPr="0098764F">
        <w:t>Sjednan</w:t>
      </w:r>
      <w:r>
        <w:t>á Cena plnění</w:t>
      </w:r>
      <w:r w:rsidRPr="0098764F">
        <w:t xml:space="preserve"> </w:t>
      </w:r>
      <w:r>
        <w:t>zahrnu</w:t>
      </w:r>
      <w:r w:rsidRPr="0098764F">
        <w:t xml:space="preserve">je </w:t>
      </w:r>
      <w:r w:rsidR="00F1047E">
        <w:t xml:space="preserve">úhradu za služby v rozsahu uvedeném v příloze č. 2 smlouvy – poskytování helpdesk hotline </w:t>
      </w:r>
      <w:r w:rsidR="00F1047E" w:rsidRPr="00F1047E">
        <w:t>formou e-mailu nebo telefonicky v běžných pracovních hodinách (v pracovních dnech od 8:00 do 16:00</w:t>
      </w:r>
      <w:r w:rsidR="00F1047E">
        <w:t>.</w:t>
      </w:r>
    </w:p>
    <w:p w14:paraId="01A17C69" w14:textId="757E8E01" w:rsidR="000D0478" w:rsidRDefault="00F1047E" w:rsidP="00F1047E">
      <w:pPr>
        <w:pStyle w:val="Odstavecsmlouvy"/>
        <w:numPr>
          <w:ilvl w:val="0"/>
          <w:numId w:val="0"/>
        </w:numPr>
        <w:ind w:left="567"/>
      </w:pPr>
      <w:r>
        <w:lastRenderedPageBreak/>
        <w:t xml:space="preserve">Sjednaná Cena plnění dále zahrnuje </w:t>
      </w:r>
      <w:r w:rsidR="004D0C03">
        <w:t>veškeré náklady Poskytovatele n</w:t>
      </w:r>
      <w:r w:rsidR="004D0C03" w:rsidRPr="0098764F">
        <w:t xml:space="preserve">a </w:t>
      </w:r>
      <w:r w:rsidR="004D0C03">
        <w:t xml:space="preserve">splnění jeho povinností podle této smlouvy, </w:t>
      </w:r>
      <w:r w:rsidR="00DA2540">
        <w:t xml:space="preserve">která zahrnuje </w:t>
      </w:r>
      <w:r w:rsidR="00761FEC">
        <w:t xml:space="preserve">rovněž případnou </w:t>
      </w:r>
      <w:r w:rsidR="00DA2540">
        <w:t>provizi</w:t>
      </w:r>
      <w:r w:rsidR="00E12511">
        <w:t xml:space="preserve"> za </w:t>
      </w:r>
      <w:r w:rsidR="000F0840">
        <w:t>zprostředkování Licenčních smluv a Smluv o poskytování Služby</w:t>
      </w:r>
      <w:r w:rsidR="00B50110">
        <w:t xml:space="preserve">, </w:t>
      </w:r>
      <w:r w:rsidR="00C660DA">
        <w:t>odměnu za Licenci</w:t>
      </w:r>
      <w:r w:rsidR="001F0378">
        <w:t xml:space="preserve">, </w:t>
      </w:r>
      <w:r w:rsidR="00A668FC">
        <w:t xml:space="preserve">cenu HW klíčů, </w:t>
      </w:r>
      <w:r w:rsidR="000F0840">
        <w:t xml:space="preserve">cenu za provedení Aktivací, </w:t>
      </w:r>
      <w:r w:rsidR="00B50110">
        <w:t xml:space="preserve">cenu za poskytování Služeb, </w:t>
      </w:r>
      <w:r w:rsidR="004D0C03">
        <w:t xml:space="preserve">náklady na zajištění hostingových a dalších nezbytných služeb v případě, že je Software provozován formou cloud computingu na prostředích </w:t>
      </w:r>
      <w:r w:rsidR="009C1465">
        <w:t>Poskytovatele nebo třetí osoby,</w:t>
      </w:r>
      <w:r w:rsidR="006B006D" w:rsidRPr="006B006D">
        <w:t xml:space="preserve"> </w:t>
      </w:r>
      <w:r w:rsidR="006B006D">
        <w:t>a to na celou dobu trvání Licence,</w:t>
      </w:r>
      <w:r w:rsidR="009C1465">
        <w:t xml:space="preserve"> </w:t>
      </w:r>
      <w:r w:rsidR="00B50110">
        <w:t xml:space="preserve">jakož i </w:t>
      </w:r>
      <w:r w:rsidR="00DA2540">
        <w:t xml:space="preserve">veškeré odměny, platby a jiné úhrady, které je nezbytné uhradit nebo </w:t>
      </w:r>
      <w:r w:rsidR="00E12511">
        <w:t>průběžně hradit</w:t>
      </w:r>
      <w:r w:rsidR="00DA2540">
        <w:t xml:space="preserve">, aby </w:t>
      </w:r>
      <w:r w:rsidR="00B50110">
        <w:t>Nabyvatel</w:t>
      </w:r>
      <w:r w:rsidR="00DA2540">
        <w:t xml:space="preserve"> mohl </w:t>
      </w:r>
      <w:r w:rsidR="00761FEC">
        <w:t xml:space="preserve">dle této smlouvy </w:t>
      </w:r>
      <w:r w:rsidR="000D0478">
        <w:t xml:space="preserve">a Zadávací dokumentace </w:t>
      </w:r>
      <w:r w:rsidR="00761FEC">
        <w:t xml:space="preserve">řádně </w:t>
      </w:r>
      <w:r w:rsidR="00DA2540">
        <w:t>užívat Software a čerpat Služby</w:t>
      </w:r>
      <w:r w:rsidR="009C1465">
        <w:t>.</w:t>
      </w:r>
    </w:p>
    <w:p w14:paraId="55E2CD99" w14:textId="2E7F1F8B" w:rsidR="00853FFE" w:rsidRDefault="00AF7E1F" w:rsidP="00053BC7">
      <w:pPr>
        <w:pStyle w:val="Odstavecsmlouvy"/>
      </w:pPr>
      <w:r>
        <w:t>Poskytovatel</w:t>
      </w:r>
      <w:r w:rsidR="00726B26" w:rsidRPr="004066A0">
        <w:t xml:space="preserve"> potvrzuje, že </w:t>
      </w:r>
      <w:r w:rsidR="00DA2540">
        <w:t>C</w:t>
      </w:r>
      <w:r w:rsidR="009E5E68">
        <w:t>en</w:t>
      </w:r>
      <w:r w:rsidR="00DA2540">
        <w:t xml:space="preserve">a </w:t>
      </w:r>
      <w:r w:rsidR="00053BC7">
        <w:t xml:space="preserve">plnění </w:t>
      </w:r>
      <w:r w:rsidR="00726B26" w:rsidRPr="004066A0">
        <w:t>zcela odpovíd</w:t>
      </w:r>
      <w:r w:rsidR="00DA2540">
        <w:t>á</w:t>
      </w:r>
      <w:r w:rsidR="00726B26" w:rsidRPr="004066A0">
        <w:t xml:space="preserve"> nabídce </w:t>
      </w:r>
      <w:r>
        <w:t>Poskytovatel</w:t>
      </w:r>
      <w:r w:rsidR="0098764F">
        <w:t>e</w:t>
      </w:r>
      <w:r w:rsidR="00726B26" w:rsidRPr="004066A0">
        <w:t xml:space="preserve"> předložené </w:t>
      </w:r>
      <w:r w:rsidR="00B50110">
        <w:t>Nabyvateli</w:t>
      </w:r>
      <w:r w:rsidR="0098764F">
        <w:t xml:space="preserve"> na základě </w:t>
      </w:r>
      <w:r w:rsidR="000D0478">
        <w:t>Zadávací dokumentace</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rsidR="00B50110">
        <w:t>Nabyvatel</w:t>
      </w:r>
      <w:r w:rsidR="00726B26" w:rsidRPr="004066A0">
        <w:t xml:space="preserve"> </w:t>
      </w:r>
      <w:r w:rsidR="0098764F">
        <w:t>c</w:t>
      </w:r>
      <w:r w:rsidR="00726B26" w:rsidRPr="004066A0">
        <w:t>en</w:t>
      </w:r>
      <w:r w:rsidR="00DA2540">
        <w:t>u</w:t>
      </w:r>
      <w:r w:rsidR="00726B26" w:rsidRPr="004066A0">
        <w:t xml:space="preserve"> pro </w:t>
      </w:r>
      <w:r w:rsidR="00DA2540">
        <w:t xml:space="preserve">něj </w:t>
      </w:r>
      <w:r w:rsidR="00726B26" w:rsidRPr="004066A0">
        <w:t>výhodnějš</w:t>
      </w:r>
      <w:r w:rsidR="00853FFE">
        <w:t>í.</w:t>
      </w:r>
      <w:r w:rsidR="00B50110">
        <w:t xml:space="preserve"> Vznikne-li na straně</w:t>
      </w:r>
      <w:r w:rsidR="00FC396F">
        <w:t xml:space="preserve"> </w:t>
      </w:r>
      <w:r>
        <w:t>Poskytovatel</w:t>
      </w:r>
      <w:r w:rsidR="00FC396F">
        <w:t>e,</w:t>
      </w:r>
      <w:r w:rsidR="00B50110">
        <w:t xml:space="preserve"> poskytovatele Licence nebo jiné třetí osoby v souvislosti s užíváním Software Nabyvatel</w:t>
      </w:r>
      <w:r w:rsidR="00812F2C">
        <w:t>e</w:t>
      </w:r>
      <w:r w:rsidR="00B50110">
        <w:t>m nebo čerpáním Služeb Nabyvatel</w:t>
      </w:r>
      <w:r w:rsidR="00812F2C">
        <w:t>e</w:t>
      </w:r>
      <w:r w:rsidR="00B50110">
        <w:t>m dle této smlouvy</w:t>
      </w:r>
      <w:r w:rsidR="008575C7">
        <w:t xml:space="preserve">, </w:t>
      </w:r>
      <w:r w:rsidR="00B50110">
        <w:t xml:space="preserve">dle Licenční smlouvy </w:t>
      </w:r>
      <w:r w:rsidR="008575C7">
        <w:t xml:space="preserve">nebo dle Smlouvy o poskytování Služby </w:t>
      </w:r>
      <w:r w:rsidR="00B50110">
        <w:t xml:space="preserve">jakákoli pohledávka, je </w:t>
      </w:r>
      <w:r>
        <w:t>Poskytovatel</w:t>
      </w:r>
      <w:r w:rsidR="00B50110">
        <w:t xml:space="preserve"> povinen </w:t>
      </w:r>
      <w:r w:rsidR="00FC396F">
        <w:t xml:space="preserve">takovou pohledávku </w:t>
      </w:r>
      <w:r w:rsidR="00B50110">
        <w:t>uhradit bez nároku na další úplatu nad rámec Ceny</w:t>
      </w:r>
      <w:r w:rsidR="00053BC7">
        <w:t xml:space="preserve"> plnění</w:t>
      </w:r>
      <w:r w:rsidR="00B50110">
        <w:t>.</w:t>
      </w:r>
      <w:r w:rsidR="008575C7" w:rsidRPr="008575C7">
        <w:t xml:space="preserve"> </w:t>
      </w:r>
    </w:p>
    <w:p w14:paraId="29DA9D26" w14:textId="1AD21330" w:rsidR="009C1465" w:rsidRDefault="009C1465" w:rsidP="009C1465">
      <w:pPr>
        <w:pStyle w:val="Odstavecsmlouvy"/>
      </w:pPr>
      <w:bookmarkStart w:id="12" w:name="_Ref504659601"/>
      <w:bookmarkStart w:id="13" w:name="_Ref505000092"/>
      <w:bookmarkStart w:id="14" w:name="_Ref102668302"/>
      <w:r>
        <w:t xml:space="preserve">Nabyvatel se zavazuje hradit </w:t>
      </w:r>
      <w:r>
        <w:rPr>
          <w:b/>
        </w:rPr>
        <w:t>Cenu plnění</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w:t>
      </w:r>
      <w:r w:rsidRPr="009C1465">
        <w:rPr>
          <w:b/>
        </w:rPr>
        <w:t>vždy za f</w:t>
      </w:r>
      <w:r w:rsidRPr="004E3D8D">
        <w:rPr>
          <w:b/>
        </w:rPr>
        <w:t>akturační období</w:t>
      </w:r>
      <w:r>
        <w:t xml:space="preserve">. Poskytovatel je oprávněn </w:t>
      </w:r>
      <w:r w:rsidRPr="00DE40AC">
        <w:t>vystavit fakturu nejdříve první den kalendářního</w:t>
      </w:r>
      <w:r>
        <w:t xml:space="preserve"> měsíce </w:t>
      </w:r>
      <w:r w:rsidRPr="00DE40AC">
        <w:t xml:space="preserve">následujícího po </w:t>
      </w:r>
      <w:r>
        <w:t>uplynutí fakturačního období</w:t>
      </w:r>
      <w:r w:rsidRPr="00DE40AC">
        <w:t>, ke kterému se faktura vztahuje</w:t>
      </w:r>
      <w:r>
        <w:t>.</w:t>
      </w:r>
      <w:r w:rsidRPr="000671AB">
        <w:t xml:space="preserve"> </w:t>
      </w:r>
      <w:r w:rsidRPr="0098764F">
        <w:t>Splatnost faktury je 60 dnů od data</w:t>
      </w:r>
      <w:r>
        <w:t xml:space="preserve"> vystavení</w:t>
      </w:r>
      <w:r w:rsidRPr="0098764F">
        <w:t xml:space="preserve">. </w:t>
      </w:r>
      <w:r>
        <w:t xml:space="preserve">Poskytovatel doručí fakturu Nabyvateli bez zbytečného odkladu po jejím vystavení. </w:t>
      </w:r>
      <w:r w:rsidRPr="0098764F">
        <w:t>Datum uskutečnění zdanitelného plnění bude</w:t>
      </w:r>
      <w:r>
        <w:t xml:space="preserve"> poslední den fakturačního období</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4E3D8D">
        <w:rPr>
          <w:b/>
        </w:rPr>
        <w:t>ZDPH</w:t>
      </w:r>
      <w:r>
        <w:t>“)</w:t>
      </w:r>
      <w:r w:rsidRPr="006925A2">
        <w:t xml:space="preserve">, a musí na ní být </w:t>
      </w:r>
      <w:r>
        <w:t xml:space="preserve">uvedeno fakturační období, </w:t>
      </w:r>
      <w:r w:rsidRPr="006925A2">
        <w:t>označení této smlouvy a datum splatnosti v souladu s touto smlouvou</w:t>
      </w:r>
      <w:r>
        <w:t>. Pokud faktura nesplňuje kteroukoli sjednanou náležitost</w:t>
      </w:r>
      <w:bookmarkEnd w:id="12"/>
      <w:r>
        <w:t xml:space="preserve">, </w:t>
      </w:r>
      <w:r w:rsidRPr="006925A2">
        <w:t xml:space="preserve">je </w:t>
      </w:r>
      <w:r>
        <w:t xml:space="preserve">Nabyvatel </w:t>
      </w:r>
      <w:r w:rsidRPr="006925A2">
        <w:t xml:space="preserve">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3"/>
      <w:r w:rsidRPr="00363B64">
        <w:t xml:space="preserve"> </w:t>
      </w:r>
      <w:r>
        <w:t>Jestliže Poskytovatel poskytoval fakturované plnění pouze po část fakturačního období, je oprávněn fakturovat pouze Cenu plnění přiměřeně tomu sníženou.</w:t>
      </w:r>
      <w:bookmarkEnd w:id="14"/>
    </w:p>
    <w:p w14:paraId="27C9C24E"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B50110">
        <w:t>Nabyvatel</w:t>
      </w:r>
      <w:r w:rsidR="00726B26" w:rsidRPr="006925A2">
        <w:rPr>
          <w:color w:val="000000"/>
        </w:rPr>
        <w:t xml:space="preserve"> na bankovní účet </w:t>
      </w:r>
      <w:r w:rsidR="00AF7E1F">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B50110">
        <w:t>Nabyvatel</w:t>
      </w:r>
      <w:r w:rsidR="00726B26" w:rsidRPr="006925A2">
        <w:rPr>
          <w:color w:val="000000"/>
        </w:rPr>
        <w:t>.</w:t>
      </w:r>
    </w:p>
    <w:p w14:paraId="05C4138B"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AF7E1F">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B50110">
        <w:t>Nabyvatel</w:t>
      </w:r>
      <w:r w:rsidR="00726B26" w:rsidRPr="001B5F9C">
        <w:rPr>
          <w:color w:val="000000"/>
        </w:rPr>
        <w:t xml:space="preserve"> právo uhradit za </w:t>
      </w:r>
      <w:r w:rsidR="00AF7E1F">
        <w:t>Poskytovatel</w:t>
      </w:r>
      <w:r w:rsidR="004F6C95">
        <w:t>e</w:t>
      </w:r>
      <w:r w:rsidR="00726B26" w:rsidRPr="001B5F9C">
        <w:rPr>
          <w:color w:val="000000"/>
        </w:rPr>
        <w:t xml:space="preserve"> DPH z tohoto zdanitelného plnění, aniž by byl vyzván jako ručitel správcem daně </w:t>
      </w:r>
      <w:r w:rsidR="00AF7E1F">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AF7E1F">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65B1F724" w14:textId="77777777" w:rsidR="001B5F9C" w:rsidRPr="001B5F9C" w:rsidRDefault="00726B26" w:rsidP="001B5F9C">
      <w:pPr>
        <w:pStyle w:val="Odstavecsmlouvy"/>
      </w:pPr>
      <w:r w:rsidRPr="00257643">
        <w:rPr>
          <w:color w:val="000000"/>
        </w:rPr>
        <w:t xml:space="preserve">Pokud </w:t>
      </w:r>
      <w:r w:rsidR="00B50110">
        <w:t>Nabyvatel</w:t>
      </w:r>
      <w:r w:rsidRPr="00257643">
        <w:rPr>
          <w:color w:val="000000"/>
        </w:rPr>
        <w:t xml:space="preserve"> uhradí částku ve výši DPH na účet správce daně </w:t>
      </w:r>
      <w:r w:rsidR="00AF7E1F">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AF7E1F">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2B2E9D24" w14:textId="77777777" w:rsidR="00726B26" w:rsidRPr="001B5F9C" w:rsidRDefault="00AF7E1F" w:rsidP="001B5F9C">
      <w:pPr>
        <w:pStyle w:val="Odstavecsmlouvy"/>
      </w:pPr>
      <w:r>
        <w:t>Poskytovatel</w:t>
      </w:r>
      <w:r w:rsidR="00726B26" w:rsidRPr="001B5F9C">
        <w:rPr>
          <w:color w:val="000000"/>
        </w:rPr>
        <w:t xml:space="preserve"> je oprávněn postoupit své peněžité pohledávky za </w:t>
      </w:r>
      <w:r w:rsidR="00B50110">
        <w:t>Nabyvatel</w:t>
      </w:r>
      <w:r w:rsidR="00812F2C">
        <w:t>e</w:t>
      </w:r>
      <w:r w:rsidR="004F6C95">
        <w:t>m</w:t>
      </w:r>
      <w:r w:rsidR="00726B26" w:rsidRPr="001B5F9C">
        <w:rPr>
          <w:color w:val="000000"/>
        </w:rPr>
        <w:t xml:space="preserve"> výhradně po předchozím písemném souhlasu </w:t>
      </w:r>
      <w:r w:rsidR="00B50110">
        <w:t>Nabyvatel</w:t>
      </w:r>
      <w:r w:rsidR="00726B26" w:rsidRPr="001B5F9C">
        <w:rPr>
          <w:color w:val="000000"/>
        </w:rPr>
        <w:t xml:space="preserve">, jinak je postoupení vůči </w:t>
      </w:r>
      <w:r w:rsidR="00B50110">
        <w:t>Nabyvateli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B50110">
        <w:t>Nabyvatel</w:t>
      </w:r>
      <w:r w:rsidR="00812F2C">
        <w:t>e</w:t>
      </w:r>
      <w:r w:rsidR="004F6C95">
        <w:t>m</w:t>
      </w:r>
      <w:r w:rsidR="00726B26" w:rsidRPr="001B5F9C">
        <w:rPr>
          <w:color w:val="000000"/>
        </w:rPr>
        <w:t xml:space="preserve"> výhradně na základě písemné dohody obou smluvních stran, jinak je započtení pohledávek neplatné.</w:t>
      </w:r>
    </w:p>
    <w:p w14:paraId="1625C67C" w14:textId="77777777" w:rsidR="00A865B2" w:rsidRDefault="00A865B2" w:rsidP="00A865B2">
      <w:pPr>
        <w:pStyle w:val="Nadpis1"/>
      </w:pPr>
      <w:bookmarkStart w:id="15" w:name="_Ref497897106"/>
      <w:r>
        <w:t>Mlčenlivost</w:t>
      </w:r>
    </w:p>
    <w:p w14:paraId="1A580C1D" w14:textId="77777777" w:rsidR="00642B03" w:rsidRDefault="00642B03" w:rsidP="009E5E68">
      <w:pPr>
        <w:pStyle w:val="Odstavecsmlouvy"/>
      </w:pPr>
      <w:bookmarkStart w:id="16" w:name="_Ref505066411"/>
      <w:r>
        <w:t xml:space="preserve">Poskytovatel 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 xml:space="preserve">Nabyvatel </w:t>
      </w:r>
      <w:r w:rsidRPr="00623C4F">
        <w:t>(dále jen „</w:t>
      </w:r>
      <w:r w:rsidRPr="00623C4F">
        <w:rPr>
          <w:b/>
        </w:rPr>
        <w:t>Osobní údaje</w:t>
      </w:r>
      <w:r w:rsidRPr="00623C4F">
        <w:t>“)</w:t>
      </w:r>
      <w:r>
        <w:t xml:space="preserve">. </w:t>
      </w:r>
    </w:p>
    <w:p w14:paraId="1E82300E" w14:textId="77777777" w:rsidR="009E5E68" w:rsidRPr="004D3843" w:rsidRDefault="009E5E68" w:rsidP="009E5E68">
      <w:pPr>
        <w:pStyle w:val="Odstavecsmlouvy"/>
      </w:pPr>
      <w:r>
        <w:t>S</w:t>
      </w:r>
      <w:r w:rsidRPr="004D3843">
        <w:t xml:space="preserve">trany </w:t>
      </w:r>
      <w:r>
        <w:t xml:space="preserve">této dohody </w:t>
      </w:r>
      <w:r w:rsidRPr="004D3843">
        <w:t>jsou si vědomy toho, že v rámci plnění závazků z</w:t>
      </w:r>
      <w:r>
        <w:t> této smlouvy</w:t>
      </w:r>
      <w:r w:rsidRPr="004D3843">
        <w:t>:</w:t>
      </w:r>
      <w:bookmarkEnd w:id="16"/>
    </w:p>
    <w:p w14:paraId="037A41F6" w14:textId="77777777" w:rsidR="009E5E68" w:rsidRPr="004D3843" w:rsidRDefault="009E5E68" w:rsidP="009E5E68">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44128AD" w14:textId="77777777" w:rsidR="009E5E68" w:rsidRDefault="009E5E68" w:rsidP="009E5E68">
      <w:pPr>
        <w:pStyle w:val="Psmenoodstavce"/>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w:t>
      </w:r>
      <w:r>
        <w:rPr>
          <w:bCs/>
        </w:rPr>
        <w:t xml:space="preserve">při plnění této smlouvy, </w:t>
      </w:r>
      <w:r w:rsidRPr="004D3843">
        <w:rPr>
          <w:bCs/>
        </w:rPr>
        <w:t>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F077902" w14:textId="77777777" w:rsidR="00642B03" w:rsidRDefault="00642B03" w:rsidP="00642B03">
      <w:pPr>
        <w:pStyle w:val="Odstavecsmlouvy"/>
      </w:pPr>
      <w:bookmarkStart w:id="17" w:name="_Ref497484371"/>
      <w:r>
        <w:t>Za Důvěrné informace se vždy považují:</w:t>
      </w:r>
    </w:p>
    <w:p w14:paraId="5CBA42D4" w14:textId="77777777" w:rsidR="00642B03" w:rsidRDefault="00642B03" w:rsidP="00642B03">
      <w:pPr>
        <w:pStyle w:val="Psmenoodstavce"/>
      </w:pPr>
      <w:r>
        <w:t>veškeré Osobní údaje;</w:t>
      </w:r>
    </w:p>
    <w:p w14:paraId="70A297A7" w14:textId="77777777" w:rsidR="00642B03" w:rsidRDefault="00642B03" w:rsidP="00642B03">
      <w:pPr>
        <w:pStyle w:val="Psmenoodstavce"/>
      </w:pPr>
      <w:r>
        <w:t>informace, které jako důvěrné smluvní strana výslovně označí;</w:t>
      </w:r>
    </w:p>
    <w:p w14:paraId="28A0DD4D" w14:textId="77777777" w:rsidR="00642B03" w:rsidRDefault="00642B03" w:rsidP="00642B03">
      <w:pPr>
        <w:pStyle w:val="Psmenoodstavce"/>
      </w:pPr>
      <w:r>
        <w:t>veškeré informace související se zabezpečením Důvěrných informací;</w:t>
      </w:r>
    </w:p>
    <w:p w14:paraId="3E56A1B9" w14:textId="77777777" w:rsidR="00642B03" w:rsidRDefault="00642B03" w:rsidP="00642B03">
      <w:pPr>
        <w:pStyle w:val="Psmenoodstavce"/>
      </w:pPr>
      <w:r>
        <w:t>veškeré informace související s provozem a zabezpečením zdravotnických prostředků, přístrojů, počítačových programů a dalších systémů zpracovávajících Důvěrné informace; a</w:t>
      </w:r>
    </w:p>
    <w:p w14:paraId="1C870C61" w14:textId="77777777" w:rsidR="0050141C" w:rsidRDefault="00642B03" w:rsidP="00642B03">
      <w:pPr>
        <w:pStyle w:val="Psmenoodstavce"/>
      </w:pPr>
      <w:r>
        <w:t>veškeré informace související s provozem a zabezpečením počítačových sítí a informační a komunikační infrastruktury Nabyvatele.</w:t>
      </w:r>
    </w:p>
    <w:p w14:paraId="0C32BDA8" w14:textId="77777777" w:rsidR="009E5E68" w:rsidRDefault="009E5E68" w:rsidP="009E5E68">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4C4036A" w14:textId="77777777" w:rsidR="009E5E68" w:rsidRDefault="00642B03" w:rsidP="009E5E68">
      <w:pPr>
        <w:pStyle w:val="Odstavecsmlouvy"/>
      </w:pPr>
      <w:bookmarkStart w:id="18" w:name="_Ref41464712"/>
      <w:bookmarkEnd w:id="17"/>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Nabyvatele.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Nabyvatele povinen Nabyvateli písemně prokázat existenci právního vztahu se třetí osobou splňujícího podmínky věty předchozí, a to do 10 pracovních dnů od doručení takové písemné výzvy.</w:t>
      </w:r>
      <w:bookmarkEnd w:id="18"/>
    </w:p>
    <w:p w14:paraId="095091DA" w14:textId="77777777" w:rsidR="009E5E68" w:rsidRDefault="009E5E68" w:rsidP="009E5E68">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32E9FFE1" w14:textId="77777777" w:rsidR="00642B03" w:rsidRDefault="00642B03" w:rsidP="00642B03">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E95FA33" w14:textId="77777777" w:rsidR="00642B03" w:rsidRDefault="00642B03" w:rsidP="00642B03">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F8BECD" w14:textId="77777777" w:rsidR="009E5E68" w:rsidRDefault="009E5E68" w:rsidP="009E5E68">
      <w:pPr>
        <w:pStyle w:val="Odstavecsmlouvy"/>
      </w:pPr>
      <w:r>
        <w:t xml:space="preserve">Žádným ustanovením této dohody nejsou dotčeny povinnosti </w:t>
      </w:r>
      <w:r w:rsidR="00B50110">
        <w:t>Nabyvatel</w:t>
      </w:r>
      <w:r>
        <w:t>e vyplývající z právních předpisů, zejména ze zákona č. 106/1999 Sb., o svobodném přístupu k informacím, ve znění pozdějších předpisů, a ze zákona o registru smluv.</w:t>
      </w:r>
    </w:p>
    <w:bookmarkEnd w:id="15"/>
    <w:p w14:paraId="6C0A6C10" w14:textId="55DA494B" w:rsidR="00FC7E39" w:rsidRDefault="00A865B2" w:rsidP="00BA54CA">
      <w:pPr>
        <w:pStyle w:val="Nadpis1"/>
      </w:pPr>
      <w:r w:rsidRPr="002B77A6">
        <w:t>Sankce</w:t>
      </w:r>
      <w:r w:rsidR="00524109">
        <w:t xml:space="preserve">, </w:t>
      </w:r>
      <w:r w:rsidR="004D0C03">
        <w:t>od</w:t>
      </w:r>
      <w:r w:rsidR="001F6BE7">
        <w:t xml:space="preserve">povědnost, </w:t>
      </w:r>
      <w:r w:rsidR="00524109">
        <w:t>náhrada škody</w:t>
      </w:r>
      <w:r w:rsidR="001F6BE7">
        <w:t xml:space="preserve"> a další ujednání</w:t>
      </w:r>
    </w:p>
    <w:p w14:paraId="4EF15073" w14:textId="77777777" w:rsidR="004F2036" w:rsidRDefault="00AF7E1F" w:rsidP="004F2036">
      <w:pPr>
        <w:pStyle w:val="Odstavecsmlouvy"/>
      </w:pPr>
      <w:r>
        <w:t>Poskytovatel</w:t>
      </w:r>
      <w:r w:rsidR="004F2036">
        <w:t xml:space="preserve"> odpovídá dle věty první § 2950 občanského zákoníku za škodu způsobenou neúplnou nebo nesprávnou informací, a to zejména tehdy, pokud takovou informaci poskytnul v kterémkoli dokumentu, který byl podle této smlouvy povinen zpracovat.</w:t>
      </w:r>
    </w:p>
    <w:p w14:paraId="29EAAF87" w14:textId="36ABE567" w:rsidR="00915EC3" w:rsidRDefault="00915EC3" w:rsidP="00915EC3">
      <w:pPr>
        <w:pStyle w:val="Odstavecsmlouvy"/>
      </w:pPr>
      <w:bookmarkStart w:id="19" w:name="_Ref97036211"/>
      <w:r>
        <w:t>Poskytovatel na vědomí, že Nabyvatel bude provádět testování (skenování) Software za účelem zjištění jeho kybernetických bezpečnostních zranitelností. Zjištěná kybernetická bezpečnostní zranitelnost popsaná pomocí údajů z databáze CVE (</w:t>
      </w:r>
      <w:r w:rsidRPr="00A030DF">
        <w:t>Common Vulnerabilities and Exposures</w:t>
      </w:r>
      <w:r>
        <w:t xml:space="preserve">; </w:t>
      </w:r>
      <w:r>
        <w:lastRenderedPageBreak/>
        <w:t xml:space="preserve">dostupná z </w:t>
      </w:r>
      <w:hyperlink r:id="rId14" w:history="1">
        <w:r w:rsidRPr="00EF5A13">
          <w:rPr>
            <w:rStyle w:val="Hypertextovodkaz"/>
          </w:rPr>
          <w:t>https://cve.mitre.org/</w:t>
        </w:r>
      </w:hyperlink>
      <w:r>
        <w:t xml:space="preserve">) se považuje za skrytou vadu Software, kterou je Poskytovatel povinen </w:t>
      </w:r>
      <w:r w:rsidRPr="00660EC1">
        <w:rPr>
          <w:b/>
          <w:u w:val="single"/>
        </w:rPr>
        <w:t>bezplatně</w:t>
      </w:r>
      <w:r>
        <w:t xml:space="preserve"> odstranit, </w:t>
      </w:r>
      <w:r w:rsidRPr="00BA54CA">
        <w:t xml:space="preserve">případně její odstranění </w:t>
      </w:r>
      <w:r w:rsidRPr="00BA54CA">
        <w:rPr>
          <w:b/>
          <w:u w:val="single"/>
        </w:rPr>
        <w:t>bezplatně</w:t>
      </w:r>
      <w:r w:rsidRPr="00BA54CA">
        <w:t xml:space="preserve"> zajistit u výrobce Software, resp. u výrobce proprietárního počítačového programu, který je součástí Software.</w:t>
      </w:r>
      <w:r>
        <w:t xml:space="preserve"> Závažnost takové vady (dále jen „</w:t>
      </w:r>
      <w:r w:rsidRPr="00515C36">
        <w:rPr>
          <w:b/>
        </w:rPr>
        <w:t>severita</w:t>
      </w:r>
      <w:r>
        <w:t>“) bude ohodnocena dle standardu CVSS (</w:t>
      </w:r>
      <w:r w:rsidRPr="00F96C73">
        <w:t xml:space="preserve">Common Vulnerability Scoring </w:t>
      </w:r>
      <w:r>
        <w:t xml:space="preserve">System; dostupný z </w:t>
      </w:r>
      <w:hyperlink r:id="rId15" w:history="1">
        <w:r w:rsidRPr="00EF5A13">
          <w:rPr>
            <w:rStyle w:val="Hypertextovodkaz"/>
          </w:rPr>
          <w:t>https://www.first.org/cvss/</w:t>
        </w:r>
      </w:hyperlink>
      <w:r>
        <w:t>). Odstraněním vady dle tohoto odstavce se rozumí zejména změna konfigurace, provedení aktualizace Software nebo jiného programového vybavení nebo implementace bezpečnostního opatření, které zamezí možnosti využití zjištěné zranitelnosti,</w:t>
      </w:r>
      <w:r w:rsidRPr="00D045D2">
        <w:t xml:space="preserve"> </w:t>
      </w:r>
      <w:r>
        <w:t>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Nabyvateli. Prodlení Poskytovatele se splněním jeho povinnosti dle věty předchozí se považuje za prodlení se zahájením prací na odstranění dotčené vady. Lhůty pro odstranění vady dle tohoto odstavce se sjednávají dle jejich severity následovně:</w:t>
      </w:r>
      <w:bookmarkEnd w:id="19"/>
    </w:p>
    <w:tbl>
      <w:tblPr>
        <w:tblStyle w:val="Mkatabulky"/>
        <w:tblW w:w="0" w:type="auto"/>
        <w:tblInd w:w="562" w:type="dxa"/>
        <w:tblLook w:val="04A0" w:firstRow="1" w:lastRow="0" w:firstColumn="1" w:lastColumn="0" w:noHBand="0" w:noVBand="1"/>
      </w:tblPr>
      <w:tblGrid>
        <w:gridCol w:w="1560"/>
        <w:gridCol w:w="3919"/>
        <w:gridCol w:w="4019"/>
      </w:tblGrid>
      <w:tr w:rsidR="00915EC3" w:rsidRPr="005203B5" w14:paraId="35169639" w14:textId="77777777" w:rsidTr="00F03380">
        <w:tc>
          <w:tcPr>
            <w:tcW w:w="1560" w:type="dxa"/>
          </w:tcPr>
          <w:p w14:paraId="2B5C9D3E" w14:textId="77777777" w:rsidR="00915EC3" w:rsidRPr="005203B5" w:rsidRDefault="00915EC3" w:rsidP="00F03380">
            <w:pPr>
              <w:pStyle w:val="Psmenoodstavce"/>
              <w:numPr>
                <w:ilvl w:val="0"/>
                <w:numId w:val="0"/>
              </w:numPr>
              <w:jc w:val="center"/>
              <w:rPr>
                <w:b/>
              </w:rPr>
            </w:pPr>
            <w:r w:rsidRPr="005203B5">
              <w:rPr>
                <w:b/>
              </w:rPr>
              <w:t>Úroveň zranitelnosti</w:t>
            </w:r>
          </w:p>
        </w:tc>
        <w:tc>
          <w:tcPr>
            <w:tcW w:w="3919" w:type="dxa"/>
          </w:tcPr>
          <w:p w14:paraId="1B092D24" w14:textId="77777777" w:rsidR="00915EC3" w:rsidRPr="005203B5" w:rsidRDefault="00915EC3" w:rsidP="00F03380">
            <w:pPr>
              <w:pStyle w:val="Psmenoodstavce"/>
              <w:numPr>
                <w:ilvl w:val="0"/>
                <w:numId w:val="0"/>
              </w:numPr>
              <w:jc w:val="center"/>
              <w:rPr>
                <w:b/>
              </w:rPr>
            </w:pPr>
            <w:r w:rsidRPr="005203B5">
              <w:rPr>
                <w:b/>
              </w:rPr>
              <w:t>Severita vady</w:t>
            </w:r>
          </w:p>
        </w:tc>
        <w:tc>
          <w:tcPr>
            <w:tcW w:w="4019" w:type="dxa"/>
          </w:tcPr>
          <w:p w14:paraId="4A157AD8" w14:textId="77777777" w:rsidR="00915EC3" w:rsidRPr="005203B5" w:rsidRDefault="00915EC3" w:rsidP="00F03380">
            <w:pPr>
              <w:pStyle w:val="Psmenoodstavce"/>
              <w:numPr>
                <w:ilvl w:val="0"/>
                <w:numId w:val="0"/>
              </w:numPr>
              <w:jc w:val="center"/>
              <w:rPr>
                <w:b/>
              </w:rPr>
            </w:pPr>
            <w:r w:rsidRPr="005203B5">
              <w:rPr>
                <w:b/>
              </w:rPr>
              <w:t>Lhůta, ve které je Prodávající povinen vadu odstranit</w:t>
            </w:r>
          </w:p>
        </w:tc>
      </w:tr>
      <w:tr w:rsidR="00915EC3" w14:paraId="00A6C5DE" w14:textId="77777777" w:rsidTr="00F03380">
        <w:tc>
          <w:tcPr>
            <w:tcW w:w="1560" w:type="dxa"/>
            <w:shd w:val="clear" w:color="auto" w:fill="92D050"/>
          </w:tcPr>
          <w:p w14:paraId="3E8DD5CF" w14:textId="77777777" w:rsidR="00915EC3" w:rsidRDefault="00915EC3" w:rsidP="00F03380">
            <w:pPr>
              <w:pStyle w:val="Psmenoodstavce"/>
              <w:numPr>
                <w:ilvl w:val="0"/>
                <w:numId w:val="0"/>
              </w:numPr>
            </w:pPr>
            <w:r>
              <w:t>Nízká</w:t>
            </w:r>
          </w:p>
        </w:tc>
        <w:tc>
          <w:tcPr>
            <w:tcW w:w="3919" w:type="dxa"/>
          </w:tcPr>
          <w:p w14:paraId="62503C84" w14:textId="77777777" w:rsidR="00915EC3" w:rsidRDefault="00915EC3" w:rsidP="00F03380">
            <w:pPr>
              <w:pStyle w:val="Psmenoodstavce"/>
              <w:numPr>
                <w:ilvl w:val="0"/>
                <w:numId w:val="0"/>
              </w:numPr>
            </w:pPr>
            <w:r>
              <w:t>Menší než 4,0</w:t>
            </w:r>
          </w:p>
        </w:tc>
        <w:tc>
          <w:tcPr>
            <w:tcW w:w="4019" w:type="dxa"/>
          </w:tcPr>
          <w:p w14:paraId="3B2E7762" w14:textId="77777777" w:rsidR="00915EC3" w:rsidRDefault="00915EC3" w:rsidP="00F03380">
            <w:pPr>
              <w:pStyle w:val="Psmenoodstavce"/>
              <w:numPr>
                <w:ilvl w:val="0"/>
                <w:numId w:val="0"/>
              </w:numPr>
            </w:pPr>
            <w:r>
              <w:t>2 měsíce</w:t>
            </w:r>
          </w:p>
        </w:tc>
      </w:tr>
      <w:tr w:rsidR="00915EC3" w14:paraId="1FCD5E3A" w14:textId="77777777" w:rsidTr="00F03380">
        <w:tc>
          <w:tcPr>
            <w:tcW w:w="1560" w:type="dxa"/>
            <w:shd w:val="clear" w:color="auto" w:fill="FFFF00"/>
          </w:tcPr>
          <w:p w14:paraId="19019245" w14:textId="77777777" w:rsidR="00915EC3" w:rsidRDefault="00915EC3" w:rsidP="00F03380">
            <w:pPr>
              <w:pStyle w:val="Psmenoodstavce"/>
              <w:numPr>
                <w:ilvl w:val="0"/>
                <w:numId w:val="0"/>
              </w:numPr>
            </w:pPr>
            <w:r>
              <w:t>Střední</w:t>
            </w:r>
          </w:p>
        </w:tc>
        <w:tc>
          <w:tcPr>
            <w:tcW w:w="3919" w:type="dxa"/>
          </w:tcPr>
          <w:p w14:paraId="6C551285" w14:textId="77777777" w:rsidR="00915EC3" w:rsidRDefault="00915EC3" w:rsidP="00F03380">
            <w:pPr>
              <w:pStyle w:val="Psmenoodstavce"/>
              <w:numPr>
                <w:ilvl w:val="0"/>
                <w:numId w:val="0"/>
              </w:numPr>
            </w:pPr>
            <w:r>
              <w:t>Větší nebo rovna 4,0 a menší než 7,0</w:t>
            </w:r>
          </w:p>
        </w:tc>
        <w:tc>
          <w:tcPr>
            <w:tcW w:w="4019" w:type="dxa"/>
          </w:tcPr>
          <w:p w14:paraId="16B4592A" w14:textId="77777777" w:rsidR="00915EC3" w:rsidRDefault="00915EC3" w:rsidP="00F03380">
            <w:pPr>
              <w:pStyle w:val="Psmenoodstavce"/>
              <w:numPr>
                <w:ilvl w:val="0"/>
                <w:numId w:val="0"/>
              </w:numPr>
            </w:pPr>
            <w:r>
              <w:t>1 měsíc</w:t>
            </w:r>
          </w:p>
        </w:tc>
      </w:tr>
      <w:tr w:rsidR="00915EC3" w14:paraId="491C16D7" w14:textId="77777777" w:rsidTr="00F03380">
        <w:tc>
          <w:tcPr>
            <w:tcW w:w="1560" w:type="dxa"/>
            <w:shd w:val="clear" w:color="auto" w:fill="FFC000"/>
          </w:tcPr>
          <w:p w14:paraId="24A492DD" w14:textId="77777777" w:rsidR="00915EC3" w:rsidRDefault="00915EC3" w:rsidP="00F03380">
            <w:pPr>
              <w:pStyle w:val="Psmenoodstavce"/>
              <w:numPr>
                <w:ilvl w:val="0"/>
                <w:numId w:val="0"/>
              </w:numPr>
            </w:pPr>
            <w:r>
              <w:t>Vysoká</w:t>
            </w:r>
          </w:p>
        </w:tc>
        <w:tc>
          <w:tcPr>
            <w:tcW w:w="3919" w:type="dxa"/>
          </w:tcPr>
          <w:p w14:paraId="58A3002D" w14:textId="77777777" w:rsidR="00915EC3" w:rsidRDefault="00915EC3" w:rsidP="00F03380">
            <w:pPr>
              <w:pStyle w:val="Psmenoodstavce"/>
              <w:numPr>
                <w:ilvl w:val="0"/>
                <w:numId w:val="0"/>
              </w:numPr>
            </w:pPr>
            <w:r>
              <w:t>Větší nebo rovna 7,0 a menší než 9,0</w:t>
            </w:r>
          </w:p>
        </w:tc>
        <w:tc>
          <w:tcPr>
            <w:tcW w:w="4019" w:type="dxa"/>
          </w:tcPr>
          <w:p w14:paraId="004A9AAA" w14:textId="77777777" w:rsidR="00915EC3" w:rsidRDefault="00915EC3" w:rsidP="00F03380">
            <w:pPr>
              <w:pStyle w:val="Psmenoodstavce"/>
              <w:numPr>
                <w:ilvl w:val="0"/>
                <w:numId w:val="0"/>
              </w:numPr>
            </w:pPr>
            <w:r>
              <w:t>10 pracovních dnů</w:t>
            </w:r>
          </w:p>
        </w:tc>
      </w:tr>
      <w:tr w:rsidR="00915EC3" w14:paraId="14CC245D" w14:textId="77777777" w:rsidTr="00F03380">
        <w:tc>
          <w:tcPr>
            <w:tcW w:w="1560" w:type="dxa"/>
            <w:shd w:val="clear" w:color="auto" w:fill="FF0000"/>
          </w:tcPr>
          <w:p w14:paraId="55A520F4" w14:textId="77777777" w:rsidR="00915EC3" w:rsidRDefault="00915EC3" w:rsidP="00F03380">
            <w:pPr>
              <w:pStyle w:val="Psmenoodstavce"/>
              <w:numPr>
                <w:ilvl w:val="0"/>
                <w:numId w:val="0"/>
              </w:numPr>
            </w:pPr>
            <w:r>
              <w:t>Kritická</w:t>
            </w:r>
          </w:p>
        </w:tc>
        <w:tc>
          <w:tcPr>
            <w:tcW w:w="3919" w:type="dxa"/>
          </w:tcPr>
          <w:p w14:paraId="3AEE199E" w14:textId="77777777" w:rsidR="00915EC3" w:rsidRDefault="00915EC3" w:rsidP="00F03380">
            <w:pPr>
              <w:pStyle w:val="Psmenoodstavce"/>
              <w:numPr>
                <w:ilvl w:val="0"/>
                <w:numId w:val="0"/>
              </w:numPr>
            </w:pPr>
            <w:r>
              <w:t>Větší nebo rovna 9,0</w:t>
            </w:r>
          </w:p>
        </w:tc>
        <w:tc>
          <w:tcPr>
            <w:tcW w:w="4019" w:type="dxa"/>
          </w:tcPr>
          <w:p w14:paraId="5B59883B" w14:textId="77777777" w:rsidR="00915EC3" w:rsidRDefault="00915EC3" w:rsidP="00F03380">
            <w:pPr>
              <w:pStyle w:val="Psmenoodstavce"/>
              <w:numPr>
                <w:ilvl w:val="0"/>
                <w:numId w:val="0"/>
              </w:numPr>
            </w:pPr>
            <w:r>
              <w:t>5 pracovních dnů</w:t>
            </w:r>
          </w:p>
        </w:tc>
      </w:tr>
    </w:tbl>
    <w:p w14:paraId="769BD0F5" w14:textId="77777777" w:rsidR="00915EC3" w:rsidRPr="002B77A6" w:rsidRDefault="00915EC3" w:rsidP="00915EC3">
      <w:pPr>
        <w:rPr>
          <w:b/>
          <w:bCs/>
        </w:rPr>
      </w:pPr>
    </w:p>
    <w:p w14:paraId="3F36D5B6" w14:textId="0B4DF7A0" w:rsidR="003606FD" w:rsidRDefault="003606FD" w:rsidP="003606FD">
      <w:pPr>
        <w:pStyle w:val="Odstavecsmlouvy"/>
      </w:pPr>
      <w:r>
        <w:t xml:space="preserve">Poskytovatel </w:t>
      </w:r>
      <w:r w:rsidRPr="00A72619">
        <w:t xml:space="preserve">se pro případ prodlení se zahájením prací na odstranění vady </w:t>
      </w:r>
      <w:r>
        <w:t xml:space="preserve">dle odst. </w:t>
      </w:r>
      <w:r>
        <w:fldChar w:fldCharType="begin"/>
      </w:r>
      <w:r>
        <w:instrText xml:space="preserve"> REF _Ref97036211 \n \h </w:instrText>
      </w:r>
      <w:r>
        <w:fldChar w:fldCharType="separate"/>
      </w:r>
      <w:r w:rsidR="00295025">
        <w:t>VI.2</w:t>
      </w:r>
      <w:r>
        <w:fldChar w:fldCharType="end"/>
      </w:r>
      <w:r>
        <w:t xml:space="preserve"> této smlouvy </w:t>
      </w:r>
      <w:r w:rsidRPr="00A72619">
        <w:t xml:space="preserve">zavazuje uhradit </w:t>
      </w:r>
      <w:r>
        <w:t xml:space="preserve">Nabyvateli </w:t>
      </w:r>
      <w:r w:rsidRPr="00A72619">
        <w:t xml:space="preserve">smluvní pokutu ve výši </w:t>
      </w:r>
      <w:r>
        <w:t xml:space="preserve">1000,- Kč (slovy: jedentisíc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zavazuje uhradit </w:t>
      </w:r>
      <w:r>
        <w:t xml:space="preserve">Nabyvateli </w:t>
      </w:r>
      <w:r w:rsidRPr="00A72619">
        <w:t xml:space="preserve">smluvní pokutu ve výši </w:t>
      </w:r>
      <w:r>
        <w:t>5000,- Kč (slovy: pěttisíc korun českých), a to za každou takovou vadu a</w:t>
      </w:r>
      <w:r w:rsidRPr="00A72619">
        <w:t xml:space="preserve"> za každý i započatý kalendářní den prodlení.</w:t>
      </w:r>
    </w:p>
    <w:p w14:paraId="1282B096" w14:textId="76BDD6B9" w:rsidR="009C1465" w:rsidRDefault="009C1465" w:rsidP="009C1465">
      <w:pPr>
        <w:pStyle w:val="Odstavecsmlouvy"/>
      </w:pP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z důvodů ležících na straně Poskytovatele</w:t>
      </w:r>
      <w:r>
        <w:rPr>
          <w:b/>
        </w:rPr>
        <w:t xml:space="preserve"> nebo jím ovládané osoby</w:t>
      </w:r>
      <w:r>
        <w:t xml:space="preserve"> povinen </w:t>
      </w:r>
      <w:r w:rsidRPr="00A72619">
        <w:t xml:space="preserve">uhradit </w:t>
      </w:r>
      <w:r>
        <w:t xml:space="preserve">Nabyvateli </w:t>
      </w:r>
      <w:r w:rsidRPr="00A72619">
        <w:t xml:space="preserve">smluvní pokutu ve výši </w:t>
      </w:r>
      <w:r>
        <w:t xml:space="preserve">1000,- Kč (slovy: jedentisíc korun českých), a to za každý </w:t>
      </w:r>
      <w:r w:rsidRPr="00A72619">
        <w:t xml:space="preserve">i započatý kalendářní den </w:t>
      </w:r>
      <w:r>
        <w:t xml:space="preserve">trvání takového </w:t>
      </w:r>
      <w:r w:rsidRPr="00A72619">
        <w:t>prodlení.</w:t>
      </w:r>
      <w:r w:rsidRPr="009C1465">
        <w:t xml:space="preserve"> </w:t>
      </w: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 xml:space="preserve">z důvodů ležících na straně </w:t>
      </w:r>
      <w:r>
        <w:rPr>
          <w:b/>
        </w:rPr>
        <w:t>poskytovatele hostingu, který</w:t>
      </w:r>
      <w:r w:rsidRPr="009C1465">
        <w:rPr>
          <w:b/>
        </w:rPr>
        <w:t xml:space="preserve"> není totožný s osobou Poskytovatele ani není osobou ovládanou Poskytovatelem</w:t>
      </w:r>
      <w:r>
        <w:rPr>
          <w:b/>
        </w:rPr>
        <w:t>,</w:t>
      </w:r>
      <w:r>
        <w:t xml:space="preserve"> povinen </w:t>
      </w:r>
      <w:r w:rsidRPr="00A72619">
        <w:t xml:space="preserve">uhradit </w:t>
      </w:r>
      <w:r>
        <w:t xml:space="preserve">Nabyvateli </w:t>
      </w:r>
      <w:r w:rsidRPr="00A72619">
        <w:t xml:space="preserve">smluvní pokutu ve výši </w:t>
      </w:r>
      <w:r>
        <w:t xml:space="preserve">200,- Kč (slovy: dvěstě korun českých), a to za každý </w:t>
      </w:r>
      <w:r w:rsidRPr="00A72619">
        <w:t xml:space="preserve">i započatý kalendářní den </w:t>
      </w:r>
      <w:r>
        <w:t xml:space="preserve">trvání takového </w:t>
      </w:r>
      <w:r w:rsidRPr="00A72619">
        <w:t xml:space="preserve">prodlení. </w:t>
      </w:r>
    </w:p>
    <w:p w14:paraId="2C1DF776" w14:textId="05D0CCC3" w:rsidR="001F6BE7" w:rsidRPr="00BA54CA" w:rsidRDefault="007801E7" w:rsidP="00517639">
      <w:pPr>
        <w:pStyle w:val="Odstavecsmlouvy"/>
        <w:rPr>
          <w:color w:val="000000"/>
        </w:rPr>
      </w:pPr>
      <w:r>
        <w:t xml:space="preserve">V případě, že Nabyvateli bude </w:t>
      </w:r>
      <w:r w:rsidR="00255AE6">
        <w:t xml:space="preserve">z důvodu ležícího na straně Poskytovatele </w:t>
      </w:r>
      <w:r>
        <w:t xml:space="preserve">znemožněno užívat </w:t>
      </w:r>
      <w:r w:rsidR="008575C7">
        <w:t xml:space="preserve">odpovídající </w:t>
      </w:r>
      <w:r>
        <w:t xml:space="preserve">Software v rozsahu </w:t>
      </w:r>
      <w:r w:rsidR="008575C7">
        <w:t>nebo za podmínek sjednaných</w:t>
      </w:r>
      <w:r>
        <w:t xml:space="preserve"> touto smlouvou nebo Licenční smlouvou, je Poskytovatel povinen zaplatit Nabyvateli smluvní pokutu ve výši 1% z Ceny </w:t>
      </w:r>
      <w:r w:rsidR="00053BC7">
        <w:t xml:space="preserve">plnění </w:t>
      </w:r>
      <w:r>
        <w:t>včetně DPH</w:t>
      </w:r>
      <w:r w:rsidR="008575C7">
        <w:t>, a to za každý takový případ a</w:t>
      </w:r>
      <w:r>
        <w:t xml:space="preserve"> za každý </w:t>
      </w:r>
      <w:r w:rsidR="008575C7">
        <w:t xml:space="preserve">kalendářní </w:t>
      </w:r>
      <w:r>
        <w:t>den, po který takový stav trvá.</w:t>
      </w:r>
      <w:r w:rsidRPr="007801E7">
        <w:t xml:space="preserve"> </w:t>
      </w:r>
      <w:r w:rsidR="008575C7">
        <w:t>V případě, že Nabyvateli bude z důvodu ležícího na straně Poskytovatele znemožněno čerpat Služby v rozsahu nebo za podmínek sjednaných touto smlouvou nebo příslušnou Smlouvou o poskytování Služby, je Poskytovatel povinen zaplatit Nabyvateli smluvní pokutu ve výši 1% z</w:t>
      </w:r>
      <w:r w:rsidR="00053BC7">
        <w:t> </w:t>
      </w:r>
      <w:r w:rsidR="008575C7">
        <w:t>Ceny</w:t>
      </w:r>
      <w:r w:rsidR="00053BC7">
        <w:t xml:space="preserve"> </w:t>
      </w:r>
      <w:r w:rsidR="00053BC7">
        <w:lastRenderedPageBreak/>
        <w:t>plnění</w:t>
      </w:r>
      <w:r w:rsidR="008575C7">
        <w:t xml:space="preserve"> včetně DPH, a to za každý takový případ a za každý kalendářní den, po který takový stav trvá.</w:t>
      </w:r>
    </w:p>
    <w:p w14:paraId="07B63AEC" w14:textId="77777777" w:rsidR="00965362" w:rsidRDefault="00965362" w:rsidP="00965362">
      <w:pPr>
        <w:pStyle w:val="Odstavecsmlouvy"/>
      </w:pPr>
      <w:r>
        <w:t>V případě, že bude Poskytovatel</w:t>
      </w:r>
      <w:r w:rsidRPr="002B77A6">
        <w:t xml:space="preserve"> </w:t>
      </w:r>
      <w:r>
        <w:t>v prodlení se splněním kterékoli své povinnosti sjednané v této smlouvě nebo v její příloze č. 1,</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započatý den prodlení.</w:t>
      </w:r>
    </w:p>
    <w:p w14:paraId="7CF92923" w14:textId="77777777" w:rsidR="00965362" w:rsidRDefault="00965362" w:rsidP="00965362">
      <w:pPr>
        <w:pStyle w:val="Odstavecsmlouvy"/>
      </w:pPr>
      <w:r>
        <w:t>Poruší-li některá smluvní strana povinnosti týkající se ochrany Důvěrných informací a vyplývající z této smlouvy, je povinna zaplatit druhé smluvní straně smluvní pokutu ve výši 50.000,</w:t>
      </w:r>
      <w:r>
        <w:noBreakHyphen/>
        <w:t> Kč (slovy: padesáttisíc korun českých) za každé takové porušení povinnosti.</w:t>
      </w:r>
    </w:p>
    <w:p w14:paraId="4E8C0FE5" w14:textId="224672A8" w:rsidR="00642B03" w:rsidRDefault="00642B03" w:rsidP="00642B03">
      <w:pPr>
        <w:pStyle w:val="Odstavecsmlouvy"/>
      </w:pPr>
      <w:r>
        <w:t xml:space="preserve">V případě, že bude Poskytovatel v prodlení s předáním informací dle odst. </w:t>
      </w:r>
      <w:r>
        <w:fldChar w:fldCharType="begin"/>
      </w:r>
      <w:r>
        <w:instrText xml:space="preserve"> REF _Ref41464712 \n \h </w:instrText>
      </w:r>
      <w:r>
        <w:fldChar w:fldCharType="separate"/>
      </w:r>
      <w:r w:rsidR="00295025">
        <w:t>V.5</w:t>
      </w:r>
      <w:r>
        <w:fldChar w:fldCharType="end"/>
      </w:r>
      <w:r>
        <w:t xml:space="preserve"> této smlouvy,</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41359837" w14:textId="77777777" w:rsidR="00374DA6" w:rsidRDefault="00374DA6" w:rsidP="00374DA6">
      <w:pPr>
        <w:pStyle w:val="Odstavecsmlouvy"/>
      </w:pPr>
      <w:r>
        <w:t>Splatnost smluvních pokut je 21 dnů od doručení výzvy k jejich uhrazení.</w:t>
      </w:r>
    </w:p>
    <w:p w14:paraId="3E050E8D" w14:textId="77777777" w:rsidR="00524109" w:rsidRDefault="00524109" w:rsidP="00A865B2">
      <w:pPr>
        <w:pStyle w:val="Odstavecsmlouvy"/>
      </w:pPr>
      <w:r w:rsidRPr="00512E1A">
        <w:t xml:space="preserve">Pokud </w:t>
      </w:r>
      <w:r w:rsidR="00AF7E1F">
        <w:t>Poskytovatel</w:t>
      </w:r>
      <w:r>
        <w:t xml:space="preserve"> </w:t>
      </w:r>
      <w:r w:rsidRPr="00512E1A">
        <w:t xml:space="preserve">poruší svou povinnost </w:t>
      </w:r>
      <w:r w:rsidR="000C3405">
        <w:t xml:space="preserve">sjednanou v </w:t>
      </w:r>
      <w:r w:rsidRPr="00512E1A">
        <w:t>t</w:t>
      </w:r>
      <w:r>
        <w:t xml:space="preserve">éto </w:t>
      </w:r>
      <w:r w:rsidR="000C3405">
        <w:t>smlouvě</w:t>
      </w:r>
      <w:r w:rsidRPr="00512E1A">
        <w:t xml:space="preserve">, nahradí </w:t>
      </w:r>
      <w:r w:rsidR="00B50110">
        <w:t>Nabyvatel</w:t>
      </w:r>
      <w:r>
        <w:t xml:space="preserve">i </w:t>
      </w:r>
      <w:r w:rsidRPr="00512E1A">
        <w:t xml:space="preserve">újmu způsobenou tímto porušením povinnosti </w:t>
      </w:r>
      <w:r w:rsidR="00B50110">
        <w:t>Nabyvatel</w:t>
      </w:r>
      <w:r>
        <w:t xml:space="preserve">i a </w:t>
      </w:r>
      <w:r w:rsidR="000C3405">
        <w:t xml:space="preserve">rovněž </w:t>
      </w:r>
      <w:r>
        <w:t>újmu způsobenou tímto porušením povinnosti třetím osobám</w:t>
      </w:r>
      <w:r w:rsidRPr="00512E1A">
        <w:t xml:space="preserve">, </w:t>
      </w:r>
      <w:r w:rsidR="000C3405">
        <w:t xml:space="preserve">jestliže </w:t>
      </w:r>
      <w:r w:rsidRPr="00512E1A">
        <w:t xml:space="preserve">za ni </w:t>
      </w:r>
      <w:r w:rsidR="00B50110">
        <w:t>Nabyvatel</w:t>
      </w:r>
      <w:r w:rsidRPr="00512E1A">
        <w:t xml:space="preserve"> odpovídá. Pokud bude </w:t>
      </w:r>
      <w:r w:rsidR="00B50110">
        <w:t>Nabyvatel</w:t>
      </w:r>
      <w:r>
        <w:t xml:space="preserve">i </w:t>
      </w:r>
      <w:r w:rsidRPr="00512E1A">
        <w:t xml:space="preserve">v důsledku tohoto porušení povinnosti uložena jakákoli sankce, nahradí ji </w:t>
      </w:r>
      <w:r w:rsidR="00AF7E1F">
        <w:t>Poskytovatel</w:t>
      </w:r>
      <w:r>
        <w:t xml:space="preserve"> </w:t>
      </w:r>
      <w:r w:rsidR="00B50110">
        <w:t>Nabyvatel</w:t>
      </w:r>
      <w:r>
        <w:t xml:space="preserve">i </w:t>
      </w:r>
      <w:r w:rsidRPr="00512E1A">
        <w:t>v plné výši.</w:t>
      </w:r>
    </w:p>
    <w:p w14:paraId="5EA73F20" w14:textId="77777777" w:rsidR="00A865B2" w:rsidRPr="00C92C8B" w:rsidRDefault="00A865B2" w:rsidP="00A865B2">
      <w:pPr>
        <w:pStyle w:val="Odstavecsmlouvy"/>
      </w:pPr>
      <w:r w:rsidRPr="00C92C8B">
        <w:t xml:space="preserve">Uplatněná či již uhrazená smluvní pokuta nemá vliv na uplatnění nároku </w:t>
      </w:r>
      <w:r w:rsidR="00B50110">
        <w:t>Nabyvatel</w:t>
      </w:r>
      <w:r>
        <w:t>e</w:t>
      </w:r>
      <w:r w:rsidRPr="00C92C8B">
        <w:t xml:space="preserve"> na náhradu škody, kterou lze vymáhat samostatně vedle smluvní pokuty v celém rozsahu, tj. částka smluvní pokuty se do výše náhrady škody nezapočítává. Zaplacením smluvní pokuty není dotčena povinnost </w:t>
      </w:r>
      <w:r w:rsidR="00AF7E1F">
        <w:t>Poskytovatel</w:t>
      </w:r>
      <w:r>
        <w:t>e</w:t>
      </w:r>
      <w:r w:rsidRPr="00C92C8B">
        <w:t xml:space="preserve"> splnit závazky vyplývající z této smlouvy.</w:t>
      </w:r>
    </w:p>
    <w:p w14:paraId="5B858724" w14:textId="77777777" w:rsidR="00A865B2" w:rsidRDefault="00B50110" w:rsidP="00A865B2">
      <w:pPr>
        <w:pStyle w:val="Odstavecsmlouvy"/>
      </w:pPr>
      <w:r>
        <w:t>Nabyvatel</w:t>
      </w:r>
      <w:r w:rsidR="00A865B2" w:rsidRPr="00C92C8B">
        <w:t xml:space="preserve"> se v případě prodlení s úhradou </w:t>
      </w:r>
      <w:r w:rsidR="00524109">
        <w:t xml:space="preserve">kterékoli ceny, k jejíž úhradě je dle této smlouvy povinen, </w:t>
      </w:r>
      <w:r w:rsidR="00A865B2" w:rsidRPr="00C92C8B">
        <w:t xml:space="preserve">zavazuje uhradit </w:t>
      </w:r>
      <w:r w:rsidR="00AF7E1F">
        <w:t>Poskytovatel</w:t>
      </w:r>
      <w:r w:rsidR="00A865B2">
        <w:t>i</w:t>
      </w:r>
      <w:r w:rsidR="00A865B2" w:rsidRPr="00C92C8B">
        <w:t xml:space="preserve"> úroky z prodlení ve výši stanovené platnými právními předpisy. </w:t>
      </w:r>
    </w:p>
    <w:p w14:paraId="52A5AA17" w14:textId="77777777" w:rsidR="00A865B2" w:rsidRDefault="00A865B2" w:rsidP="00A865B2">
      <w:pPr>
        <w:pStyle w:val="Odstavecsmlouvy"/>
      </w:pPr>
      <w:r w:rsidRPr="00C92C8B">
        <w:t xml:space="preserve">Za podstatné porušení této smlouvy, které opravňuje </w:t>
      </w:r>
      <w:r w:rsidR="00B50110">
        <w:t>Nabyvatel</w:t>
      </w:r>
      <w:r>
        <w:t>e</w:t>
      </w:r>
      <w:r w:rsidRPr="00C92C8B">
        <w:t xml:space="preserve"> k odstoupení od této smlouvy, se považuje prodlení </w:t>
      </w:r>
      <w:r w:rsidR="00AF7E1F">
        <w:t>Poskytovatel</w:t>
      </w:r>
      <w:r>
        <w:t>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p>
    <w:p w14:paraId="64945D8F" w14:textId="77777777" w:rsidR="00726B26" w:rsidRDefault="00726B26" w:rsidP="00C92C8B">
      <w:pPr>
        <w:pStyle w:val="Nadpis1"/>
      </w:pPr>
      <w:r w:rsidRPr="002B77A6">
        <w:t>Závěrečná ujednání</w:t>
      </w:r>
    </w:p>
    <w:p w14:paraId="71F59F8D" w14:textId="0D2AB538" w:rsidR="00C468BC" w:rsidRDefault="00AF7E1F" w:rsidP="00C468BC">
      <w:pPr>
        <w:pStyle w:val="Odstavecsmlouvy"/>
      </w:pPr>
      <w:r>
        <w:t>Poskytovatel</w:t>
      </w:r>
      <w:r w:rsidR="00C468BC">
        <w:t xml:space="preserve"> s ohledem na povinnosti </w:t>
      </w:r>
      <w:r w:rsidR="00B50110">
        <w:t>Nabyvatel</w:t>
      </w:r>
      <w:r w:rsidR="00232668">
        <w:t>e</w:t>
      </w:r>
      <w:r w:rsidR="00C468BC">
        <w:t xml:space="preserve"> vyplývající zejména </w:t>
      </w:r>
      <w:r w:rsidR="00642B03">
        <w:t>ze zákona č. 340/2015 Sb., zákon o registru smluv, ve znění pozdějších předpisů (dále jen „</w:t>
      </w:r>
      <w:r w:rsidR="00642B03" w:rsidRPr="02240A88">
        <w:rPr>
          <w:b/>
          <w:bCs/>
        </w:rPr>
        <w:t>zákon o registru smluv</w:t>
      </w:r>
      <w:r w:rsidR="00642B03">
        <w:t>“),</w:t>
      </w:r>
      <w:r w:rsidR="00C468BC">
        <w:t xml:space="preserve"> souhlasí se zveřejněním veškerých informací týkajících se závazkového vztahu založeného mezi </w:t>
      </w:r>
      <w:r>
        <w:t>Poskytovatel</w:t>
      </w:r>
      <w:r w:rsidR="00232668">
        <w:t>e</w:t>
      </w:r>
      <w:r w:rsidR="00C468BC">
        <w:t xml:space="preserve">m a </w:t>
      </w:r>
      <w:r w:rsidR="00B50110">
        <w:t>Nabyvatel</w:t>
      </w:r>
      <w:r w:rsidR="00232668">
        <w:t>e</w:t>
      </w:r>
      <w:r w:rsidR="00C468BC">
        <w:t xml:space="preserve">m touto smlouvou, zejména vlastního obsahu této smlouvy. Zveřejnění provede </w:t>
      </w:r>
      <w:r w:rsidR="00B50110">
        <w:t>Nabyvatel</w:t>
      </w:r>
      <w:r w:rsidR="00C468BC">
        <w:t xml:space="preserve">. </w:t>
      </w:r>
    </w:p>
    <w:p w14:paraId="77418B61" w14:textId="4895DE8C" w:rsidR="00C468BC" w:rsidRDefault="00827111" w:rsidP="00C92C8B">
      <w:pPr>
        <w:pStyle w:val="Odstavecsmlouvy"/>
      </w:pPr>
      <w:r>
        <w:t>Tato smlouva nabývá účinnosti dnem zveřejnění v registru smluv podle zákona o registru smluv.</w:t>
      </w:r>
      <w:r w:rsidR="00C660DA">
        <w:t xml:space="preserve"> Tato smlouva se uzavírá </w:t>
      </w:r>
      <w:r w:rsidR="00C660DA" w:rsidRPr="00D6248F">
        <w:rPr>
          <w:b/>
        </w:rPr>
        <w:t xml:space="preserve">na dobu určitou </w:t>
      </w:r>
      <w:r w:rsidR="007D74D4">
        <w:rPr>
          <w:b/>
        </w:rPr>
        <w:t>48 měsíců</w:t>
      </w:r>
      <w:r w:rsidR="00C660DA">
        <w:t>.</w:t>
      </w:r>
    </w:p>
    <w:p w14:paraId="429E4A6C"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256EA2FB" w14:textId="77777777" w:rsidR="00C92C8B" w:rsidRDefault="00726B26" w:rsidP="00C92C8B">
      <w:pPr>
        <w:pStyle w:val="Odstavecsmlouvy"/>
      </w:pPr>
      <w:r w:rsidRPr="002B77A6">
        <w:t>Osob</w:t>
      </w:r>
      <w:r>
        <w:t>y</w:t>
      </w:r>
      <w:r w:rsidRPr="002B77A6">
        <w:t xml:space="preserve"> podepisující tuto smlouvu jménem </w:t>
      </w:r>
      <w:r w:rsidR="00AF7E1F">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66B2A54F" w14:textId="77777777" w:rsidR="001D71E3" w:rsidRPr="001D71E3" w:rsidRDefault="00AF7E1F"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43C5DDD3" w14:textId="77777777" w:rsidR="001D71E3" w:rsidRDefault="00AF7E1F" w:rsidP="001D71E3">
      <w:pPr>
        <w:pStyle w:val="Odstavecsmlouvy"/>
      </w:pPr>
      <w:r>
        <w:lastRenderedPageBreak/>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FBDA5EA"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1007167" w14:textId="27B08200" w:rsidR="00026997" w:rsidRPr="007E416F" w:rsidRDefault="00E33579" w:rsidP="00026997">
      <w:pPr>
        <w:pStyle w:val="Odstavecsmlouvy"/>
      </w:pPr>
      <w:r w:rsidRPr="001D71E3">
        <w:rPr>
          <w:snapToGrid w:val="0"/>
        </w:rPr>
        <w:t xml:space="preserve">Tato </w:t>
      </w:r>
      <w:r>
        <w:rPr>
          <w:snapToGrid w:val="0"/>
        </w:rPr>
        <w:t>smlouva</w:t>
      </w:r>
      <w:r w:rsidRPr="00684BFA">
        <w:rPr>
          <w:snapToGrid w:val="0"/>
        </w:rPr>
        <w:t xml:space="preserve"> je sepsána ve </w:t>
      </w:r>
      <w:r w:rsidR="00FE58CE">
        <w:rPr>
          <w:snapToGrid w:val="0"/>
        </w:rPr>
        <w:t xml:space="preserve">dvou </w:t>
      </w:r>
      <w:r w:rsidRPr="00684BFA">
        <w:rPr>
          <w:snapToGrid w:val="0"/>
        </w:rPr>
        <w:t xml:space="preserve">vyhotoveních stejné platnosti a závaznosti, přičemž </w:t>
      </w:r>
      <w:r w:rsidR="00DC1CD3">
        <w:rPr>
          <w:snapToGrid w:val="0"/>
        </w:rPr>
        <w:t>Poskytovatel</w:t>
      </w:r>
      <w:r>
        <w:rPr>
          <w:snapToGrid w:val="0"/>
        </w:rPr>
        <w:t xml:space="preserve"> obdrží jedno vyhotovení a </w:t>
      </w:r>
      <w:r w:rsidR="00DC1CD3">
        <w:rPr>
          <w:snapToGrid w:val="0"/>
        </w:rPr>
        <w:t>Objednatel</w:t>
      </w:r>
      <w:r>
        <w:rPr>
          <w:snapToGrid w:val="0"/>
        </w:rPr>
        <w:t xml:space="preserve"> obdrží </w:t>
      </w:r>
      <w:r w:rsidR="00FE58CE">
        <w:rPr>
          <w:snapToGrid w:val="0"/>
        </w:rPr>
        <w:t>jedn</w:t>
      </w:r>
      <w:r w:rsidR="000C409D">
        <w:rPr>
          <w:snapToGrid w:val="0"/>
        </w:rPr>
        <w:t>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017E795D" w14:textId="77777777" w:rsidR="007D74D4" w:rsidRDefault="00621D0C" w:rsidP="00E44AD1">
      <w:pPr>
        <w:pStyle w:val="Odstavecsmlouvy"/>
      </w:pPr>
      <w:r>
        <w:t>N</w:t>
      </w:r>
      <w:r w:rsidR="00834341">
        <w:t>edílnou součástí této smlouvy</w:t>
      </w:r>
      <w:r w:rsidR="007D74D4">
        <w:t xml:space="preserve"> jsou následující přílohy:</w:t>
      </w:r>
    </w:p>
    <w:p w14:paraId="523B3C2F" w14:textId="6C48FA8A" w:rsidR="00621D0C" w:rsidRDefault="007D74D4" w:rsidP="007D74D4">
      <w:pPr>
        <w:pStyle w:val="Psmenoodstavce"/>
      </w:pPr>
      <w:r>
        <w:t>P</w:t>
      </w:r>
      <w:r w:rsidR="00621D0C">
        <w:t>říloha č. 1</w:t>
      </w:r>
      <w:r>
        <w:t xml:space="preserve"> – Specifikace Software;</w:t>
      </w:r>
    </w:p>
    <w:p w14:paraId="64C594F5" w14:textId="43CAC4EA" w:rsidR="007D74D4" w:rsidRDefault="007D74D4" w:rsidP="007D74D4">
      <w:pPr>
        <w:pStyle w:val="Psmenoodstavce"/>
      </w:pPr>
      <w:r>
        <w:t>Příloha č. 2 – Specifikace služby.</w:t>
      </w:r>
    </w:p>
    <w:p w14:paraId="7582CD81" w14:textId="77777777"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3612C23A" w14:textId="5344C11B" w:rsidR="00642B03" w:rsidRDefault="002650C5" w:rsidP="002650C5">
      <w:pPr>
        <w:tabs>
          <w:tab w:val="center" w:pos="2552"/>
          <w:tab w:val="center" w:pos="7938"/>
        </w:tabs>
      </w:pPr>
      <w:r>
        <w:tab/>
      </w:r>
      <w:r w:rsidRPr="00D722DC">
        <w:t>V</w:t>
      </w:r>
      <w:r w:rsidRPr="00301F37">
        <w:rPr>
          <w:sz w:val="24"/>
        </w:rPr>
        <w:t> </w:t>
      </w:r>
      <w:r w:rsidR="000C409D">
        <w:t>Ostravě-Mariánské Hory</w:t>
      </w:r>
      <w:r w:rsidRPr="00301F37">
        <w:t xml:space="preserve"> </w:t>
      </w:r>
      <w:r w:rsidRPr="00D722DC">
        <w:t>dne</w:t>
      </w:r>
      <w:r>
        <w:tab/>
      </w:r>
      <w:r w:rsidRPr="00D722DC">
        <w:t>V Brně dne</w:t>
      </w:r>
    </w:p>
    <w:p w14:paraId="1B0F9887" w14:textId="28F27B4A" w:rsidR="002650C5" w:rsidRDefault="002650C5" w:rsidP="002650C5">
      <w:pPr>
        <w:tabs>
          <w:tab w:val="center" w:pos="2552"/>
          <w:tab w:val="center" w:pos="7938"/>
        </w:tabs>
      </w:pPr>
    </w:p>
    <w:p w14:paraId="79708F16" w14:textId="1AF5D7F7" w:rsidR="002650C5" w:rsidRDefault="002650C5" w:rsidP="002650C5">
      <w:pPr>
        <w:tabs>
          <w:tab w:val="center" w:pos="2552"/>
          <w:tab w:val="center" w:pos="7938"/>
        </w:tabs>
      </w:pPr>
    </w:p>
    <w:p w14:paraId="646AE04A" w14:textId="709C5A15" w:rsidR="002650C5" w:rsidRDefault="002650C5" w:rsidP="002650C5">
      <w:pPr>
        <w:tabs>
          <w:tab w:val="center" w:pos="2552"/>
          <w:tab w:val="center" w:pos="7938"/>
        </w:tabs>
      </w:pPr>
    </w:p>
    <w:p w14:paraId="3938DBA7" w14:textId="2AD686C2" w:rsidR="002650C5" w:rsidRDefault="002650C5" w:rsidP="002650C5">
      <w:pPr>
        <w:tabs>
          <w:tab w:val="center" w:pos="2552"/>
          <w:tab w:val="center" w:pos="7938"/>
        </w:tabs>
      </w:pPr>
      <w:r>
        <w:tab/>
        <w:t>____________________________</w:t>
      </w:r>
      <w:r>
        <w:tab/>
        <w:t>__________________________</w:t>
      </w:r>
    </w:p>
    <w:p w14:paraId="59037B95" w14:textId="4FBCE7C5" w:rsidR="00206368" w:rsidRDefault="00206368" w:rsidP="002650C5">
      <w:pPr>
        <w:tabs>
          <w:tab w:val="center" w:pos="2552"/>
          <w:tab w:val="center" w:pos="7938"/>
        </w:tabs>
      </w:pPr>
      <w:r>
        <w:tab/>
        <w:t>Za Poskytovatele</w:t>
      </w:r>
      <w:r>
        <w:tab/>
        <w:t>za Nabyvatele</w:t>
      </w:r>
      <w:r w:rsidR="002650C5">
        <w:tab/>
      </w:r>
    </w:p>
    <w:p w14:paraId="02FC93BA" w14:textId="7E55323B" w:rsidR="002650C5" w:rsidRDefault="00206368" w:rsidP="002650C5">
      <w:pPr>
        <w:tabs>
          <w:tab w:val="center" w:pos="2552"/>
          <w:tab w:val="center" w:pos="7938"/>
        </w:tabs>
        <w:rPr>
          <w:b/>
        </w:rPr>
      </w:pPr>
      <w:r>
        <w:tab/>
      </w:r>
      <w:r w:rsidR="005A2358" w:rsidRPr="005A2358">
        <w:rPr>
          <w:b/>
        </w:rPr>
        <w:t>First information systems, s.r.o.</w:t>
      </w:r>
      <w:r>
        <w:rPr>
          <w:b/>
        </w:rPr>
        <w:tab/>
      </w:r>
      <w:r w:rsidRPr="00206368">
        <w:rPr>
          <w:b/>
        </w:rPr>
        <w:t>Fakultní nemocnice Brno</w:t>
      </w:r>
    </w:p>
    <w:p w14:paraId="092C84CD" w14:textId="124F0B80" w:rsidR="00206368" w:rsidRDefault="00206368" w:rsidP="002650C5">
      <w:pPr>
        <w:tabs>
          <w:tab w:val="center" w:pos="2552"/>
          <w:tab w:val="center" w:pos="7938"/>
        </w:tabs>
      </w:pPr>
      <w:r>
        <w:rPr>
          <w:b/>
        </w:rPr>
        <w:tab/>
      </w:r>
      <w:r w:rsidR="000C409D">
        <w:t>Ing. Boris Kalisch, výkonný ředitel</w:t>
      </w:r>
      <w:r w:rsidR="0033010D">
        <w:t>,</w:t>
      </w:r>
      <w:r w:rsidR="000C409D">
        <w:t xml:space="preserve"> na základě plné moci</w:t>
      </w:r>
      <w:r>
        <w:tab/>
      </w:r>
      <w:r w:rsidRPr="00D722DC">
        <w:t xml:space="preserve">MUDr. </w:t>
      </w:r>
      <w:r>
        <w:t>Ivo Rovný</w:t>
      </w:r>
      <w:r w:rsidRPr="00D722DC">
        <w:t xml:space="preserve">, </w:t>
      </w:r>
      <w:r>
        <w:t>MBA</w:t>
      </w:r>
      <w:r w:rsidRPr="00D722DC">
        <w:t>, ředitel</w:t>
      </w:r>
    </w:p>
    <w:p w14:paraId="7CCE5A63" w14:textId="77777777" w:rsidR="00642B03" w:rsidRPr="001D71E3" w:rsidRDefault="00642B03" w:rsidP="00642B03">
      <w:pPr>
        <w:pStyle w:val="Odstavecsmlouvy"/>
        <w:numPr>
          <w:ilvl w:val="0"/>
          <w:numId w:val="0"/>
        </w:numPr>
        <w:ind w:left="567" w:hanging="567"/>
      </w:pPr>
    </w:p>
    <w:p w14:paraId="136E90DD" w14:textId="77777777" w:rsidR="00726B26" w:rsidRPr="000729CF" w:rsidRDefault="000729CF" w:rsidP="000729CF">
      <w:pPr>
        <w:jc w:val="center"/>
        <w:rPr>
          <w:b/>
        </w:rPr>
      </w:pPr>
      <w:r>
        <w:br w:type="page"/>
      </w:r>
      <w:r w:rsidRPr="000729CF">
        <w:rPr>
          <w:b/>
        </w:rPr>
        <w:lastRenderedPageBreak/>
        <w:t>PŘÍLOHA Č. 1</w:t>
      </w:r>
    </w:p>
    <w:p w14:paraId="13B81C5E" w14:textId="77777777" w:rsidR="000729CF" w:rsidRPr="000729CF" w:rsidRDefault="000729CF" w:rsidP="000729CF">
      <w:pPr>
        <w:jc w:val="center"/>
        <w:rPr>
          <w:b/>
        </w:rPr>
      </w:pPr>
    </w:p>
    <w:p w14:paraId="192510D3" w14:textId="5DA1390D" w:rsidR="000729CF" w:rsidRDefault="000729CF" w:rsidP="000729CF">
      <w:pPr>
        <w:jc w:val="center"/>
        <w:rPr>
          <w:b/>
        </w:rPr>
      </w:pPr>
      <w:r w:rsidRPr="000729CF">
        <w:rPr>
          <w:b/>
        </w:rPr>
        <w:t xml:space="preserve">Detailní specifikace </w:t>
      </w:r>
      <w:r w:rsidR="00232668">
        <w:rPr>
          <w:b/>
        </w:rPr>
        <w:t>Software</w:t>
      </w:r>
      <w:r w:rsidR="00E44AD1">
        <w:rPr>
          <w:b/>
        </w:rPr>
        <w:t xml:space="preserve">, </w:t>
      </w:r>
      <w:r w:rsidR="00B05304">
        <w:rPr>
          <w:b/>
        </w:rPr>
        <w:t>Licenc</w:t>
      </w:r>
      <w:r w:rsidR="00642B03">
        <w:rPr>
          <w:b/>
        </w:rPr>
        <w:t>í</w:t>
      </w:r>
    </w:p>
    <w:p w14:paraId="3E033DDA" w14:textId="77777777" w:rsidR="00642B03" w:rsidRDefault="00642B03" w:rsidP="00642B03"/>
    <w:p w14:paraId="4F511E62" w14:textId="77777777" w:rsidR="00453185" w:rsidRDefault="00453185" w:rsidP="00453185">
      <w:pPr>
        <w:spacing w:before="120" w:line="240" w:lineRule="auto"/>
        <w:ind w:right="238"/>
        <w:rPr>
          <w:b/>
        </w:rPr>
      </w:pPr>
      <w:r>
        <w:rPr>
          <w:bCs/>
        </w:rPr>
        <w:t xml:space="preserve">Modul </w:t>
      </w:r>
      <w:r w:rsidRPr="00453185">
        <w:rPr>
          <w:b/>
        </w:rPr>
        <w:t>Elektronický stavební deník</w:t>
      </w:r>
      <w:r>
        <w:rPr>
          <w:bCs/>
        </w:rPr>
        <w:t xml:space="preserve"> </w:t>
      </w:r>
      <w:r w:rsidRPr="00963CC5">
        <w:t xml:space="preserve">je </w:t>
      </w:r>
      <w:r w:rsidRPr="00963CC5">
        <w:rPr>
          <w:u w:val="single"/>
        </w:rPr>
        <w:t>programován v souladu s platnými předpisy a aktuální legislativou</w:t>
      </w:r>
      <w:r w:rsidRPr="00963CC5">
        <w:t>. J</w:t>
      </w:r>
      <w:r w:rsidRPr="00630BB0">
        <w:t xml:space="preserve">e určen pro vedení stavebního deníku na stavbě tak, jak jste zvyklí, jen ho převádí do elektronické podoby a připojuje výhody s tímto spojené. S vašimi daty můžete pracovat kdykoli a kdekoli budete potřebovat. Webovou aplikaci Elektronický stavební deník můžete používat na svém počítači nebo notebooku a mobilní aplikaci můžete používat na </w:t>
      </w:r>
      <w:r>
        <w:t xml:space="preserve">Vašem </w:t>
      </w:r>
      <w:r w:rsidRPr="00630BB0">
        <w:t xml:space="preserve">mobilním </w:t>
      </w:r>
      <w:r>
        <w:t>zařízení i v offline režimu</w:t>
      </w:r>
      <w:r w:rsidRPr="00630BB0">
        <w:t>.</w:t>
      </w:r>
    </w:p>
    <w:p w14:paraId="76076971" w14:textId="77777777" w:rsidR="00453185" w:rsidRPr="00630BB0" w:rsidRDefault="00453185" w:rsidP="00453185">
      <w:pPr>
        <w:spacing w:before="120" w:line="240" w:lineRule="auto"/>
        <w:ind w:right="238"/>
        <w:rPr>
          <w:b/>
        </w:rPr>
      </w:pPr>
      <w:r w:rsidRPr="00630BB0">
        <w:t>Všechny oprávněné osoby mohou číst a vkládat denní záznamy v souladu se svými kompetencemi, aniž by se navzájem omezovaly. Mohou tak okamžitě reagovat na vzniklou situaci a přijímat potřebná opatření. Do Elektronického stavebního deníku můžete vkládat fotografie a další přílohy. Velikost jednotlivých fotek a příloh není nijak omezená. Denní protokol v </w:t>
      </w:r>
      <w:r>
        <w:t>PDF</w:t>
      </w:r>
      <w:r w:rsidRPr="00630BB0">
        <w:t xml:space="preserve"> obsahuje i tyto přílohy.</w:t>
      </w:r>
      <w:r>
        <w:t xml:space="preserve"> Výstup do PDF je automaticky chráněn elektronickou pečetí, která jej chrání proti případným změnám.</w:t>
      </w:r>
    </w:p>
    <w:p w14:paraId="15651E12" w14:textId="77777777" w:rsidR="00453185" w:rsidRDefault="00453185" w:rsidP="00453185">
      <w:pPr>
        <w:spacing w:before="120" w:line="240" w:lineRule="auto"/>
        <w:ind w:right="238"/>
        <w:rPr>
          <w:b/>
        </w:rPr>
      </w:pPr>
      <w:r>
        <w:t xml:space="preserve">Zápisy můžete diktovat, kopírovat a následně upravovat dle potřeby. Provedené práce či další záznamy můžete lokalizovat přímo do výkresu dan části stavby. Na stavbě můžete mít i více stavebních deníků. </w:t>
      </w:r>
    </w:p>
    <w:p w14:paraId="633F627E" w14:textId="77777777" w:rsidR="00453185" w:rsidRPr="00630BB0" w:rsidRDefault="00453185" w:rsidP="00453185">
      <w:pPr>
        <w:spacing w:before="120" w:line="240" w:lineRule="auto"/>
        <w:ind w:right="238"/>
        <w:jc w:val="left"/>
        <w:rPr>
          <w:b/>
        </w:rPr>
      </w:pPr>
      <w:r>
        <w:t>Aplikace buildary.online podporuje Elektronický podpis a také vložení Elektronického autorizačního razítka odpovědných osob.</w:t>
      </w:r>
    </w:p>
    <w:p w14:paraId="11B26055" w14:textId="77777777" w:rsidR="00453185" w:rsidRDefault="00453185" w:rsidP="00453185">
      <w:pPr>
        <w:spacing w:before="120" w:line="240" w:lineRule="auto"/>
        <w:ind w:right="238"/>
        <w:rPr>
          <w:bCs/>
        </w:rPr>
      </w:pPr>
    </w:p>
    <w:p w14:paraId="03264738" w14:textId="77777777" w:rsidR="00453185" w:rsidRDefault="00453185" w:rsidP="00453185">
      <w:pPr>
        <w:spacing w:before="120" w:line="240" w:lineRule="auto"/>
        <w:ind w:right="238"/>
        <w:rPr>
          <w:b/>
        </w:rPr>
      </w:pPr>
      <w:r>
        <w:rPr>
          <w:bCs/>
        </w:rPr>
        <w:t>M</w:t>
      </w:r>
      <w:r w:rsidRPr="00630BB0">
        <w:rPr>
          <w:bCs/>
        </w:rPr>
        <w:t xml:space="preserve">odul </w:t>
      </w:r>
      <w:r w:rsidRPr="00453185">
        <w:rPr>
          <w:b/>
        </w:rPr>
        <w:t>Management úkolů</w:t>
      </w:r>
      <w:r w:rsidRPr="00630BB0">
        <w:rPr>
          <w:bCs/>
          <w:i/>
          <w:iCs/>
        </w:rPr>
        <w:t xml:space="preserve"> </w:t>
      </w:r>
      <w:r w:rsidRPr="00630BB0">
        <w:t>je určen pro řízení stavby pomocí zadávání a sledování úkolů stavby, přehledy a upozornění na změny těchto úloh</w:t>
      </w:r>
      <w:r>
        <w:t>. J</w:t>
      </w:r>
      <w:r w:rsidRPr="00630BB0">
        <w:t xml:space="preserve">ednou z hlavních předností tohoto modulu je možnost úkol lokalizovat značkami ve výkresu. </w:t>
      </w:r>
      <w:r>
        <w:t xml:space="preserve">Nabízí také přehledné sledování stavu a termínů plněných úkolů. </w:t>
      </w:r>
    </w:p>
    <w:p w14:paraId="6E86D481" w14:textId="77777777" w:rsidR="00453185" w:rsidRPr="00630BB0" w:rsidRDefault="00453185" w:rsidP="00453185">
      <w:pPr>
        <w:spacing w:before="120" w:line="240" w:lineRule="auto"/>
        <w:ind w:right="238"/>
        <w:rPr>
          <w:bCs/>
          <w:i/>
          <w:iCs/>
        </w:rPr>
      </w:pPr>
      <w:r w:rsidRPr="00630BB0">
        <w:t>Často se používá pro zápisy z kontrolních dní, případně pro evidenci vad a nedodělků na stavbě. K tomuto modulu máme také mobilní aplikaci, pomocí které zadáváte úkoly přímo při prohlídce stavby</w:t>
      </w:r>
      <w:r>
        <w:t xml:space="preserve"> s možností práce offline.</w:t>
      </w:r>
    </w:p>
    <w:p w14:paraId="45935CAA" w14:textId="77777777" w:rsidR="00453185" w:rsidRDefault="00453185" w:rsidP="00453185">
      <w:pPr>
        <w:spacing w:before="120" w:line="240" w:lineRule="auto"/>
        <w:ind w:right="238"/>
        <w:rPr>
          <w:bCs/>
        </w:rPr>
      </w:pPr>
    </w:p>
    <w:p w14:paraId="4156C3A5" w14:textId="77777777" w:rsidR="00453185" w:rsidRDefault="00453185" w:rsidP="00453185">
      <w:pPr>
        <w:spacing w:before="120" w:line="240" w:lineRule="auto"/>
        <w:ind w:right="238"/>
        <w:rPr>
          <w:b/>
        </w:rPr>
      </w:pPr>
      <w:r>
        <w:rPr>
          <w:bCs/>
        </w:rPr>
        <w:t>M</w:t>
      </w:r>
      <w:r w:rsidRPr="00630BB0">
        <w:rPr>
          <w:bCs/>
        </w:rPr>
        <w:t xml:space="preserve">odul </w:t>
      </w:r>
      <w:r w:rsidRPr="00453185">
        <w:rPr>
          <w:b/>
        </w:rPr>
        <w:t>Soupisy provedených prací</w:t>
      </w:r>
      <w:r w:rsidRPr="00630BB0">
        <w:rPr>
          <w:bCs/>
          <w:i/>
          <w:iCs/>
        </w:rPr>
        <w:t xml:space="preserve"> </w:t>
      </w:r>
      <w:r w:rsidRPr="00630BB0">
        <w:t>je určen k vytváření podkladů pro vystavování faktur za práce provedené na stavbě, slouží jako podklad pro průběžnou fakturaci a měl by dokumentovat aktuální stav rozpracovanosti stavby k určitému datu. Maximálně omezuje chybovost celého procesu schvalování čerpání položek rozpočtu.</w:t>
      </w:r>
      <w:r>
        <w:t xml:space="preserve"> Můžete využít také schvalování postupné, či kontrolu rozpracovanosti stavby i na úrovni podzhotovitele.</w:t>
      </w:r>
    </w:p>
    <w:p w14:paraId="389C5B45" w14:textId="77777777" w:rsidR="00453185" w:rsidRDefault="00453185" w:rsidP="00453185">
      <w:pPr>
        <w:spacing w:before="120" w:line="240" w:lineRule="auto"/>
        <w:ind w:right="238"/>
        <w:rPr>
          <w:b/>
        </w:rPr>
      </w:pPr>
      <w:r>
        <w:t>V aplikaci máte znázorněnu přehlednou a grafickou aktuální prostavěnost v daném období či přehledy fakturace po jednotlivých měsících. Velkou výhodou je práce s jedním souborem rozpočtu, včetně případných dodatků v online prostředí, kde probíhá zadání či schvalování čerpání. Každý účastník vidí pouze svá data a provádí jen konkrétní operace dle přidělených práv.</w:t>
      </w:r>
    </w:p>
    <w:p w14:paraId="61664719" w14:textId="77777777" w:rsidR="00453185" w:rsidRPr="00630BB0" w:rsidRDefault="00453185" w:rsidP="00453185">
      <w:pPr>
        <w:spacing w:before="120" w:line="240" w:lineRule="auto"/>
        <w:ind w:right="238"/>
        <w:rPr>
          <w:b/>
        </w:rPr>
      </w:pPr>
      <w:r>
        <w:t>Výstup do PDF je automaticky chráněn elektronickou pečetí, která jej chrání proti případným změnám.</w:t>
      </w:r>
    </w:p>
    <w:p w14:paraId="67EFCE98" w14:textId="77777777" w:rsidR="00453185" w:rsidRDefault="00453185" w:rsidP="00453185">
      <w:pPr>
        <w:spacing w:before="120" w:line="240" w:lineRule="auto"/>
        <w:ind w:right="238"/>
        <w:rPr>
          <w:b/>
          <w:bCs/>
        </w:rPr>
      </w:pPr>
    </w:p>
    <w:p w14:paraId="75D59686" w14:textId="77777777" w:rsidR="00453185" w:rsidRDefault="00453185" w:rsidP="00453185">
      <w:pPr>
        <w:spacing w:before="120" w:line="240" w:lineRule="auto"/>
        <w:ind w:right="238"/>
        <w:rPr>
          <w:b/>
          <w:bCs/>
        </w:rPr>
      </w:pPr>
      <w:r w:rsidRPr="001E7E7B">
        <w:t>K aplikaci získáte automaticky</w:t>
      </w:r>
      <w:r>
        <w:rPr>
          <w:bCs/>
        </w:rPr>
        <w:t>:</w:t>
      </w:r>
    </w:p>
    <w:p w14:paraId="1DFC95CE" w14:textId="77777777" w:rsidR="00453185" w:rsidRPr="00453185" w:rsidRDefault="00453185" w:rsidP="00453185">
      <w:pPr>
        <w:pStyle w:val="Odstavecseseznamem"/>
        <w:numPr>
          <w:ilvl w:val="0"/>
          <w:numId w:val="26"/>
        </w:numPr>
        <w:spacing w:before="120" w:after="0" w:line="288" w:lineRule="auto"/>
        <w:ind w:left="714" w:right="238" w:hanging="357"/>
        <w:outlineLvl w:val="0"/>
        <w:rPr>
          <w:rFonts w:ascii="Arial" w:hAnsi="Arial"/>
          <w:b/>
          <w:bCs/>
        </w:rPr>
      </w:pPr>
      <w:r w:rsidRPr="00453185">
        <w:rPr>
          <w:rFonts w:ascii="Arial" w:hAnsi="Arial"/>
          <w:bCs/>
        </w:rPr>
        <w:t>Každý uživatel může využít svůj přístup na neomezeném počtu zařízení.</w:t>
      </w:r>
    </w:p>
    <w:p w14:paraId="7E0BD4E0" w14:textId="77777777" w:rsidR="00453185" w:rsidRPr="00453185" w:rsidRDefault="00453185" w:rsidP="00453185">
      <w:pPr>
        <w:pStyle w:val="Odstavecseseznamem"/>
        <w:numPr>
          <w:ilvl w:val="0"/>
          <w:numId w:val="26"/>
        </w:numPr>
        <w:spacing w:before="120" w:after="0" w:line="288" w:lineRule="auto"/>
        <w:ind w:left="714" w:right="238" w:hanging="357"/>
        <w:outlineLvl w:val="0"/>
        <w:rPr>
          <w:rFonts w:ascii="Arial" w:hAnsi="Arial"/>
          <w:b/>
          <w:bCs/>
        </w:rPr>
      </w:pPr>
      <w:r w:rsidRPr="00453185">
        <w:rPr>
          <w:rFonts w:ascii="Arial" w:hAnsi="Arial"/>
          <w:bCs/>
        </w:rPr>
        <w:t>Po celou dobu užívání aplikace získáváte veškeré aktualizace zdarma, včetně informací o novinkách v aktualizacích.</w:t>
      </w:r>
    </w:p>
    <w:p w14:paraId="444FB5DA" w14:textId="77777777" w:rsidR="00453185" w:rsidRPr="00453185" w:rsidRDefault="00453185" w:rsidP="00453185">
      <w:pPr>
        <w:pStyle w:val="Odstavecseseznamem"/>
        <w:numPr>
          <w:ilvl w:val="0"/>
          <w:numId w:val="26"/>
        </w:numPr>
        <w:spacing w:before="120" w:after="0" w:line="288" w:lineRule="auto"/>
        <w:ind w:left="714" w:right="238" w:hanging="357"/>
        <w:outlineLvl w:val="0"/>
        <w:rPr>
          <w:rFonts w:ascii="Arial" w:hAnsi="Arial"/>
          <w:b/>
          <w:bCs/>
        </w:rPr>
      </w:pPr>
      <w:r w:rsidRPr="00453185">
        <w:rPr>
          <w:rFonts w:ascii="Arial" w:hAnsi="Arial"/>
          <w:bCs/>
        </w:rPr>
        <w:t>Uživatel získá také přístup k mobilním aplikacím pro zjednodušení práce na stavbě.</w:t>
      </w:r>
    </w:p>
    <w:p w14:paraId="50E238CA" w14:textId="5B22BE8C" w:rsidR="00C660DA" w:rsidRPr="00453185" w:rsidRDefault="00C660DA"/>
    <w:p w14:paraId="5EF4F931" w14:textId="0DEF46CC" w:rsidR="00206368" w:rsidRDefault="00206368"/>
    <w:p w14:paraId="6BB29E9C" w14:textId="1F2EFCA6" w:rsidR="00206368" w:rsidRPr="000729CF" w:rsidRDefault="00206368" w:rsidP="00206368">
      <w:pPr>
        <w:jc w:val="center"/>
        <w:rPr>
          <w:b/>
        </w:rPr>
      </w:pPr>
      <w:r w:rsidRPr="000729CF">
        <w:rPr>
          <w:b/>
        </w:rPr>
        <w:lastRenderedPageBreak/>
        <w:t xml:space="preserve">PŘÍLOHA Č. </w:t>
      </w:r>
      <w:r>
        <w:rPr>
          <w:b/>
        </w:rPr>
        <w:t>2</w:t>
      </w:r>
    </w:p>
    <w:p w14:paraId="3E7BB7F7" w14:textId="77777777" w:rsidR="00206368" w:rsidRPr="000729CF" w:rsidRDefault="00206368" w:rsidP="00206368">
      <w:pPr>
        <w:jc w:val="center"/>
        <w:rPr>
          <w:b/>
        </w:rPr>
      </w:pPr>
    </w:p>
    <w:p w14:paraId="2B4D4AC9" w14:textId="2B7B1E80" w:rsidR="00206368" w:rsidRDefault="00206368" w:rsidP="00206368">
      <w:pPr>
        <w:jc w:val="center"/>
        <w:rPr>
          <w:b/>
        </w:rPr>
      </w:pPr>
      <w:r w:rsidRPr="000729CF">
        <w:rPr>
          <w:b/>
        </w:rPr>
        <w:t xml:space="preserve">Detailní specifikace </w:t>
      </w:r>
      <w:r>
        <w:rPr>
          <w:b/>
        </w:rPr>
        <w:t>služby</w:t>
      </w:r>
    </w:p>
    <w:p w14:paraId="2D4DEDD1" w14:textId="4F16C13B" w:rsidR="00206368" w:rsidRDefault="00206368" w:rsidP="00206368">
      <w:pPr>
        <w:rPr>
          <w:b/>
        </w:rPr>
      </w:pPr>
      <w:r>
        <w:rPr>
          <w:b/>
        </w:rPr>
        <w:t>Součástí ceny plnění dle odst. IV. 1 smlouvy je:</w:t>
      </w:r>
    </w:p>
    <w:p w14:paraId="2B3EB5E8" w14:textId="2C04F49C" w:rsidR="00206368" w:rsidRDefault="00206368" w:rsidP="00206368">
      <w:r>
        <w:t xml:space="preserve">Helpdesk </w:t>
      </w:r>
      <w:r w:rsidRPr="00C510E1">
        <w:t>hotline formou e-mailu nebo telefonicky v běžných pracovních hodinách (v pracovních dnech od 8:00 do 16:00</w:t>
      </w:r>
    </w:p>
    <w:p w14:paraId="1C3E25A5" w14:textId="61E7FC30" w:rsidR="00206368" w:rsidRPr="00453185" w:rsidRDefault="00206368" w:rsidP="00206368">
      <w:r>
        <w:t>1. školení uživatelů v délce 5 hodin</w:t>
      </w:r>
    </w:p>
    <w:p w14:paraId="708D686E" w14:textId="77777777" w:rsidR="00453185" w:rsidRDefault="00453185" w:rsidP="00206368"/>
    <w:p w14:paraId="69D86642" w14:textId="4930CF4C" w:rsidR="00206368" w:rsidRDefault="00206368" w:rsidP="00206368">
      <w:r>
        <w:t>Ad Hoc služby:</w:t>
      </w:r>
    </w:p>
    <w:tbl>
      <w:tblPr>
        <w:tblW w:w="9460" w:type="dxa"/>
        <w:tblCellMar>
          <w:left w:w="70" w:type="dxa"/>
          <w:right w:w="70" w:type="dxa"/>
        </w:tblCellMar>
        <w:tblLook w:val="04A0" w:firstRow="1" w:lastRow="0" w:firstColumn="1" w:lastColumn="0" w:noHBand="0" w:noVBand="1"/>
      </w:tblPr>
      <w:tblGrid>
        <w:gridCol w:w="7078"/>
        <w:gridCol w:w="2382"/>
      </w:tblGrid>
      <w:tr w:rsidR="00206368" w:rsidRPr="00C510E1" w14:paraId="447DF0AE" w14:textId="77777777" w:rsidTr="00453185">
        <w:trPr>
          <w:trHeight w:val="636"/>
        </w:trPr>
        <w:tc>
          <w:tcPr>
            <w:tcW w:w="70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C48B0C" w14:textId="77777777" w:rsidR="00206368" w:rsidRPr="00C510E1" w:rsidRDefault="00206368" w:rsidP="00DB7650">
            <w:pPr>
              <w:jc w:val="left"/>
              <w:rPr>
                <w:rFonts w:cs="Calibri"/>
                <w:color w:val="000000"/>
                <w:szCs w:val="24"/>
              </w:rPr>
            </w:pPr>
            <w:r w:rsidRPr="00C510E1">
              <w:rPr>
                <w:rFonts w:cs="Calibri"/>
                <w:color w:val="000000"/>
                <w:szCs w:val="24"/>
              </w:rPr>
              <w:t>Odborná konzultace ** a práce u zákazníka – započatá hodina</w:t>
            </w:r>
            <w:r w:rsidRPr="00C510E1">
              <w:rPr>
                <w:rFonts w:cs="Calibri"/>
                <w:color w:val="000000"/>
                <w:szCs w:val="24"/>
              </w:rPr>
              <w:br/>
              <w:t>(Minimální fakturace 3 hod)</w:t>
            </w:r>
          </w:p>
        </w:tc>
        <w:tc>
          <w:tcPr>
            <w:tcW w:w="2382" w:type="dxa"/>
            <w:tcBorders>
              <w:top w:val="single" w:sz="8" w:space="0" w:color="auto"/>
              <w:left w:val="nil"/>
              <w:bottom w:val="single" w:sz="4" w:space="0" w:color="auto"/>
              <w:right w:val="single" w:sz="8" w:space="0" w:color="auto"/>
            </w:tcBorders>
            <w:shd w:val="clear" w:color="auto" w:fill="auto"/>
            <w:vAlign w:val="center"/>
            <w:hideMark/>
          </w:tcPr>
          <w:p w14:paraId="32175754" w14:textId="77777777" w:rsidR="00206368" w:rsidRPr="00C510E1" w:rsidRDefault="00206368" w:rsidP="00DB7650">
            <w:pPr>
              <w:jc w:val="right"/>
              <w:rPr>
                <w:rFonts w:cs="Calibri"/>
                <w:color w:val="000000"/>
                <w:szCs w:val="24"/>
              </w:rPr>
            </w:pPr>
            <w:r>
              <w:rPr>
                <w:rFonts w:cs="Calibri"/>
                <w:color w:val="000000"/>
                <w:szCs w:val="24"/>
              </w:rPr>
              <w:t>2 000</w:t>
            </w:r>
            <w:r w:rsidRPr="00C510E1">
              <w:rPr>
                <w:rFonts w:cs="Calibri"/>
                <w:color w:val="000000"/>
                <w:szCs w:val="24"/>
              </w:rPr>
              <w:t xml:space="preserve"> CZK/ čl.hod *</w:t>
            </w:r>
          </w:p>
        </w:tc>
      </w:tr>
      <w:tr w:rsidR="00206368" w:rsidRPr="00C510E1" w14:paraId="2F640432" w14:textId="77777777" w:rsidTr="00453185">
        <w:trPr>
          <w:trHeight w:val="312"/>
        </w:trPr>
        <w:tc>
          <w:tcPr>
            <w:tcW w:w="7078" w:type="dxa"/>
            <w:tcBorders>
              <w:top w:val="nil"/>
              <w:left w:val="single" w:sz="8" w:space="0" w:color="auto"/>
              <w:bottom w:val="single" w:sz="4" w:space="0" w:color="auto"/>
              <w:right w:val="single" w:sz="4" w:space="0" w:color="auto"/>
            </w:tcBorders>
            <w:shd w:val="clear" w:color="auto" w:fill="auto"/>
            <w:vAlign w:val="center"/>
            <w:hideMark/>
          </w:tcPr>
          <w:p w14:paraId="2E8721C6" w14:textId="77777777" w:rsidR="00206368" w:rsidRPr="00C510E1" w:rsidRDefault="00206368" w:rsidP="00DB7650">
            <w:pPr>
              <w:jc w:val="left"/>
              <w:rPr>
                <w:rFonts w:cs="Calibri"/>
                <w:color w:val="000000"/>
                <w:szCs w:val="24"/>
              </w:rPr>
            </w:pPr>
            <w:r w:rsidRPr="00C510E1">
              <w:rPr>
                <w:rFonts w:cs="Calibri"/>
                <w:color w:val="000000"/>
                <w:szCs w:val="24"/>
              </w:rPr>
              <w:t>Odborná konzultace a práce ** vzdáleným přístupem a telefonicky nad 0,5 hod/ den</w:t>
            </w:r>
          </w:p>
        </w:tc>
        <w:tc>
          <w:tcPr>
            <w:tcW w:w="2382" w:type="dxa"/>
            <w:tcBorders>
              <w:top w:val="single" w:sz="8" w:space="0" w:color="auto"/>
              <w:left w:val="nil"/>
              <w:bottom w:val="single" w:sz="4" w:space="0" w:color="auto"/>
              <w:right w:val="single" w:sz="8" w:space="0" w:color="auto"/>
            </w:tcBorders>
            <w:shd w:val="clear" w:color="auto" w:fill="auto"/>
            <w:vAlign w:val="center"/>
            <w:hideMark/>
          </w:tcPr>
          <w:p w14:paraId="11276540" w14:textId="77777777" w:rsidR="00206368" w:rsidRPr="00C510E1" w:rsidRDefault="00206368" w:rsidP="00DB7650">
            <w:pPr>
              <w:jc w:val="right"/>
              <w:rPr>
                <w:rFonts w:cs="Calibri"/>
                <w:color w:val="000000"/>
                <w:szCs w:val="24"/>
              </w:rPr>
            </w:pPr>
            <w:r>
              <w:rPr>
                <w:rFonts w:cs="Calibri"/>
                <w:color w:val="000000"/>
                <w:szCs w:val="24"/>
              </w:rPr>
              <w:t>2 000</w:t>
            </w:r>
            <w:r w:rsidRPr="00C510E1">
              <w:rPr>
                <w:rFonts w:cs="Calibri"/>
                <w:color w:val="000000"/>
                <w:szCs w:val="24"/>
              </w:rPr>
              <w:t xml:space="preserve"> CZK/ čl.hod *</w:t>
            </w:r>
          </w:p>
        </w:tc>
      </w:tr>
      <w:tr w:rsidR="00206368" w:rsidRPr="00C510E1" w14:paraId="06C7DD26" w14:textId="77777777" w:rsidTr="00453185">
        <w:trPr>
          <w:trHeight w:val="690"/>
        </w:trPr>
        <w:tc>
          <w:tcPr>
            <w:tcW w:w="7078" w:type="dxa"/>
            <w:tcBorders>
              <w:top w:val="nil"/>
              <w:left w:val="single" w:sz="8" w:space="0" w:color="auto"/>
              <w:bottom w:val="single" w:sz="4" w:space="0" w:color="auto"/>
              <w:right w:val="single" w:sz="4" w:space="0" w:color="auto"/>
            </w:tcBorders>
            <w:shd w:val="clear" w:color="auto" w:fill="auto"/>
            <w:vAlign w:val="center"/>
            <w:hideMark/>
          </w:tcPr>
          <w:p w14:paraId="2B01B1A1" w14:textId="77777777" w:rsidR="00206368" w:rsidRPr="00C510E1" w:rsidRDefault="00206368" w:rsidP="00DB7650">
            <w:pPr>
              <w:jc w:val="left"/>
              <w:rPr>
                <w:rFonts w:cs="Calibri"/>
                <w:color w:val="000000"/>
                <w:szCs w:val="24"/>
              </w:rPr>
            </w:pPr>
            <w:r w:rsidRPr="00C510E1">
              <w:rPr>
                <w:rFonts w:cs="Calibri"/>
                <w:color w:val="000000"/>
                <w:szCs w:val="24"/>
              </w:rPr>
              <w:t>Expertní a autorská konzultace a práce *** u zákazníka – započatá hodina</w:t>
            </w:r>
            <w:r w:rsidRPr="00C510E1">
              <w:rPr>
                <w:rFonts w:cs="Calibri"/>
                <w:color w:val="000000"/>
                <w:szCs w:val="24"/>
              </w:rPr>
              <w:br/>
              <w:t>(Minimální fakturace 3 hod)</w:t>
            </w:r>
          </w:p>
        </w:tc>
        <w:tc>
          <w:tcPr>
            <w:tcW w:w="2382" w:type="dxa"/>
            <w:tcBorders>
              <w:top w:val="nil"/>
              <w:left w:val="nil"/>
              <w:bottom w:val="single" w:sz="4" w:space="0" w:color="auto"/>
              <w:right w:val="single" w:sz="8" w:space="0" w:color="auto"/>
            </w:tcBorders>
            <w:shd w:val="clear" w:color="auto" w:fill="auto"/>
            <w:vAlign w:val="center"/>
            <w:hideMark/>
          </w:tcPr>
          <w:p w14:paraId="7B08418E" w14:textId="77777777" w:rsidR="00206368" w:rsidRPr="00C510E1" w:rsidRDefault="00206368" w:rsidP="00DB7650">
            <w:pPr>
              <w:jc w:val="right"/>
              <w:rPr>
                <w:rFonts w:cs="Calibri"/>
                <w:color w:val="000000"/>
                <w:szCs w:val="24"/>
              </w:rPr>
            </w:pPr>
            <w:r>
              <w:rPr>
                <w:rFonts w:cs="Calibri"/>
                <w:color w:val="000000"/>
                <w:szCs w:val="24"/>
              </w:rPr>
              <w:t>2 200</w:t>
            </w:r>
            <w:r w:rsidRPr="00C510E1">
              <w:rPr>
                <w:rFonts w:cs="Calibri"/>
                <w:color w:val="000000"/>
                <w:szCs w:val="24"/>
              </w:rPr>
              <w:t xml:space="preserve"> CZK/ čl.hod *</w:t>
            </w:r>
          </w:p>
        </w:tc>
      </w:tr>
      <w:tr w:rsidR="00206368" w:rsidRPr="00C510E1" w14:paraId="4B2EF8C1" w14:textId="77777777" w:rsidTr="00453185">
        <w:trPr>
          <w:trHeight w:val="585"/>
        </w:trPr>
        <w:tc>
          <w:tcPr>
            <w:tcW w:w="7078" w:type="dxa"/>
            <w:tcBorders>
              <w:top w:val="nil"/>
              <w:left w:val="single" w:sz="8" w:space="0" w:color="auto"/>
              <w:bottom w:val="single" w:sz="4" w:space="0" w:color="auto"/>
              <w:right w:val="single" w:sz="4" w:space="0" w:color="auto"/>
            </w:tcBorders>
            <w:shd w:val="clear" w:color="auto" w:fill="auto"/>
            <w:vAlign w:val="center"/>
            <w:hideMark/>
          </w:tcPr>
          <w:p w14:paraId="3C7BB852" w14:textId="77777777" w:rsidR="00206368" w:rsidRPr="00C510E1" w:rsidRDefault="00206368" w:rsidP="00DB7650">
            <w:pPr>
              <w:jc w:val="left"/>
              <w:rPr>
                <w:rFonts w:cs="Calibri"/>
                <w:color w:val="000000"/>
                <w:szCs w:val="24"/>
              </w:rPr>
            </w:pPr>
            <w:r w:rsidRPr="00C510E1">
              <w:rPr>
                <w:rFonts w:cs="Calibri"/>
                <w:color w:val="000000"/>
                <w:szCs w:val="24"/>
              </w:rPr>
              <w:t>Expertní a autorská konzultace a práce *** vzdáleným přístupem a telefonicky nad 0,5 hod/ den</w:t>
            </w:r>
          </w:p>
        </w:tc>
        <w:tc>
          <w:tcPr>
            <w:tcW w:w="2382" w:type="dxa"/>
            <w:tcBorders>
              <w:top w:val="nil"/>
              <w:left w:val="nil"/>
              <w:bottom w:val="single" w:sz="4" w:space="0" w:color="auto"/>
              <w:right w:val="single" w:sz="8" w:space="0" w:color="auto"/>
            </w:tcBorders>
            <w:shd w:val="clear" w:color="auto" w:fill="auto"/>
            <w:vAlign w:val="center"/>
            <w:hideMark/>
          </w:tcPr>
          <w:p w14:paraId="715B007F" w14:textId="77777777" w:rsidR="00206368" w:rsidRPr="00C510E1" w:rsidRDefault="00206368" w:rsidP="00DB7650">
            <w:pPr>
              <w:jc w:val="right"/>
              <w:rPr>
                <w:rFonts w:cs="Calibri"/>
                <w:color w:val="000000"/>
                <w:szCs w:val="24"/>
              </w:rPr>
            </w:pPr>
            <w:r>
              <w:rPr>
                <w:rFonts w:cs="Calibri"/>
                <w:color w:val="000000"/>
                <w:szCs w:val="24"/>
              </w:rPr>
              <w:t xml:space="preserve"> 2 200</w:t>
            </w:r>
            <w:r w:rsidRPr="00C510E1">
              <w:rPr>
                <w:rFonts w:cs="Calibri"/>
                <w:color w:val="000000"/>
                <w:szCs w:val="24"/>
              </w:rPr>
              <w:t xml:space="preserve"> CZK/ čl.hod *</w:t>
            </w:r>
          </w:p>
        </w:tc>
      </w:tr>
      <w:tr w:rsidR="00206368" w:rsidRPr="00C510E1" w14:paraId="40969D04" w14:textId="77777777" w:rsidTr="00453185">
        <w:trPr>
          <w:trHeight w:val="585"/>
        </w:trPr>
        <w:tc>
          <w:tcPr>
            <w:tcW w:w="7078" w:type="dxa"/>
            <w:tcBorders>
              <w:top w:val="nil"/>
              <w:left w:val="single" w:sz="8" w:space="0" w:color="auto"/>
              <w:bottom w:val="single" w:sz="4" w:space="0" w:color="auto"/>
              <w:right w:val="single" w:sz="4" w:space="0" w:color="auto"/>
            </w:tcBorders>
            <w:shd w:val="clear" w:color="auto" w:fill="auto"/>
            <w:vAlign w:val="center"/>
          </w:tcPr>
          <w:p w14:paraId="6409DE40" w14:textId="77777777" w:rsidR="00206368" w:rsidRPr="00C510E1" w:rsidRDefault="00206368" w:rsidP="00DB7650">
            <w:pPr>
              <w:jc w:val="left"/>
              <w:rPr>
                <w:rFonts w:cs="Calibri"/>
                <w:color w:val="000000"/>
                <w:szCs w:val="24"/>
              </w:rPr>
            </w:pPr>
            <w:r w:rsidRPr="00C510E1">
              <w:rPr>
                <w:rFonts w:cs="Calibri"/>
                <w:color w:val="000000"/>
                <w:szCs w:val="24"/>
              </w:rPr>
              <w:t>Hromadná školení</w:t>
            </w:r>
          </w:p>
        </w:tc>
        <w:tc>
          <w:tcPr>
            <w:tcW w:w="2382" w:type="dxa"/>
            <w:tcBorders>
              <w:top w:val="nil"/>
              <w:left w:val="nil"/>
              <w:bottom w:val="single" w:sz="4" w:space="0" w:color="auto"/>
              <w:right w:val="single" w:sz="8" w:space="0" w:color="auto"/>
            </w:tcBorders>
            <w:shd w:val="clear" w:color="auto" w:fill="auto"/>
            <w:vAlign w:val="center"/>
          </w:tcPr>
          <w:p w14:paraId="69A02ACB" w14:textId="77777777" w:rsidR="00206368" w:rsidRPr="00C510E1" w:rsidRDefault="00206368" w:rsidP="00DB7650">
            <w:pPr>
              <w:jc w:val="right"/>
              <w:rPr>
                <w:rFonts w:cs="Calibri"/>
                <w:color w:val="000000"/>
                <w:szCs w:val="24"/>
              </w:rPr>
            </w:pPr>
            <w:r>
              <w:rPr>
                <w:rFonts w:cs="Calibri"/>
                <w:color w:val="000000"/>
                <w:szCs w:val="24"/>
              </w:rPr>
              <w:t>500</w:t>
            </w:r>
            <w:r w:rsidRPr="00C510E1">
              <w:rPr>
                <w:rFonts w:cs="Calibri"/>
                <w:color w:val="000000"/>
                <w:szCs w:val="24"/>
              </w:rPr>
              <w:t xml:space="preserve"> CZK/účastník/hod</w:t>
            </w:r>
          </w:p>
        </w:tc>
      </w:tr>
      <w:tr w:rsidR="00206368" w:rsidRPr="00C510E1" w14:paraId="2AEEAB99" w14:textId="77777777" w:rsidTr="00453185">
        <w:trPr>
          <w:trHeight w:val="324"/>
        </w:trPr>
        <w:tc>
          <w:tcPr>
            <w:tcW w:w="7078" w:type="dxa"/>
            <w:tcBorders>
              <w:top w:val="nil"/>
              <w:left w:val="nil"/>
              <w:bottom w:val="nil"/>
              <w:right w:val="nil"/>
            </w:tcBorders>
            <w:shd w:val="clear" w:color="auto" w:fill="auto"/>
            <w:vAlign w:val="center"/>
            <w:hideMark/>
          </w:tcPr>
          <w:p w14:paraId="6D12722D" w14:textId="77777777" w:rsidR="00206368" w:rsidRPr="00C510E1" w:rsidRDefault="00206368" w:rsidP="00DB7650">
            <w:pPr>
              <w:jc w:val="left"/>
              <w:rPr>
                <w:rFonts w:cs="Calibri"/>
                <w:color w:val="000000"/>
                <w:szCs w:val="24"/>
              </w:rPr>
            </w:pPr>
          </w:p>
        </w:tc>
        <w:tc>
          <w:tcPr>
            <w:tcW w:w="2382" w:type="dxa"/>
            <w:tcBorders>
              <w:top w:val="nil"/>
              <w:left w:val="nil"/>
              <w:bottom w:val="nil"/>
              <w:right w:val="nil"/>
            </w:tcBorders>
            <w:shd w:val="clear" w:color="auto" w:fill="auto"/>
            <w:vAlign w:val="center"/>
            <w:hideMark/>
          </w:tcPr>
          <w:p w14:paraId="77B30C60" w14:textId="77777777" w:rsidR="00206368" w:rsidRPr="00C510E1" w:rsidRDefault="00206368" w:rsidP="00DB7650">
            <w:pPr>
              <w:rPr>
                <w:rFonts w:ascii="Times New Roman" w:hAnsi="Times New Roman"/>
                <w:sz w:val="20"/>
              </w:rPr>
            </w:pPr>
          </w:p>
        </w:tc>
      </w:tr>
      <w:tr w:rsidR="00206368" w:rsidRPr="00C510E1" w14:paraId="345F8C2A" w14:textId="77777777" w:rsidTr="00453185">
        <w:trPr>
          <w:trHeight w:val="312"/>
        </w:trPr>
        <w:tc>
          <w:tcPr>
            <w:tcW w:w="70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139D5A4" w14:textId="77777777" w:rsidR="00206368" w:rsidRPr="00C510E1" w:rsidRDefault="00206368" w:rsidP="00DB7650">
            <w:pPr>
              <w:rPr>
                <w:rFonts w:cs="Calibri"/>
                <w:color w:val="000000"/>
                <w:szCs w:val="24"/>
              </w:rPr>
            </w:pPr>
            <w:r w:rsidRPr="00C510E1">
              <w:rPr>
                <w:rFonts w:cs="Calibri"/>
                <w:color w:val="000000"/>
                <w:szCs w:val="24"/>
              </w:rPr>
              <w:t>Cestovné autem</w:t>
            </w:r>
          </w:p>
        </w:tc>
        <w:tc>
          <w:tcPr>
            <w:tcW w:w="2382" w:type="dxa"/>
            <w:tcBorders>
              <w:top w:val="single" w:sz="8" w:space="0" w:color="auto"/>
              <w:left w:val="nil"/>
              <w:bottom w:val="single" w:sz="4" w:space="0" w:color="auto"/>
              <w:right w:val="single" w:sz="8" w:space="0" w:color="auto"/>
            </w:tcBorders>
            <w:shd w:val="clear" w:color="auto" w:fill="auto"/>
            <w:vAlign w:val="center"/>
            <w:hideMark/>
          </w:tcPr>
          <w:p w14:paraId="42C5ABE0" w14:textId="77777777" w:rsidR="00206368" w:rsidRPr="00C510E1" w:rsidRDefault="00206368" w:rsidP="00DB7650">
            <w:pPr>
              <w:jc w:val="right"/>
              <w:rPr>
                <w:rFonts w:cs="Calibri"/>
                <w:color w:val="000000"/>
                <w:szCs w:val="24"/>
              </w:rPr>
            </w:pPr>
            <w:r>
              <w:rPr>
                <w:rFonts w:cs="Calibri"/>
                <w:color w:val="000000"/>
                <w:szCs w:val="24"/>
              </w:rPr>
              <w:t>13</w:t>
            </w:r>
            <w:r w:rsidRPr="00C510E1">
              <w:rPr>
                <w:rFonts w:cs="Calibri"/>
                <w:color w:val="000000"/>
                <w:szCs w:val="24"/>
              </w:rPr>
              <w:t xml:space="preserve"> CZK/km</w:t>
            </w:r>
          </w:p>
        </w:tc>
      </w:tr>
      <w:tr w:rsidR="00206368" w:rsidRPr="00C510E1" w14:paraId="551B0BF2" w14:textId="77777777" w:rsidTr="00453185">
        <w:trPr>
          <w:trHeight w:val="900"/>
        </w:trPr>
        <w:tc>
          <w:tcPr>
            <w:tcW w:w="7078" w:type="dxa"/>
            <w:tcBorders>
              <w:top w:val="nil"/>
              <w:left w:val="single" w:sz="8" w:space="0" w:color="auto"/>
              <w:bottom w:val="single" w:sz="4" w:space="0" w:color="auto"/>
              <w:right w:val="single" w:sz="4" w:space="0" w:color="auto"/>
            </w:tcBorders>
            <w:shd w:val="clear" w:color="auto" w:fill="auto"/>
            <w:vAlign w:val="center"/>
            <w:hideMark/>
          </w:tcPr>
          <w:p w14:paraId="5090EE4A" w14:textId="77777777" w:rsidR="00206368" w:rsidRPr="00C510E1" w:rsidRDefault="00206368" w:rsidP="00DB7650">
            <w:pPr>
              <w:rPr>
                <w:rFonts w:cs="Calibri"/>
                <w:color w:val="000000"/>
                <w:szCs w:val="24"/>
              </w:rPr>
            </w:pPr>
            <w:r w:rsidRPr="00C510E1">
              <w:rPr>
                <w:rFonts w:cs="Calibri"/>
                <w:color w:val="000000"/>
                <w:szCs w:val="24"/>
              </w:rPr>
              <w:t>Cestovné jinými dopravními prostředky + čas strávený na cestě</w:t>
            </w:r>
          </w:p>
        </w:tc>
        <w:tc>
          <w:tcPr>
            <w:tcW w:w="2382" w:type="dxa"/>
            <w:tcBorders>
              <w:top w:val="nil"/>
              <w:left w:val="nil"/>
              <w:bottom w:val="single" w:sz="4" w:space="0" w:color="auto"/>
              <w:right w:val="single" w:sz="8" w:space="0" w:color="auto"/>
            </w:tcBorders>
            <w:shd w:val="clear" w:color="auto" w:fill="auto"/>
            <w:vAlign w:val="center"/>
            <w:hideMark/>
          </w:tcPr>
          <w:p w14:paraId="63126E36" w14:textId="77777777" w:rsidR="00206368" w:rsidRPr="00C510E1" w:rsidRDefault="00206368" w:rsidP="00DB7650">
            <w:pPr>
              <w:ind w:left="-76"/>
              <w:jc w:val="right"/>
              <w:rPr>
                <w:rFonts w:cs="Calibri"/>
                <w:color w:val="000000"/>
                <w:szCs w:val="24"/>
              </w:rPr>
            </w:pPr>
            <w:r w:rsidRPr="00C510E1">
              <w:rPr>
                <w:rFonts w:cs="Calibri"/>
                <w:color w:val="000000"/>
                <w:szCs w:val="24"/>
              </w:rPr>
              <w:t xml:space="preserve">podle skutečných nákladů + </w:t>
            </w:r>
            <w:r>
              <w:rPr>
                <w:rFonts w:cs="Calibri"/>
                <w:color w:val="000000"/>
                <w:szCs w:val="24"/>
              </w:rPr>
              <w:t>500</w:t>
            </w:r>
            <w:r w:rsidRPr="00C510E1">
              <w:rPr>
                <w:rFonts w:cs="Calibri"/>
                <w:color w:val="000000"/>
                <w:szCs w:val="24"/>
              </w:rPr>
              <w:t xml:space="preserve"> CZK/čl.hod                        </w:t>
            </w:r>
          </w:p>
        </w:tc>
      </w:tr>
      <w:tr w:rsidR="00206368" w:rsidRPr="00C510E1" w14:paraId="0C22BBA3" w14:textId="77777777" w:rsidTr="00453185">
        <w:trPr>
          <w:trHeight w:val="636"/>
        </w:trPr>
        <w:tc>
          <w:tcPr>
            <w:tcW w:w="7078" w:type="dxa"/>
            <w:tcBorders>
              <w:top w:val="nil"/>
              <w:left w:val="single" w:sz="8" w:space="0" w:color="auto"/>
              <w:bottom w:val="single" w:sz="8" w:space="0" w:color="auto"/>
              <w:right w:val="single" w:sz="4" w:space="0" w:color="auto"/>
            </w:tcBorders>
            <w:shd w:val="clear" w:color="auto" w:fill="auto"/>
            <w:vAlign w:val="center"/>
            <w:hideMark/>
          </w:tcPr>
          <w:p w14:paraId="09A62633" w14:textId="77777777" w:rsidR="00206368" w:rsidRPr="00C510E1" w:rsidRDefault="00206368" w:rsidP="00DB7650">
            <w:pPr>
              <w:rPr>
                <w:rFonts w:cs="Calibri"/>
                <w:color w:val="000000"/>
                <w:szCs w:val="24"/>
              </w:rPr>
            </w:pPr>
            <w:r w:rsidRPr="00C510E1">
              <w:rPr>
                <w:rFonts w:cs="Calibri"/>
                <w:color w:val="000000"/>
                <w:szCs w:val="24"/>
              </w:rPr>
              <w:t>Ubytování</w:t>
            </w:r>
          </w:p>
        </w:tc>
        <w:tc>
          <w:tcPr>
            <w:tcW w:w="2382" w:type="dxa"/>
            <w:tcBorders>
              <w:top w:val="nil"/>
              <w:left w:val="nil"/>
              <w:bottom w:val="single" w:sz="8" w:space="0" w:color="auto"/>
              <w:right w:val="single" w:sz="8" w:space="0" w:color="auto"/>
            </w:tcBorders>
            <w:shd w:val="clear" w:color="auto" w:fill="auto"/>
            <w:hideMark/>
          </w:tcPr>
          <w:p w14:paraId="4614197D" w14:textId="77777777" w:rsidR="00206368" w:rsidRPr="00C510E1" w:rsidRDefault="00206368" w:rsidP="00DB7650">
            <w:pPr>
              <w:jc w:val="right"/>
              <w:rPr>
                <w:rFonts w:cs="Calibri"/>
                <w:color w:val="000000"/>
                <w:szCs w:val="24"/>
              </w:rPr>
            </w:pPr>
            <w:r w:rsidRPr="00C510E1">
              <w:rPr>
                <w:rFonts w:cs="Calibri"/>
                <w:color w:val="000000"/>
                <w:szCs w:val="24"/>
              </w:rPr>
              <w:t>podle skutečných nákladů</w:t>
            </w:r>
          </w:p>
        </w:tc>
      </w:tr>
      <w:tr w:rsidR="00206368" w:rsidRPr="00C510E1" w14:paraId="039AAC34" w14:textId="77777777" w:rsidTr="00453185">
        <w:trPr>
          <w:trHeight w:val="312"/>
        </w:trPr>
        <w:tc>
          <w:tcPr>
            <w:tcW w:w="7078" w:type="dxa"/>
            <w:tcBorders>
              <w:top w:val="nil"/>
              <w:left w:val="nil"/>
              <w:bottom w:val="nil"/>
              <w:right w:val="nil"/>
            </w:tcBorders>
            <w:shd w:val="clear" w:color="auto" w:fill="auto"/>
            <w:noWrap/>
            <w:vAlign w:val="center"/>
            <w:hideMark/>
          </w:tcPr>
          <w:p w14:paraId="64E43A8E" w14:textId="4A3D9977" w:rsidR="00206368" w:rsidRPr="00C510E1" w:rsidRDefault="00206368" w:rsidP="00DB7650">
            <w:pPr>
              <w:rPr>
                <w:rFonts w:cs="Calibri"/>
                <w:color w:val="000000"/>
                <w:szCs w:val="24"/>
              </w:rPr>
            </w:pPr>
            <w:r w:rsidRPr="00C510E1">
              <w:rPr>
                <w:rFonts w:cs="Calibri"/>
                <w:color w:val="000000"/>
                <w:szCs w:val="24"/>
              </w:rPr>
              <w:t xml:space="preserve">* čl./hod </w:t>
            </w:r>
            <w:r w:rsidR="00415385">
              <w:rPr>
                <w:rFonts w:cs="Calibri"/>
                <w:color w:val="000000"/>
                <w:szCs w:val="24"/>
              </w:rPr>
              <w:t>–</w:t>
            </w:r>
            <w:r w:rsidRPr="00C510E1">
              <w:rPr>
                <w:rFonts w:cs="Calibri"/>
                <w:color w:val="000000"/>
                <w:szCs w:val="24"/>
              </w:rPr>
              <w:t xml:space="preserve"> člověkohodina</w:t>
            </w:r>
          </w:p>
        </w:tc>
        <w:tc>
          <w:tcPr>
            <w:tcW w:w="2382" w:type="dxa"/>
            <w:tcBorders>
              <w:top w:val="nil"/>
              <w:left w:val="nil"/>
              <w:bottom w:val="nil"/>
              <w:right w:val="nil"/>
            </w:tcBorders>
            <w:shd w:val="clear" w:color="auto" w:fill="auto"/>
            <w:noWrap/>
            <w:vAlign w:val="bottom"/>
            <w:hideMark/>
          </w:tcPr>
          <w:p w14:paraId="22A734A0" w14:textId="77777777" w:rsidR="00206368" w:rsidRPr="00C510E1" w:rsidRDefault="00206368" w:rsidP="00DB7650">
            <w:pPr>
              <w:rPr>
                <w:rFonts w:cs="Calibri"/>
                <w:color w:val="000000"/>
                <w:szCs w:val="24"/>
              </w:rPr>
            </w:pPr>
          </w:p>
        </w:tc>
      </w:tr>
      <w:tr w:rsidR="00453185" w:rsidRPr="00C510E1" w14:paraId="76B39B96" w14:textId="77777777" w:rsidTr="00453185">
        <w:trPr>
          <w:trHeight w:val="312"/>
        </w:trPr>
        <w:tc>
          <w:tcPr>
            <w:tcW w:w="7078" w:type="dxa"/>
            <w:tcBorders>
              <w:top w:val="nil"/>
              <w:left w:val="nil"/>
              <w:bottom w:val="nil"/>
              <w:right w:val="nil"/>
            </w:tcBorders>
            <w:shd w:val="clear" w:color="auto" w:fill="auto"/>
            <w:noWrap/>
            <w:vAlign w:val="center"/>
          </w:tcPr>
          <w:p w14:paraId="5FCD04B4" w14:textId="078F4157" w:rsidR="00453185" w:rsidRPr="00C510E1" w:rsidRDefault="00453185" w:rsidP="00DB7650">
            <w:pPr>
              <w:jc w:val="left"/>
              <w:rPr>
                <w:rFonts w:ascii="Times New Roman" w:hAnsi="Times New Roman"/>
                <w:b/>
                <w:sz w:val="20"/>
              </w:rPr>
            </w:pPr>
            <w:r w:rsidRPr="00C510E1">
              <w:rPr>
                <w:rFonts w:cs="Calibri"/>
                <w:b/>
                <w:color w:val="000000"/>
                <w:szCs w:val="24"/>
              </w:rPr>
              <w:t>** Odborná konzultace a práce</w:t>
            </w:r>
          </w:p>
        </w:tc>
        <w:tc>
          <w:tcPr>
            <w:tcW w:w="2382" w:type="dxa"/>
            <w:tcBorders>
              <w:top w:val="nil"/>
              <w:left w:val="nil"/>
              <w:bottom w:val="nil"/>
              <w:right w:val="nil"/>
            </w:tcBorders>
            <w:shd w:val="clear" w:color="auto" w:fill="auto"/>
            <w:noWrap/>
            <w:vAlign w:val="bottom"/>
          </w:tcPr>
          <w:p w14:paraId="573A67F9" w14:textId="77777777" w:rsidR="00453185" w:rsidRPr="00C510E1" w:rsidRDefault="00453185" w:rsidP="00DB7650">
            <w:pPr>
              <w:rPr>
                <w:rFonts w:ascii="Times New Roman" w:hAnsi="Times New Roman"/>
                <w:sz w:val="20"/>
              </w:rPr>
            </w:pPr>
          </w:p>
        </w:tc>
      </w:tr>
      <w:tr w:rsidR="00453185" w:rsidRPr="00C510E1" w14:paraId="270696DC" w14:textId="77777777" w:rsidTr="00453185">
        <w:trPr>
          <w:trHeight w:val="312"/>
        </w:trPr>
        <w:tc>
          <w:tcPr>
            <w:tcW w:w="7078" w:type="dxa"/>
            <w:tcBorders>
              <w:top w:val="nil"/>
              <w:left w:val="nil"/>
              <w:bottom w:val="nil"/>
              <w:right w:val="nil"/>
            </w:tcBorders>
            <w:shd w:val="clear" w:color="auto" w:fill="auto"/>
            <w:noWrap/>
            <w:vAlign w:val="bottom"/>
            <w:hideMark/>
          </w:tcPr>
          <w:p w14:paraId="6364CB6B" w14:textId="776483FF" w:rsidR="00453185" w:rsidRPr="00C510E1" w:rsidRDefault="00453185" w:rsidP="00DB7650">
            <w:pPr>
              <w:rPr>
                <w:rFonts w:cs="Calibri"/>
                <w:b/>
                <w:color w:val="000000"/>
                <w:szCs w:val="24"/>
              </w:rPr>
            </w:pPr>
            <w:r w:rsidRPr="00C510E1">
              <w:rPr>
                <w:rFonts w:cs="Calibri"/>
                <w:color w:val="000000"/>
              </w:rPr>
              <w:t>Instalace, doinstalace a upgrade programu (započatá hodina)</w:t>
            </w:r>
          </w:p>
        </w:tc>
        <w:tc>
          <w:tcPr>
            <w:tcW w:w="2382" w:type="dxa"/>
            <w:tcBorders>
              <w:top w:val="nil"/>
              <w:left w:val="nil"/>
              <w:bottom w:val="nil"/>
              <w:right w:val="nil"/>
            </w:tcBorders>
            <w:shd w:val="clear" w:color="auto" w:fill="auto"/>
            <w:noWrap/>
            <w:vAlign w:val="bottom"/>
            <w:hideMark/>
          </w:tcPr>
          <w:p w14:paraId="2CDCA083" w14:textId="77777777" w:rsidR="00453185" w:rsidRPr="00C510E1" w:rsidRDefault="00453185" w:rsidP="00DB7650">
            <w:pPr>
              <w:rPr>
                <w:rFonts w:cs="Calibri"/>
                <w:color w:val="000000"/>
                <w:szCs w:val="24"/>
              </w:rPr>
            </w:pPr>
          </w:p>
        </w:tc>
      </w:tr>
      <w:tr w:rsidR="00453185" w:rsidRPr="00C510E1" w14:paraId="3D371861" w14:textId="77777777" w:rsidTr="00453185">
        <w:trPr>
          <w:trHeight w:val="276"/>
        </w:trPr>
        <w:tc>
          <w:tcPr>
            <w:tcW w:w="7078" w:type="dxa"/>
            <w:tcBorders>
              <w:top w:val="nil"/>
              <w:left w:val="nil"/>
              <w:bottom w:val="nil"/>
              <w:right w:val="nil"/>
            </w:tcBorders>
            <w:shd w:val="clear" w:color="auto" w:fill="auto"/>
            <w:noWrap/>
            <w:vAlign w:val="bottom"/>
            <w:hideMark/>
          </w:tcPr>
          <w:p w14:paraId="44093E79" w14:textId="77777777" w:rsidR="00453185" w:rsidRPr="00C510E1" w:rsidRDefault="00453185" w:rsidP="00DB7650">
            <w:pPr>
              <w:jc w:val="left"/>
              <w:rPr>
                <w:rFonts w:cs="Calibri"/>
                <w:color w:val="000000"/>
              </w:rPr>
            </w:pPr>
            <w:r w:rsidRPr="00C510E1">
              <w:rPr>
                <w:rFonts w:cs="Calibri"/>
                <w:color w:val="000000"/>
              </w:rPr>
              <w:t>Nastavení a přenastavení modulů</w:t>
            </w:r>
          </w:p>
          <w:p w14:paraId="42D64486" w14:textId="31AE8AB7" w:rsidR="00453185" w:rsidRPr="00C510E1" w:rsidRDefault="00453185" w:rsidP="00DB7650">
            <w:pPr>
              <w:jc w:val="left"/>
              <w:rPr>
                <w:rFonts w:cs="Calibri"/>
                <w:color w:val="000000"/>
              </w:rPr>
            </w:pPr>
            <w:r w:rsidRPr="00C510E1">
              <w:rPr>
                <w:rFonts w:cs="Calibri"/>
                <w:color w:val="000000"/>
              </w:rPr>
              <w:t>Individuální školení</w:t>
            </w:r>
          </w:p>
        </w:tc>
        <w:tc>
          <w:tcPr>
            <w:tcW w:w="2382" w:type="dxa"/>
            <w:tcBorders>
              <w:top w:val="nil"/>
              <w:left w:val="nil"/>
              <w:bottom w:val="nil"/>
              <w:right w:val="nil"/>
            </w:tcBorders>
            <w:shd w:val="clear" w:color="auto" w:fill="auto"/>
            <w:noWrap/>
            <w:vAlign w:val="bottom"/>
            <w:hideMark/>
          </w:tcPr>
          <w:p w14:paraId="310F90E9" w14:textId="77777777" w:rsidR="00453185" w:rsidRPr="00C510E1" w:rsidRDefault="00453185" w:rsidP="00DB7650">
            <w:pPr>
              <w:jc w:val="left"/>
              <w:rPr>
                <w:rFonts w:cs="Calibri"/>
                <w:color w:val="000000"/>
              </w:rPr>
            </w:pPr>
          </w:p>
        </w:tc>
      </w:tr>
      <w:tr w:rsidR="00453185" w:rsidRPr="00C510E1" w14:paraId="09B5AB20" w14:textId="77777777" w:rsidTr="00453185">
        <w:trPr>
          <w:trHeight w:val="276"/>
        </w:trPr>
        <w:tc>
          <w:tcPr>
            <w:tcW w:w="7078" w:type="dxa"/>
            <w:tcBorders>
              <w:top w:val="nil"/>
              <w:left w:val="nil"/>
              <w:bottom w:val="nil"/>
              <w:right w:val="nil"/>
            </w:tcBorders>
            <w:shd w:val="clear" w:color="auto" w:fill="auto"/>
            <w:noWrap/>
            <w:vAlign w:val="center"/>
            <w:hideMark/>
          </w:tcPr>
          <w:p w14:paraId="2B04B08D" w14:textId="439B4B09" w:rsidR="00453185" w:rsidRPr="00C510E1" w:rsidRDefault="00453185" w:rsidP="00DB7650">
            <w:pPr>
              <w:jc w:val="left"/>
              <w:rPr>
                <w:rFonts w:cs="Calibri"/>
                <w:color w:val="000000"/>
              </w:rPr>
            </w:pPr>
            <w:r w:rsidRPr="00C510E1">
              <w:rPr>
                <w:rFonts w:cs="Calibri"/>
                <w:color w:val="000000"/>
              </w:rPr>
              <w:t>Kontrola dat a supervize</w:t>
            </w:r>
          </w:p>
        </w:tc>
        <w:tc>
          <w:tcPr>
            <w:tcW w:w="2382" w:type="dxa"/>
            <w:tcBorders>
              <w:top w:val="nil"/>
              <w:left w:val="nil"/>
              <w:bottom w:val="nil"/>
              <w:right w:val="nil"/>
            </w:tcBorders>
            <w:shd w:val="clear" w:color="auto" w:fill="auto"/>
            <w:noWrap/>
            <w:vAlign w:val="bottom"/>
            <w:hideMark/>
          </w:tcPr>
          <w:p w14:paraId="6DF5CC90" w14:textId="77777777" w:rsidR="00453185" w:rsidRPr="00C510E1" w:rsidRDefault="00453185" w:rsidP="00DB7650">
            <w:pPr>
              <w:jc w:val="left"/>
              <w:rPr>
                <w:rFonts w:cs="Calibri"/>
                <w:color w:val="000000"/>
              </w:rPr>
            </w:pPr>
          </w:p>
        </w:tc>
      </w:tr>
      <w:tr w:rsidR="00453185" w:rsidRPr="00C510E1" w14:paraId="263CA979" w14:textId="77777777" w:rsidTr="00453185">
        <w:trPr>
          <w:trHeight w:val="276"/>
        </w:trPr>
        <w:tc>
          <w:tcPr>
            <w:tcW w:w="7078" w:type="dxa"/>
            <w:tcBorders>
              <w:top w:val="nil"/>
              <w:left w:val="nil"/>
              <w:bottom w:val="nil"/>
              <w:right w:val="nil"/>
            </w:tcBorders>
            <w:shd w:val="clear" w:color="auto" w:fill="auto"/>
            <w:noWrap/>
            <w:vAlign w:val="center"/>
            <w:hideMark/>
          </w:tcPr>
          <w:p w14:paraId="19729304" w14:textId="13A32DD1" w:rsidR="00453185" w:rsidRPr="00C510E1" w:rsidRDefault="00453185" w:rsidP="00DB7650">
            <w:pPr>
              <w:rPr>
                <w:rFonts w:cs="Calibri"/>
                <w:color w:val="000000"/>
              </w:rPr>
            </w:pPr>
            <w:r w:rsidRPr="00C510E1">
              <w:rPr>
                <w:rFonts w:cs="Calibri"/>
                <w:b/>
                <w:color w:val="000000"/>
                <w:szCs w:val="24"/>
              </w:rPr>
              <w:t>*** Expertní a autorská konzultace a práce</w:t>
            </w:r>
          </w:p>
        </w:tc>
        <w:tc>
          <w:tcPr>
            <w:tcW w:w="2382" w:type="dxa"/>
            <w:tcBorders>
              <w:top w:val="nil"/>
              <w:left w:val="nil"/>
              <w:bottom w:val="nil"/>
              <w:right w:val="nil"/>
            </w:tcBorders>
            <w:shd w:val="clear" w:color="auto" w:fill="auto"/>
            <w:noWrap/>
            <w:vAlign w:val="bottom"/>
            <w:hideMark/>
          </w:tcPr>
          <w:p w14:paraId="5B7EB042" w14:textId="77777777" w:rsidR="00453185" w:rsidRPr="00C510E1" w:rsidRDefault="00453185" w:rsidP="00DB7650">
            <w:pPr>
              <w:rPr>
                <w:rFonts w:cs="Calibri"/>
                <w:color w:val="000000"/>
              </w:rPr>
            </w:pPr>
          </w:p>
        </w:tc>
      </w:tr>
      <w:tr w:rsidR="00453185" w:rsidRPr="00C510E1" w14:paraId="4D20BCEC" w14:textId="77777777" w:rsidTr="00453185">
        <w:trPr>
          <w:trHeight w:val="312"/>
        </w:trPr>
        <w:tc>
          <w:tcPr>
            <w:tcW w:w="7078" w:type="dxa"/>
            <w:tcBorders>
              <w:top w:val="nil"/>
              <w:left w:val="nil"/>
              <w:bottom w:val="nil"/>
              <w:right w:val="nil"/>
            </w:tcBorders>
            <w:shd w:val="clear" w:color="auto" w:fill="auto"/>
            <w:noWrap/>
            <w:vAlign w:val="bottom"/>
            <w:hideMark/>
          </w:tcPr>
          <w:p w14:paraId="003E441A" w14:textId="7A5A59A3" w:rsidR="00453185" w:rsidRPr="00C510E1" w:rsidRDefault="00453185" w:rsidP="00DB7650">
            <w:pPr>
              <w:jc w:val="left"/>
              <w:rPr>
                <w:rFonts w:ascii="Times New Roman" w:hAnsi="Times New Roman"/>
                <w:sz w:val="20"/>
              </w:rPr>
            </w:pPr>
            <w:r w:rsidRPr="00C510E1">
              <w:rPr>
                <w:rFonts w:cs="Calibri"/>
                <w:color w:val="000000"/>
              </w:rPr>
              <w:t>Programování, definování formulářů, zpracování metodik, transformace dat.</w:t>
            </w:r>
          </w:p>
        </w:tc>
        <w:tc>
          <w:tcPr>
            <w:tcW w:w="2382" w:type="dxa"/>
            <w:tcBorders>
              <w:top w:val="nil"/>
              <w:left w:val="nil"/>
              <w:bottom w:val="nil"/>
              <w:right w:val="nil"/>
            </w:tcBorders>
            <w:shd w:val="clear" w:color="auto" w:fill="auto"/>
            <w:noWrap/>
            <w:vAlign w:val="bottom"/>
            <w:hideMark/>
          </w:tcPr>
          <w:p w14:paraId="6FC7554F" w14:textId="77777777" w:rsidR="00453185" w:rsidRPr="00C510E1" w:rsidRDefault="00453185" w:rsidP="00DB7650">
            <w:pPr>
              <w:rPr>
                <w:rFonts w:ascii="Times New Roman" w:hAnsi="Times New Roman"/>
                <w:sz w:val="20"/>
              </w:rPr>
            </w:pPr>
          </w:p>
        </w:tc>
      </w:tr>
      <w:tr w:rsidR="00453185" w:rsidRPr="00C510E1" w14:paraId="60AAB3B4" w14:textId="77777777" w:rsidTr="00453185">
        <w:trPr>
          <w:trHeight w:val="312"/>
        </w:trPr>
        <w:tc>
          <w:tcPr>
            <w:tcW w:w="7078" w:type="dxa"/>
            <w:tcBorders>
              <w:top w:val="nil"/>
              <w:left w:val="nil"/>
              <w:bottom w:val="nil"/>
              <w:right w:val="nil"/>
            </w:tcBorders>
            <w:shd w:val="clear" w:color="auto" w:fill="auto"/>
            <w:noWrap/>
            <w:vAlign w:val="bottom"/>
            <w:hideMark/>
          </w:tcPr>
          <w:p w14:paraId="7BFC904F" w14:textId="772DBB85" w:rsidR="00453185" w:rsidRPr="00C510E1" w:rsidRDefault="00453185" w:rsidP="00DB7650">
            <w:pPr>
              <w:rPr>
                <w:rFonts w:cs="Calibri"/>
                <w:b/>
                <w:color w:val="000000"/>
                <w:szCs w:val="24"/>
              </w:rPr>
            </w:pPr>
          </w:p>
        </w:tc>
        <w:tc>
          <w:tcPr>
            <w:tcW w:w="2382" w:type="dxa"/>
            <w:tcBorders>
              <w:top w:val="nil"/>
              <w:left w:val="nil"/>
              <w:bottom w:val="nil"/>
              <w:right w:val="nil"/>
            </w:tcBorders>
            <w:shd w:val="clear" w:color="auto" w:fill="auto"/>
            <w:noWrap/>
            <w:vAlign w:val="bottom"/>
            <w:hideMark/>
          </w:tcPr>
          <w:p w14:paraId="23391A17" w14:textId="77777777" w:rsidR="00453185" w:rsidRPr="00C510E1" w:rsidRDefault="00453185" w:rsidP="00DB7650">
            <w:pPr>
              <w:rPr>
                <w:rFonts w:cs="Calibri"/>
                <w:color w:val="000000"/>
                <w:szCs w:val="24"/>
              </w:rPr>
            </w:pPr>
          </w:p>
        </w:tc>
      </w:tr>
      <w:tr w:rsidR="00453185" w:rsidRPr="00C510E1" w14:paraId="6B942630" w14:textId="77777777" w:rsidTr="00453185">
        <w:trPr>
          <w:trHeight w:val="276"/>
        </w:trPr>
        <w:tc>
          <w:tcPr>
            <w:tcW w:w="7078" w:type="dxa"/>
            <w:tcBorders>
              <w:top w:val="nil"/>
              <w:left w:val="nil"/>
              <w:bottom w:val="nil"/>
              <w:right w:val="nil"/>
            </w:tcBorders>
            <w:shd w:val="clear" w:color="auto" w:fill="auto"/>
            <w:noWrap/>
            <w:vAlign w:val="center"/>
            <w:hideMark/>
          </w:tcPr>
          <w:p w14:paraId="0FBCE7F2" w14:textId="678495F3" w:rsidR="00453185" w:rsidRPr="00C510E1" w:rsidRDefault="00453185" w:rsidP="00DB7650">
            <w:pPr>
              <w:jc w:val="left"/>
              <w:rPr>
                <w:rFonts w:cs="Calibri"/>
                <w:color w:val="000000"/>
              </w:rPr>
            </w:pPr>
            <w:r w:rsidRPr="00C510E1">
              <w:rPr>
                <w:rFonts w:cs="Calibri"/>
                <w:b/>
                <w:bCs/>
                <w:color w:val="000000"/>
                <w:szCs w:val="24"/>
              </w:rPr>
              <w:t>PŘÍPLATKY ZA PRÁCI MIMO PRACOVNÍ DOBU</w:t>
            </w:r>
          </w:p>
        </w:tc>
        <w:tc>
          <w:tcPr>
            <w:tcW w:w="2382" w:type="dxa"/>
            <w:tcBorders>
              <w:top w:val="nil"/>
              <w:left w:val="nil"/>
              <w:bottom w:val="nil"/>
              <w:right w:val="nil"/>
            </w:tcBorders>
            <w:shd w:val="clear" w:color="auto" w:fill="auto"/>
            <w:noWrap/>
            <w:vAlign w:val="bottom"/>
            <w:hideMark/>
          </w:tcPr>
          <w:p w14:paraId="5D1AE370" w14:textId="77777777" w:rsidR="00453185" w:rsidRPr="00C510E1" w:rsidRDefault="00453185" w:rsidP="00DB7650">
            <w:pPr>
              <w:jc w:val="left"/>
              <w:rPr>
                <w:rFonts w:cs="Calibri"/>
                <w:color w:val="000000"/>
              </w:rPr>
            </w:pPr>
          </w:p>
        </w:tc>
      </w:tr>
      <w:tr w:rsidR="00453185" w:rsidRPr="00C510E1" w14:paraId="2FAC0560" w14:textId="77777777" w:rsidTr="00453185">
        <w:trPr>
          <w:trHeight w:val="276"/>
        </w:trPr>
        <w:tc>
          <w:tcPr>
            <w:tcW w:w="7078" w:type="dxa"/>
            <w:tcBorders>
              <w:top w:val="nil"/>
              <w:left w:val="nil"/>
              <w:bottom w:val="nil"/>
              <w:right w:val="nil"/>
            </w:tcBorders>
            <w:shd w:val="clear" w:color="auto" w:fill="auto"/>
            <w:noWrap/>
            <w:vAlign w:val="center"/>
            <w:hideMark/>
          </w:tcPr>
          <w:p w14:paraId="2D89EBDC" w14:textId="428B52CE" w:rsidR="00453185" w:rsidRPr="00C510E1" w:rsidRDefault="00453185" w:rsidP="00DB7650">
            <w:pPr>
              <w:jc w:val="left"/>
              <w:rPr>
                <w:rFonts w:ascii="Times New Roman" w:hAnsi="Times New Roman"/>
                <w:sz w:val="20"/>
              </w:rPr>
            </w:pPr>
            <w:r w:rsidRPr="00C510E1">
              <w:rPr>
                <w:rFonts w:cs="Calibri"/>
                <w:color w:val="000000"/>
                <w:szCs w:val="24"/>
              </w:rPr>
              <w:t>Pracovní čas společnosti First information systems, s.r.o. je pondělí až pátek od 8:00 do 16:</w:t>
            </w:r>
            <w:r>
              <w:rPr>
                <w:rFonts w:cs="Calibri"/>
                <w:color w:val="000000"/>
                <w:szCs w:val="24"/>
              </w:rPr>
              <w:t>0</w:t>
            </w:r>
            <w:r w:rsidRPr="00C510E1">
              <w:rPr>
                <w:rFonts w:cs="Calibri"/>
                <w:color w:val="000000"/>
                <w:szCs w:val="24"/>
              </w:rPr>
              <w:t>0</w:t>
            </w:r>
          </w:p>
        </w:tc>
        <w:tc>
          <w:tcPr>
            <w:tcW w:w="2382" w:type="dxa"/>
            <w:noWrap/>
            <w:hideMark/>
          </w:tcPr>
          <w:p w14:paraId="1F2A2A78" w14:textId="77777777" w:rsidR="00453185" w:rsidRPr="00C510E1" w:rsidRDefault="00453185" w:rsidP="00DB7650">
            <w:pPr>
              <w:jc w:val="left"/>
              <w:rPr>
                <w:rFonts w:ascii="Times New Roman" w:hAnsi="Times New Roman"/>
                <w:sz w:val="20"/>
              </w:rPr>
            </w:pPr>
          </w:p>
        </w:tc>
      </w:tr>
      <w:tr w:rsidR="00453185" w:rsidRPr="00C510E1" w14:paraId="207DE7E7" w14:textId="77777777" w:rsidTr="00453185">
        <w:trPr>
          <w:trHeight w:val="312"/>
        </w:trPr>
        <w:tc>
          <w:tcPr>
            <w:tcW w:w="7078" w:type="dxa"/>
            <w:tcBorders>
              <w:top w:val="nil"/>
              <w:left w:val="nil"/>
              <w:bottom w:val="nil"/>
              <w:right w:val="nil"/>
            </w:tcBorders>
            <w:shd w:val="clear" w:color="auto" w:fill="auto"/>
            <w:noWrap/>
            <w:vAlign w:val="center"/>
            <w:hideMark/>
          </w:tcPr>
          <w:p w14:paraId="75570E29" w14:textId="3FAD9F60" w:rsidR="00453185" w:rsidRPr="00C510E1" w:rsidRDefault="00453185" w:rsidP="00DB7650">
            <w:pPr>
              <w:jc w:val="left"/>
              <w:rPr>
                <w:rFonts w:ascii="Times New Roman" w:hAnsi="Times New Roman"/>
                <w:sz w:val="20"/>
              </w:rPr>
            </w:pPr>
            <w:r w:rsidRPr="00C510E1">
              <w:rPr>
                <w:rFonts w:cs="Calibri"/>
                <w:color w:val="000000"/>
                <w:szCs w:val="24"/>
              </w:rPr>
              <w:t>Mimo tento čas budou za práci u zákazníka účtované příplatky:</w:t>
            </w:r>
          </w:p>
        </w:tc>
        <w:tc>
          <w:tcPr>
            <w:tcW w:w="2382" w:type="dxa"/>
            <w:tcBorders>
              <w:top w:val="nil"/>
              <w:left w:val="nil"/>
              <w:bottom w:val="nil"/>
              <w:right w:val="nil"/>
            </w:tcBorders>
            <w:shd w:val="clear" w:color="auto" w:fill="auto"/>
            <w:noWrap/>
            <w:vAlign w:val="bottom"/>
            <w:hideMark/>
          </w:tcPr>
          <w:p w14:paraId="27C73661" w14:textId="77777777" w:rsidR="00453185" w:rsidRPr="00C510E1" w:rsidRDefault="00453185" w:rsidP="00DB7650">
            <w:pPr>
              <w:rPr>
                <w:rFonts w:ascii="Times New Roman" w:hAnsi="Times New Roman"/>
                <w:sz w:val="20"/>
              </w:rPr>
            </w:pPr>
          </w:p>
        </w:tc>
      </w:tr>
      <w:tr w:rsidR="00453185" w:rsidRPr="00C510E1" w14:paraId="68CD9CDC" w14:textId="77777777" w:rsidTr="00453185">
        <w:trPr>
          <w:trHeight w:val="312"/>
        </w:trPr>
        <w:tc>
          <w:tcPr>
            <w:tcW w:w="7078" w:type="dxa"/>
            <w:tcBorders>
              <w:top w:val="single" w:sz="12" w:space="0" w:color="auto"/>
              <w:left w:val="single" w:sz="12" w:space="0" w:color="auto"/>
              <w:bottom w:val="single" w:sz="8" w:space="0" w:color="auto"/>
              <w:right w:val="nil"/>
            </w:tcBorders>
            <w:shd w:val="clear" w:color="auto" w:fill="auto"/>
            <w:noWrap/>
            <w:vAlign w:val="center"/>
            <w:hideMark/>
          </w:tcPr>
          <w:p w14:paraId="19365965" w14:textId="281BAAFB" w:rsidR="00453185" w:rsidRPr="00C510E1" w:rsidRDefault="00453185" w:rsidP="00DB7650">
            <w:pPr>
              <w:rPr>
                <w:rFonts w:cs="Calibri"/>
                <w:b/>
                <w:bCs/>
                <w:color w:val="000000"/>
                <w:szCs w:val="24"/>
              </w:rPr>
            </w:pPr>
            <w:r w:rsidRPr="00C510E1">
              <w:rPr>
                <w:rFonts w:cs="Calibri"/>
                <w:color w:val="000000"/>
                <w:szCs w:val="24"/>
              </w:rPr>
              <w:t>Práce v čase od 6:00 do 8:00, od 16:</w:t>
            </w:r>
            <w:r>
              <w:rPr>
                <w:rFonts w:cs="Calibri"/>
                <w:color w:val="000000"/>
                <w:szCs w:val="24"/>
              </w:rPr>
              <w:t>0</w:t>
            </w:r>
            <w:r w:rsidRPr="00C510E1">
              <w:rPr>
                <w:rFonts w:cs="Calibri"/>
                <w:color w:val="000000"/>
                <w:szCs w:val="24"/>
              </w:rPr>
              <w:t>0 do 22:00</w:t>
            </w:r>
          </w:p>
        </w:tc>
        <w:tc>
          <w:tcPr>
            <w:tcW w:w="2382" w:type="dxa"/>
            <w:tcBorders>
              <w:top w:val="single" w:sz="12" w:space="0" w:color="auto"/>
              <w:left w:val="nil"/>
              <w:bottom w:val="single" w:sz="8" w:space="0" w:color="auto"/>
              <w:right w:val="single" w:sz="12" w:space="0" w:color="auto"/>
            </w:tcBorders>
            <w:shd w:val="clear" w:color="auto" w:fill="auto"/>
            <w:noWrap/>
            <w:vAlign w:val="center"/>
            <w:hideMark/>
          </w:tcPr>
          <w:p w14:paraId="55102E50" w14:textId="487B39C6" w:rsidR="00453185" w:rsidRPr="00C510E1" w:rsidRDefault="00453185" w:rsidP="00DB7650">
            <w:pPr>
              <w:rPr>
                <w:rFonts w:cs="Calibri"/>
                <w:b/>
                <w:bCs/>
                <w:color w:val="000000"/>
                <w:szCs w:val="24"/>
              </w:rPr>
            </w:pPr>
            <w:r w:rsidRPr="00C510E1">
              <w:rPr>
                <w:rFonts w:cs="Calibri"/>
                <w:color w:val="000000"/>
                <w:szCs w:val="24"/>
              </w:rPr>
              <w:t>25%</w:t>
            </w:r>
          </w:p>
        </w:tc>
      </w:tr>
      <w:tr w:rsidR="00453185" w:rsidRPr="00C510E1" w14:paraId="2D292F4D" w14:textId="77777777" w:rsidTr="00453185">
        <w:trPr>
          <w:trHeight w:val="312"/>
        </w:trPr>
        <w:tc>
          <w:tcPr>
            <w:tcW w:w="7078" w:type="dxa"/>
            <w:tcBorders>
              <w:top w:val="nil"/>
              <w:left w:val="single" w:sz="12" w:space="0" w:color="auto"/>
              <w:bottom w:val="single" w:sz="12" w:space="0" w:color="auto"/>
              <w:right w:val="nil"/>
            </w:tcBorders>
            <w:shd w:val="clear" w:color="auto" w:fill="auto"/>
            <w:noWrap/>
            <w:vAlign w:val="center"/>
            <w:hideMark/>
          </w:tcPr>
          <w:p w14:paraId="3307900B" w14:textId="2FE7E37E" w:rsidR="00453185" w:rsidRPr="00C510E1" w:rsidRDefault="00453185" w:rsidP="00DB7650">
            <w:pPr>
              <w:jc w:val="left"/>
              <w:rPr>
                <w:rFonts w:ascii="Times New Roman" w:hAnsi="Times New Roman"/>
                <w:sz w:val="20"/>
              </w:rPr>
            </w:pPr>
            <w:r w:rsidRPr="00C510E1">
              <w:rPr>
                <w:rFonts w:cs="Calibri"/>
                <w:color w:val="000000"/>
                <w:szCs w:val="24"/>
              </w:rPr>
              <w:t>Práce v sobotu, neděli a v čase od 22:00 do 6:00</w:t>
            </w:r>
          </w:p>
        </w:tc>
        <w:tc>
          <w:tcPr>
            <w:tcW w:w="2382" w:type="dxa"/>
            <w:tcBorders>
              <w:top w:val="nil"/>
              <w:left w:val="nil"/>
              <w:bottom w:val="single" w:sz="12" w:space="0" w:color="auto"/>
              <w:right w:val="single" w:sz="12" w:space="0" w:color="auto"/>
            </w:tcBorders>
            <w:shd w:val="clear" w:color="auto" w:fill="auto"/>
            <w:noWrap/>
            <w:vAlign w:val="center"/>
            <w:hideMark/>
          </w:tcPr>
          <w:p w14:paraId="442DD3F5" w14:textId="56E7B049" w:rsidR="00453185" w:rsidRPr="00C510E1" w:rsidRDefault="00453185" w:rsidP="00DB7650">
            <w:pPr>
              <w:rPr>
                <w:rFonts w:ascii="Times New Roman" w:hAnsi="Times New Roman"/>
                <w:sz w:val="20"/>
              </w:rPr>
            </w:pPr>
            <w:r w:rsidRPr="00C510E1">
              <w:rPr>
                <w:rFonts w:cs="Calibri"/>
                <w:color w:val="000000"/>
                <w:szCs w:val="24"/>
              </w:rPr>
              <w:t>50%</w:t>
            </w:r>
          </w:p>
        </w:tc>
      </w:tr>
    </w:tbl>
    <w:p w14:paraId="2C5A41D1" w14:textId="2F4C6A34" w:rsidR="00206368" w:rsidRDefault="00206368" w:rsidP="00206368">
      <w:pPr>
        <w:rPr>
          <w:b/>
        </w:rPr>
      </w:pPr>
      <w:r>
        <w:rPr>
          <w:b/>
        </w:rPr>
        <w:t xml:space="preserve"> </w:t>
      </w:r>
    </w:p>
    <w:p w14:paraId="2F7BAEB7" w14:textId="77777777" w:rsidR="00206368" w:rsidRPr="00642B03" w:rsidRDefault="00206368"/>
    <w:sectPr w:rsidR="00206368" w:rsidRPr="00642B03" w:rsidSect="00D930BD">
      <w:footerReference w:type="default" r:id="rId16"/>
      <w:headerReference w:type="first" r:id="rId17"/>
      <w:footerReference w:type="first" r:id="rId18"/>
      <w:pgSz w:w="11906" w:h="16838"/>
      <w:pgMar w:top="1417" w:right="926" w:bottom="1417" w:left="90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4E2E5" w16cex:dateUtc="2025-03-27T08:58:00Z"/>
  <w16cex:commentExtensible w16cex:durableId="5C1C33F9" w16cex:dateUtc="2025-03-10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13A523" w16cid:durableId="0D13A523"/>
  <w16cid:commentId w16cid:paraId="291B8253" w16cid:durableId="7E94E2E5"/>
  <w16cid:commentId w16cid:paraId="2A8BDD24" w16cid:durableId="5C1C33F9"/>
  <w16cid:commentId w16cid:paraId="1A3C8338" w16cid:durableId="1A3C83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4F821" w14:textId="77777777" w:rsidR="00747A30" w:rsidRDefault="00747A30" w:rsidP="006337DC">
      <w:r>
        <w:separator/>
      </w:r>
    </w:p>
  </w:endnote>
  <w:endnote w:type="continuationSeparator" w:id="0">
    <w:p w14:paraId="21771912" w14:textId="77777777" w:rsidR="00747A30" w:rsidRDefault="00747A3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59944" w14:textId="69F0FF1D" w:rsidR="008575C7" w:rsidRPr="00150F89" w:rsidRDefault="008575C7"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FA457C">
      <w:rPr>
        <w:noProof/>
        <w:sz w:val="20"/>
        <w:szCs w:val="20"/>
      </w:rPr>
      <w:t>10</w:t>
    </w:r>
    <w:r w:rsidRPr="00150F89">
      <w:rPr>
        <w:sz w:val="20"/>
        <w:szCs w:val="20"/>
      </w:rPr>
      <w:fldChar w:fldCharType="end"/>
    </w:r>
  </w:p>
  <w:p w14:paraId="04B5B92C" w14:textId="77777777" w:rsidR="008575C7" w:rsidRDefault="008575C7"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1C67D" w14:textId="6427F285" w:rsidR="008575C7" w:rsidRDefault="008575C7">
    <w:pPr>
      <w:pStyle w:val="Zpat"/>
      <w:jc w:val="center"/>
    </w:pPr>
    <w:r>
      <w:fldChar w:fldCharType="begin"/>
    </w:r>
    <w:r>
      <w:instrText>PAGE   \* MERGEFORMAT</w:instrText>
    </w:r>
    <w:r>
      <w:fldChar w:fldCharType="separate"/>
    </w:r>
    <w:r w:rsidR="00FA457C">
      <w:rPr>
        <w:noProof/>
      </w:rPr>
      <w:t>1</w:t>
    </w:r>
    <w:r>
      <w:fldChar w:fldCharType="end"/>
    </w:r>
  </w:p>
  <w:p w14:paraId="2C28808E" w14:textId="77777777" w:rsidR="008575C7" w:rsidRDefault="008575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75CEF" w14:textId="77777777" w:rsidR="00747A30" w:rsidRDefault="00747A30" w:rsidP="006337DC">
      <w:r>
        <w:separator/>
      </w:r>
    </w:p>
  </w:footnote>
  <w:footnote w:type="continuationSeparator" w:id="0">
    <w:p w14:paraId="291AA3AB" w14:textId="77777777" w:rsidR="00747A30" w:rsidRDefault="00747A30"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43B3" w14:textId="1454F4A5" w:rsidR="004D22A9" w:rsidRDefault="004D22A9" w:rsidP="004D22A9">
    <w:pPr>
      <w:pStyle w:val="Zhlav"/>
      <w:jc w:val="right"/>
    </w:pPr>
    <w:r>
      <w:t>O/1302/2025/Lm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A458BC"/>
    <w:multiLevelType w:val="hybridMultilevel"/>
    <w:tmpl w:val="C41E4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0C42D58"/>
    <w:multiLevelType w:val="hybridMultilevel"/>
    <w:tmpl w:val="81B8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ED88FE74"/>
    <w:lvl w:ilvl="0">
      <w:start w:val="1"/>
      <w:numFmt w:val="upperRoman"/>
      <w:pStyle w:val="Nadpis1"/>
      <w:lvlText w:val="%1."/>
      <w:lvlJc w:val="center"/>
      <w:pPr>
        <w:ind w:left="567" w:hanging="567"/>
      </w:pPr>
      <w:rPr>
        <w:rFonts w:hint="default"/>
      </w:rPr>
    </w:lvl>
    <w:lvl w:ilvl="1">
      <w:start w:val="1"/>
      <w:numFmt w:val="decimal"/>
      <w:pStyle w:val="Odstavecsmlouvy"/>
      <w:lvlText w:val="%1.%2"/>
      <w:lvlJc w:val="left"/>
      <w:pPr>
        <w:ind w:left="851"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7"/>
  </w:num>
  <w:num w:numId="3">
    <w:abstractNumId w:val="0"/>
  </w:num>
  <w:num w:numId="4">
    <w:abstractNumId w:val="9"/>
  </w:num>
  <w:num w:numId="5">
    <w:abstractNumId w:val="4"/>
  </w:num>
  <w:num w:numId="6">
    <w:abstractNumId w:val="10"/>
  </w:num>
  <w:num w:numId="7">
    <w:abstractNumId w:val="7"/>
  </w:num>
  <w:num w:numId="8">
    <w:abstractNumId w:val="7"/>
  </w:num>
  <w:num w:numId="9">
    <w:abstractNumId w:val="7"/>
  </w:num>
  <w:num w:numId="10">
    <w:abstractNumId w:val="7"/>
  </w:num>
  <w:num w:numId="11">
    <w:abstractNumId w:val="6"/>
  </w:num>
  <w:num w:numId="12">
    <w:abstractNumId w:val="2"/>
  </w:num>
  <w:num w:numId="13">
    <w:abstractNumId w:val="11"/>
  </w:num>
  <w:num w:numId="14">
    <w:abstractNumId w:val="7"/>
  </w:num>
  <w:num w:numId="15">
    <w:abstractNumId w:val="8"/>
  </w:num>
  <w:num w:numId="16">
    <w:abstractNumId w:val="7"/>
  </w:num>
  <w:num w:numId="17">
    <w:abstractNumId w:val="7"/>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7"/>
  </w:num>
  <w:num w:numId="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E85"/>
    <w:rsid w:val="0000720B"/>
    <w:rsid w:val="000116D5"/>
    <w:rsid w:val="00012084"/>
    <w:rsid w:val="00012814"/>
    <w:rsid w:val="00020A2F"/>
    <w:rsid w:val="00023008"/>
    <w:rsid w:val="00023AFC"/>
    <w:rsid w:val="00024928"/>
    <w:rsid w:val="00026997"/>
    <w:rsid w:val="00027592"/>
    <w:rsid w:val="0003021E"/>
    <w:rsid w:val="00030B09"/>
    <w:rsid w:val="0003714D"/>
    <w:rsid w:val="0004444F"/>
    <w:rsid w:val="000472E8"/>
    <w:rsid w:val="00053BC7"/>
    <w:rsid w:val="000544B3"/>
    <w:rsid w:val="00054E0C"/>
    <w:rsid w:val="00055588"/>
    <w:rsid w:val="00061455"/>
    <w:rsid w:val="00064A2C"/>
    <w:rsid w:val="000679BD"/>
    <w:rsid w:val="000729CF"/>
    <w:rsid w:val="00075387"/>
    <w:rsid w:val="000777BF"/>
    <w:rsid w:val="00081D58"/>
    <w:rsid w:val="000862FF"/>
    <w:rsid w:val="00090A11"/>
    <w:rsid w:val="00091DA0"/>
    <w:rsid w:val="0009257B"/>
    <w:rsid w:val="00093057"/>
    <w:rsid w:val="00093388"/>
    <w:rsid w:val="00093DDC"/>
    <w:rsid w:val="000968B5"/>
    <w:rsid w:val="000A0623"/>
    <w:rsid w:val="000A153E"/>
    <w:rsid w:val="000A4B55"/>
    <w:rsid w:val="000B00FA"/>
    <w:rsid w:val="000B1243"/>
    <w:rsid w:val="000B61C6"/>
    <w:rsid w:val="000C0B21"/>
    <w:rsid w:val="000C1507"/>
    <w:rsid w:val="000C26CE"/>
    <w:rsid w:val="000C3405"/>
    <w:rsid w:val="000C38A2"/>
    <w:rsid w:val="000C409D"/>
    <w:rsid w:val="000C4E61"/>
    <w:rsid w:val="000C5285"/>
    <w:rsid w:val="000D0478"/>
    <w:rsid w:val="000D6C4D"/>
    <w:rsid w:val="000D6CC1"/>
    <w:rsid w:val="000F0840"/>
    <w:rsid w:val="000F0CFA"/>
    <w:rsid w:val="000F233C"/>
    <w:rsid w:val="000F3AC2"/>
    <w:rsid w:val="000F5076"/>
    <w:rsid w:val="000F5D02"/>
    <w:rsid w:val="000F6286"/>
    <w:rsid w:val="00105B0E"/>
    <w:rsid w:val="00111B0E"/>
    <w:rsid w:val="00115C4E"/>
    <w:rsid w:val="00116BD7"/>
    <w:rsid w:val="00121C92"/>
    <w:rsid w:val="00125640"/>
    <w:rsid w:val="001259E0"/>
    <w:rsid w:val="00125D43"/>
    <w:rsid w:val="00126740"/>
    <w:rsid w:val="00126B24"/>
    <w:rsid w:val="00127ABD"/>
    <w:rsid w:val="00133CE4"/>
    <w:rsid w:val="00137C74"/>
    <w:rsid w:val="00145499"/>
    <w:rsid w:val="001456BB"/>
    <w:rsid w:val="00145CD8"/>
    <w:rsid w:val="00150F89"/>
    <w:rsid w:val="00153698"/>
    <w:rsid w:val="0015378B"/>
    <w:rsid w:val="00154ACA"/>
    <w:rsid w:val="001604EA"/>
    <w:rsid w:val="001673D6"/>
    <w:rsid w:val="00167DCC"/>
    <w:rsid w:val="00183B7C"/>
    <w:rsid w:val="00190B70"/>
    <w:rsid w:val="00195143"/>
    <w:rsid w:val="00195882"/>
    <w:rsid w:val="001976E5"/>
    <w:rsid w:val="001A2FBC"/>
    <w:rsid w:val="001A3AA2"/>
    <w:rsid w:val="001A3C93"/>
    <w:rsid w:val="001A7E20"/>
    <w:rsid w:val="001B5F9C"/>
    <w:rsid w:val="001B68C1"/>
    <w:rsid w:val="001C1844"/>
    <w:rsid w:val="001C5BFF"/>
    <w:rsid w:val="001D05E4"/>
    <w:rsid w:val="001D16A9"/>
    <w:rsid w:val="001D1E80"/>
    <w:rsid w:val="001D340D"/>
    <w:rsid w:val="001D6C6A"/>
    <w:rsid w:val="001D71E3"/>
    <w:rsid w:val="001E0ACD"/>
    <w:rsid w:val="001E35DE"/>
    <w:rsid w:val="001E38D3"/>
    <w:rsid w:val="001E7C33"/>
    <w:rsid w:val="001E7C77"/>
    <w:rsid w:val="001F0378"/>
    <w:rsid w:val="001F1D78"/>
    <w:rsid w:val="001F2EAE"/>
    <w:rsid w:val="001F4AA6"/>
    <w:rsid w:val="001F4F11"/>
    <w:rsid w:val="001F6BE7"/>
    <w:rsid w:val="00200073"/>
    <w:rsid w:val="00201DB5"/>
    <w:rsid w:val="00206368"/>
    <w:rsid w:val="00207F94"/>
    <w:rsid w:val="00217B9D"/>
    <w:rsid w:val="00221180"/>
    <w:rsid w:val="0022612F"/>
    <w:rsid w:val="00232421"/>
    <w:rsid w:val="00232668"/>
    <w:rsid w:val="0023578D"/>
    <w:rsid w:val="00236D62"/>
    <w:rsid w:val="00237B38"/>
    <w:rsid w:val="00241FA8"/>
    <w:rsid w:val="00245011"/>
    <w:rsid w:val="00250E2D"/>
    <w:rsid w:val="002531BE"/>
    <w:rsid w:val="00255AE6"/>
    <w:rsid w:val="00257643"/>
    <w:rsid w:val="002650C5"/>
    <w:rsid w:val="00265138"/>
    <w:rsid w:val="002731D3"/>
    <w:rsid w:val="002804F4"/>
    <w:rsid w:val="00286F30"/>
    <w:rsid w:val="002906DA"/>
    <w:rsid w:val="0029236A"/>
    <w:rsid w:val="00295025"/>
    <w:rsid w:val="002959B0"/>
    <w:rsid w:val="00297F3A"/>
    <w:rsid w:val="002A2DB8"/>
    <w:rsid w:val="002A51C4"/>
    <w:rsid w:val="002A5831"/>
    <w:rsid w:val="002B68E8"/>
    <w:rsid w:val="002C0743"/>
    <w:rsid w:val="002C243A"/>
    <w:rsid w:val="002D52E1"/>
    <w:rsid w:val="002D5641"/>
    <w:rsid w:val="002D7B98"/>
    <w:rsid w:val="002E1BE5"/>
    <w:rsid w:val="002E1C03"/>
    <w:rsid w:val="002E1D0C"/>
    <w:rsid w:val="002E3B6D"/>
    <w:rsid w:val="002E4D60"/>
    <w:rsid w:val="002E515C"/>
    <w:rsid w:val="002E5DF3"/>
    <w:rsid w:val="002E5DFE"/>
    <w:rsid w:val="002F4739"/>
    <w:rsid w:val="0030119B"/>
    <w:rsid w:val="0030437C"/>
    <w:rsid w:val="003107F4"/>
    <w:rsid w:val="003127FA"/>
    <w:rsid w:val="00312F84"/>
    <w:rsid w:val="00322554"/>
    <w:rsid w:val="00323996"/>
    <w:rsid w:val="0033010D"/>
    <w:rsid w:val="0033048B"/>
    <w:rsid w:val="003371CD"/>
    <w:rsid w:val="003376AD"/>
    <w:rsid w:val="003419F4"/>
    <w:rsid w:val="00343B9B"/>
    <w:rsid w:val="0034523E"/>
    <w:rsid w:val="003503FC"/>
    <w:rsid w:val="00352CD1"/>
    <w:rsid w:val="003571AB"/>
    <w:rsid w:val="003603C6"/>
    <w:rsid w:val="003606FD"/>
    <w:rsid w:val="00371230"/>
    <w:rsid w:val="00372B4E"/>
    <w:rsid w:val="003743FE"/>
    <w:rsid w:val="00374DA6"/>
    <w:rsid w:val="0037595E"/>
    <w:rsid w:val="00376DE0"/>
    <w:rsid w:val="00381055"/>
    <w:rsid w:val="00381987"/>
    <w:rsid w:val="00383349"/>
    <w:rsid w:val="00384256"/>
    <w:rsid w:val="003874CE"/>
    <w:rsid w:val="003900DD"/>
    <w:rsid w:val="00392A54"/>
    <w:rsid w:val="00393C4D"/>
    <w:rsid w:val="003A4E43"/>
    <w:rsid w:val="003B059E"/>
    <w:rsid w:val="003B0D03"/>
    <w:rsid w:val="003B18C3"/>
    <w:rsid w:val="003B1919"/>
    <w:rsid w:val="003B45F7"/>
    <w:rsid w:val="003B597A"/>
    <w:rsid w:val="003B7B17"/>
    <w:rsid w:val="003C0988"/>
    <w:rsid w:val="003C1848"/>
    <w:rsid w:val="003D7E2C"/>
    <w:rsid w:val="003E1703"/>
    <w:rsid w:val="003E3071"/>
    <w:rsid w:val="003E311E"/>
    <w:rsid w:val="003E570D"/>
    <w:rsid w:val="003E5B53"/>
    <w:rsid w:val="003F567B"/>
    <w:rsid w:val="003F5CF4"/>
    <w:rsid w:val="00403A28"/>
    <w:rsid w:val="0040619A"/>
    <w:rsid w:val="004066A0"/>
    <w:rsid w:val="00411036"/>
    <w:rsid w:val="0041220C"/>
    <w:rsid w:val="00413791"/>
    <w:rsid w:val="00414ABF"/>
    <w:rsid w:val="00415385"/>
    <w:rsid w:val="00416208"/>
    <w:rsid w:val="00422172"/>
    <w:rsid w:val="00425E0D"/>
    <w:rsid w:val="00430BDA"/>
    <w:rsid w:val="0043408F"/>
    <w:rsid w:val="00437306"/>
    <w:rsid w:val="00443334"/>
    <w:rsid w:val="00453185"/>
    <w:rsid w:val="004601D0"/>
    <w:rsid w:val="00465575"/>
    <w:rsid w:val="00465985"/>
    <w:rsid w:val="00465DC2"/>
    <w:rsid w:val="004672FC"/>
    <w:rsid w:val="004756DA"/>
    <w:rsid w:val="0048715C"/>
    <w:rsid w:val="004924D3"/>
    <w:rsid w:val="00492818"/>
    <w:rsid w:val="00494454"/>
    <w:rsid w:val="00494744"/>
    <w:rsid w:val="004953EF"/>
    <w:rsid w:val="004A45B0"/>
    <w:rsid w:val="004A4DFF"/>
    <w:rsid w:val="004B1019"/>
    <w:rsid w:val="004B6F6E"/>
    <w:rsid w:val="004C2C98"/>
    <w:rsid w:val="004D0C03"/>
    <w:rsid w:val="004D22A9"/>
    <w:rsid w:val="004D776C"/>
    <w:rsid w:val="004E42DF"/>
    <w:rsid w:val="004E7425"/>
    <w:rsid w:val="004F0737"/>
    <w:rsid w:val="004F1661"/>
    <w:rsid w:val="004F2036"/>
    <w:rsid w:val="004F6C95"/>
    <w:rsid w:val="00500A87"/>
    <w:rsid w:val="0050141C"/>
    <w:rsid w:val="00501DF8"/>
    <w:rsid w:val="00504461"/>
    <w:rsid w:val="00505883"/>
    <w:rsid w:val="005063F3"/>
    <w:rsid w:val="0050673F"/>
    <w:rsid w:val="0051208B"/>
    <w:rsid w:val="00512300"/>
    <w:rsid w:val="0051341C"/>
    <w:rsid w:val="00515A07"/>
    <w:rsid w:val="005237DF"/>
    <w:rsid w:val="00524109"/>
    <w:rsid w:val="0052509C"/>
    <w:rsid w:val="00530753"/>
    <w:rsid w:val="00531121"/>
    <w:rsid w:val="00535F96"/>
    <w:rsid w:val="005372ED"/>
    <w:rsid w:val="005459B6"/>
    <w:rsid w:val="0055025A"/>
    <w:rsid w:val="00557002"/>
    <w:rsid w:val="0056169A"/>
    <w:rsid w:val="0057112F"/>
    <w:rsid w:val="0057480A"/>
    <w:rsid w:val="005776B2"/>
    <w:rsid w:val="00577AE1"/>
    <w:rsid w:val="00580B53"/>
    <w:rsid w:val="00580CAE"/>
    <w:rsid w:val="005879FE"/>
    <w:rsid w:val="00592679"/>
    <w:rsid w:val="00593861"/>
    <w:rsid w:val="00596005"/>
    <w:rsid w:val="005A2358"/>
    <w:rsid w:val="005A2E2D"/>
    <w:rsid w:val="005A47EB"/>
    <w:rsid w:val="005A5F5C"/>
    <w:rsid w:val="005A7DD1"/>
    <w:rsid w:val="005B14DB"/>
    <w:rsid w:val="005B1C4C"/>
    <w:rsid w:val="005B32C2"/>
    <w:rsid w:val="005B4587"/>
    <w:rsid w:val="005B49AA"/>
    <w:rsid w:val="005B4FD6"/>
    <w:rsid w:val="005C340C"/>
    <w:rsid w:val="005D13E0"/>
    <w:rsid w:val="005D19EA"/>
    <w:rsid w:val="005D630E"/>
    <w:rsid w:val="005E224A"/>
    <w:rsid w:val="005E41BA"/>
    <w:rsid w:val="005E47C0"/>
    <w:rsid w:val="005F47C4"/>
    <w:rsid w:val="005F606A"/>
    <w:rsid w:val="0060020F"/>
    <w:rsid w:val="0060495E"/>
    <w:rsid w:val="006130D0"/>
    <w:rsid w:val="00613E82"/>
    <w:rsid w:val="00621D0C"/>
    <w:rsid w:val="00624835"/>
    <w:rsid w:val="0062677D"/>
    <w:rsid w:val="0062741D"/>
    <w:rsid w:val="00631A50"/>
    <w:rsid w:val="006337DC"/>
    <w:rsid w:val="006401C9"/>
    <w:rsid w:val="00642A17"/>
    <w:rsid w:val="00642B03"/>
    <w:rsid w:val="00646E8E"/>
    <w:rsid w:val="00651D9D"/>
    <w:rsid w:val="00655FFF"/>
    <w:rsid w:val="00661C03"/>
    <w:rsid w:val="00663E2D"/>
    <w:rsid w:val="00665EAC"/>
    <w:rsid w:val="006714E5"/>
    <w:rsid w:val="00674566"/>
    <w:rsid w:val="006778A2"/>
    <w:rsid w:val="006807B1"/>
    <w:rsid w:val="00682B01"/>
    <w:rsid w:val="00684BFA"/>
    <w:rsid w:val="00685791"/>
    <w:rsid w:val="00687A84"/>
    <w:rsid w:val="006913C4"/>
    <w:rsid w:val="006925A2"/>
    <w:rsid w:val="00692870"/>
    <w:rsid w:val="0069784C"/>
    <w:rsid w:val="006A0496"/>
    <w:rsid w:val="006B006D"/>
    <w:rsid w:val="006B14CF"/>
    <w:rsid w:val="006B56E5"/>
    <w:rsid w:val="006B5C04"/>
    <w:rsid w:val="006B6C97"/>
    <w:rsid w:val="006C0628"/>
    <w:rsid w:val="006C44FA"/>
    <w:rsid w:val="006D0000"/>
    <w:rsid w:val="006D074E"/>
    <w:rsid w:val="006D3968"/>
    <w:rsid w:val="006D7214"/>
    <w:rsid w:val="006D7971"/>
    <w:rsid w:val="006D7A2B"/>
    <w:rsid w:val="006E21FC"/>
    <w:rsid w:val="006E4E2A"/>
    <w:rsid w:val="006E6018"/>
    <w:rsid w:val="006E6E37"/>
    <w:rsid w:val="006F5E44"/>
    <w:rsid w:val="006F6220"/>
    <w:rsid w:val="00706E61"/>
    <w:rsid w:val="00706E7C"/>
    <w:rsid w:val="00707C08"/>
    <w:rsid w:val="0071208E"/>
    <w:rsid w:val="0071281B"/>
    <w:rsid w:val="007139E6"/>
    <w:rsid w:val="00722BA7"/>
    <w:rsid w:val="007242EE"/>
    <w:rsid w:val="007249F3"/>
    <w:rsid w:val="00726B26"/>
    <w:rsid w:val="00727439"/>
    <w:rsid w:val="00727F82"/>
    <w:rsid w:val="0073369C"/>
    <w:rsid w:val="007408D2"/>
    <w:rsid w:val="00744F95"/>
    <w:rsid w:val="00745819"/>
    <w:rsid w:val="00745970"/>
    <w:rsid w:val="00747A30"/>
    <w:rsid w:val="007536F8"/>
    <w:rsid w:val="0075495D"/>
    <w:rsid w:val="00760797"/>
    <w:rsid w:val="00761FEC"/>
    <w:rsid w:val="00763381"/>
    <w:rsid w:val="0076415C"/>
    <w:rsid w:val="00765CC7"/>
    <w:rsid w:val="00774539"/>
    <w:rsid w:val="00776CB0"/>
    <w:rsid w:val="00776DBD"/>
    <w:rsid w:val="007800BC"/>
    <w:rsid w:val="007801E7"/>
    <w:rsid w:val="00780477"/>
    <w:rsid w:val="00786DD8"/>
    <w:rsid w:val="007930D9"/>
    <w:rsid w:val="00795FAE"/>
    <w:rsid w:val="007A00A3"/>
    <w:rsid w:val="007A2733"/>
    <w:rsid w:val="007A32F9"/>
    <w:rsid w:val="007A4E3A"/>
    <w:rsid w:val="007A77B0"/>
    <w:rsid w:val="007A7A0F"/>
    <w:rsid w:val="007B298D"/>
    <w:rsid w:val="007B4F60"/>
    <w:rsid w:val="007B4F96"/>
    <w:rsid w:val="007B5200"/>
    <w:rsid w:val="007B5FDD"/>
    <w:rsid w:val="007B69F7"/>
    <w:rsid w:val="007C19F2"/>
    <w:rsid w:val="007D0D56"/>
    <w:rsid w:val="007D13B2"/>
    <w:rsid w:val="007D3523"/>
    <w:rsid w:val="007D74D4"/>
    <w:rsid w:val="007E1B81"/>
    <w:rsid w:val="007E3A84"/>
    <w:rsid w:val="007E6972"/>
    <w:rsid w:val="007F0866"/>
    <w:rsid w:val="007F1DCA"/>
    <w:rsid w:val="007F216E"/>
    <w:rsid w:val="00801C57"/>
    <w:rsid w:val="00803984"/>
    <w:rsid w:val="008059D3"/>
    <w:rsid w:val="00812EA1"/>
    <w:rsid w:val="00812F2C"/>
    <w:rsid w:val="00815539"/>
    <w:rsid w:val="008227EE"/>
    <w:rsid w:val="00827111"/>
    <w:rsid w:val="008316A7"/>
    <w:rsid w:val="00834341"/>
    <w:rsid w:val="00836A00"/>
    <w:rsid w:val="008410B8"/>
    <w:rsid w:val="00843126"/>
    <w:rsid w:val="00844063"/>
    <w:rsid w:val="00846663"/>
    <w:rsid w:val="008470BF"/>
    <w:rsid w:val="00847B4A"/>
    <w:rsid w:val="00850EC5"/>
    <w:rsid w:val="0085112B"/>
    <w:rsid w:val="008524EE"/>
    <w:rsid w:val="00853FFE"/>
    <w:rsid w:val="008559D7"/>
    <w:rsid w:val="008575C7"/>
    <w:rsid w:val="00862350"/>
    <w:rsid w:val="00862EBA"/>
    <w:rsid w:val="00863E04"/>
    <w:rsid w:val="008702B4"/>
    <w:rsid w:val="0087360F"/>
    <w:rsid w:val="00875B50"/>
    <w:rsid w:val="00875E6A"/>
    <w:rsid w:val="0088074E"/>
    <w:rsid w:val="00882FA2"/>
    <w:rsid w:val="00884412"/>
    <w:rsid w:val="00885888"/>
    <w:rsid w:val="00891EAB"/>
    <w:rsid w:val="008934EF"/>
    <w:rsid w:val="00893606"/>
    <w:rsid w:val="008A31F3"/>
    <w:rsid w:val="008A57E9"/>
    <w:rsid w:val="008B2B91"/>
    <w:rsid w:val="008B5825"/>
    <w:rsid w:val="008B732B"/>
    <w:rsid w:val="008C06CE"/>
    <w:rsid w:val="008C3784"/>
    <w:rsid w:val="008D3394"/>
    <w:rsid w:val="008E3011"/>
    <w:rsid w:val="008E627E"/>
    <w:rsid w:val="008F23B0"/>
    <w:rsid w:val="008F5E25"/>
    <w:rsid w:val="008F658D"/>
    <w:rsid w:val="00901A9D"/>
    <w:rsid w:val="00915EC3"/>
    <w:rsid w:val="00916698"/>
    <w:rsid w:val="00926B15"/>
    <w:rsid w:val="009349D0"/>
    <w:rsid w:val="009364A6"/>
    <w:rsid w:val="009403EE"/>
    <w:rsid w:val="009404F7"/>
    <w:rsid w:val="009436C7"/>
    <w:rsid w:val="00945D74"/>
    <w:rsid w:val="00950039"/>
    <w:rsid w:val="0095515E"/>
    <w:rsid w:val="00960B1F"/>
    <w:rsid w:val="009618B5"/>
    <w:rsid w:val="00965362"/>
    <w:rsid w:val="00971AB6"/>
    <w:rsid w:val="0097477E"/>
    <w:rsid w:val="009811BA"/>
    <w:rsid w:val="00982C4A"/>
    <w:rsid w:val="00985F35"/>
    <w:rsid w:val="0098764F"/>
    <w:rsid w:val="00987E9C"/>
    <w:rsid w:val="00993127"/>
    <w:rsid w:val="00994603"/>
    <w:rsid w:val="00997664"/>
    <w:rsid w:val="009A4267"/>
    <w:rsid w:val="009B0178"/>
    <w:rsid w:val="009B5A6C"/>
    <w:rsid w:val="009C1465"/>
    <w:rsid w:val="009C3B3B"/>
    <w:rsid w:val="009C75CE"/>
    <w:rsid w:val="009C7B44"/>
    <w:rsid w:val="009D6F7A"/>
    <w:rsid w:val="009E5E68"/>
    <w:rsid w:val="009F59BB"/>
    <w:rsid w:val="00A00107"/>
    <w:rsid w:val="00A05687"/>
    <w:rsid w:val="00A06BF1"/>
    <w:rsid w:val="00A07E80"/>
    <w:rsid w:val="00A10247"/>
    <w:rsid w:val="00A1270C"/>
    <w:rsid w:val="00A2087D"/>
    <w:rsid w:val="00A2783D"/>
    <w:rsid w:val="00A34988"/>
    <w:rsid w:val="00A3675B"/>
    <w:rsid w:val="00A36E76"/>
    <w:rsid w:val="00A46C93"/>
    <w:rsid w:val="00A4770D"/>
    <w:rsid w:val="00A47C60"/>
    <w:rsid w:val="00A50BC9"/>
    <w:rsid w:val="00A5141C"/>
    <w:rsid w:val="00A54E2B"/>
    <w:rsid w:val="00A55F1A"/>
    <w:rsid w:val="00A6010B"/>
    <w:rsid w:val="00A621A7"/>
    <w:rsid w:val="00A668FC"/>
    <w:rsid w:val="00A71E64"/>
    <w:rsid w:val="00A72619"/>
    <w:rsid w:val="00A80981"/>
    <w:rsid w:val="00A83813"/>
    <w:rsid w:val="00A865B2"/>
    <w:rsid w:val="00A907EE"/>
    <w:rsid w:val="00A93C3D"/>
    <w:rsid w:val="00A966E9"/>
    <w:rsid w:val="00AA34DF"/>
    <w:rsid w:val="00AA439D"/>
    <w:rsid w:val="00AA5571"/>
    <w:rsid w:val="00AA5930"/>
    <w:rsid w:val="00AA752D"/>
    <w:rsid w:val="00AC4202"/>
    <w:rsid w:val="00AC7710"/>
    <w:rsid w:val="00AD7170"/>
    <w:rsid w:val="00AE1423"/>
    <w:rsid w:val="00AE1821"/>
    <w:rsid w:val="00AE2234"/>
    <w:rsid w:val="00AF347D"/>
    <w:rsid w:val="00AF4DE8"/>
    <w:rsid w:val="00AF6AA4"/>
    <w:rsid w:val="00AF7E1F"/>
    <w:rsid w:val="00B00244"/>
    <w:rsid w:val="00B04FA5"/>
    <w:rsid w:val="00B05304"/>
    <w:rsid w:val="00B0770E"/>
    <w:rsid w:val="00B11CD3"/>
    <w:rsid w:val="00B12570"/>
    <w:rsid w:val="00B1548D"/>
    <w:rsid w:val="00B213D6"/>
    <w:rsid w:val="00B23E3B"/>
    <w:rsid w:val="00B27847"/>
    <w:rsid w:val="00B324BE"/>
    <w:rsid w:val="00B3345F"/>
    <w:rsid w:val="00B36186"/>
    <w:rsid w:val="00B377B9"/>
    <w:rsid w:val="00B41178"/>
    <w:rsid w:val="00B42045"/>
    <w:rsid w:val="00B44933"/>
    <w:rsid w:val="00B47373"/>
    <w:rsid w:val="00B47EF1"/>
    <w:rsid w:val="00B50110"/>
    <w:rsid w:val="00B51AD4"/>
    <w:rsid w:val="00B6250F"/>
    <w:rsid w:val="00B62BE7"/>
    <w:rsid w:val="00B652EC"/>
    <w:rsid w:val="00B67019"/>
    <w:rsid w:val="00B673DC"/>
    <w:rsid w:val="00B72644"/>
    <w:rsid w:val="00B77B55"/>
    <w:rsid w:val="00B8081A"/>
    <w:rsid w:val="00B86A07"/>
    <w:rsid w:val="00B92D38"/>
    <w:rsid w:val="00B945BB"/>
    <w:rsid w:val="00B9584D"/>
    <w:rsid w:val="00BA54CA"/>
    <w:rsid w:val="00BA7DC7"/>
    <w:rsid w:val="00BB3C2F"/>
    <w:rsid w:val="00BB5167"/>
    <w:rsid w:val="00BB6959"/>
    <w:rsid w:val="00BC0763"/>
    <w:rsid w:val="00BC1018"/>
    <w:rsid w:val="00BC264F"/>
    <w:rsid w:val="00BC273A"/>
    <w:rsid w:val="00BC38C5"/>
    <w:rsid w:val="00BD09F8"/>
    <w:rsid w:val="00BD0B6F"/>
    <w:rsid w:val="00BD3BCD"/>
    <w:rsid w:val="00BD6A5A"/>
    <w:rsid w:val="00BD6F4D"/>
    <w:rsid w:val="00BE02E4"/>
    <w:rsid w:val="00BE1529"/>
    <w:rsid w:val="00BE50CA"/>
    <w:rsid w:val="00BE6F07"/>
    <w:rsid w:val="00BF0811"/>
    <w:rsid w:val="00BF0D07"/>
    <w:rsid w:val="00BF2F20"/>
    <w:rsid w:val="00BF5954"/>
    <w:rsid w:val="00C02A5C"/>
    <w:rsid w:val="00C0348B"/>
    <w:rsid w:val="00C06FB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3F88"/>
    <w:rsid w:val="00C65B18"/>
    <w:rsid w:val="00C660DA"/>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102B"/>
    <w:rsid w:val="00CB299C"/>
    <w:rsid w:val="00CB4432"/>
    <w:rsid w:val="00CB7EDF"/>
    <w:rsid w:val="00CC7849"/>
    <w:rsid w:val="00CD338B"/>
    <w:rsid w:val="00CD3977"/>
    <w:rsid w:val="00CD7A9E"/>
    <w:rsid w:val="00CE13E1"/>
    <w:rsid w:val="00CE2241"/>
    <w:rsid w:val="00CF0C56"/>
    <w:rsid w:val="00CF4BE0"/>
    <w:rsid w:val="00CF6796"/>
    <w:rsid w:val="00D004AE"/>
    <w:rsid w:val="00D0184D"/>
    <w:rsid w:val="00D04AD5"/>
    <w:rsid w:val="00D050E6"/>
    <w:rsid w:val="00D0617B"/>
    <w:rsid w:val="00D13E95"/>
    <w:rsid w:val="00D14C81"/>
    <w:rsid w:val="00D15E7A"/>
    <w:rsid w:val="00D20310"/>
    <w:rsid w:val="00D21CA5"/>
    <w:rsid w:val="00D221A4"/>
    <w:rsid w:val="00D25F9D"/>
    <w:rsid w:val="00D27E94"/>
    <w:rsid w:val="00D33510"/>
    <w:rsid w:val="00D3417E"/>
    <w:rsid w:val="00D35D83"/>
    <w:rsid w:val="00D4239D"/>
    <w:rsid w:val="00D441FB"/>
    <w:rsid w:val="00D44B47"/>
    <w:rsid w:val="00D46D7C"/>
    <w:rsid w:val="00D505DF"/>
    <w:rsid w:val="00D50C1C"/>
    <w:rsid w:val="00D52C27"/>
    <w:rsid w:val="00D52CAB"/>
    <w:rsid w:val="00D54237"/>
    <w:rsid w:val="00D56CD6"/>
    <w:rsid w:val="00D6248F"/>
    <w:rsid w:val="00D625CC"/>
    <w:rsid w:val="00D6287A"/>
    <w:rsid w:val="00D649B4"/>
    <w:rsid w:val="00D669F9"/>
    <w:rsid w:val="00D720C7"/>
    <w:rsid w:val="00D722DC"/>
    <w:rsid w:val="00D72755"/>
    <w:rsid w:val="00D72F49"/>
    <w:rsid w:val="00D7594D"/>
    <w:rsid w:val="00D765F0"/>
    <w:rsid w:val="00D80EA0"/>
    <w:rsid w:val="00D832C2"/>
    <w:rsid w:val="00D854DD"/>
    <w:rsid w:val="00D87E3E"/>
    <w:rsid w:val="00D930BD"/>
    <w:rsid w:val="00D97809"/>
    <w:rsid w:val="00DA20CD"/>
    <w:rsid w:val="00DA2540"/>
    <w:rsid w:val="00DA2C76"/>
    <w:rsid w:val="00DA63C3"/>
    <w:rsid w:val="00DB4BAB"/>
    <w:rsid w:val="00DB6E4C"/>
    <w:rsid w:val="00DC1CD3"/>
    <w:rsid w:val="00DC4260"/>
    <w:rsid w:val="00DC647E"/>
    <w:rsid w:val="00DD12BB"/>
    <w:rsid w:val="00DD456C"/>
    <w:rsid w:val="00DE38B1"/>
    <w:rsid w:val="00DF09F8"/>
    <w:rsid w:val="00DF0B22"/>
    <w:rsid w:val="00DF1C1D"/>
    <w:rsid w:val="00DF4D60"/>
    <w:rsid w:val="00DF537F"/>
    <w:rsid w:val="00E02379"/>
    <w:rsid w:val="00E034D5"/>
    <w:rsid w:val="00E052D0"/>
    <w:rsid w:val="00E12511"/>
    <w:rsid w:val="00E13CC5"/>
    <w:rsid w:val="00E25574"/>
    <w:rsid w:val="00E31722"/>
    <w:rsid w:val="00E318C7"/>
    <w:rsid w:val="00E33579"/>
    <w:rsid w:val="00E35421"/>
    <w:rsid w:val="00E35C02"/>
    <w:rsid w:val="00E367C0"/>
    <w:rsid w:val="00E4123D"/>
    <w:rsid w:val="00E42264"/>
    <w:rsid w:val="00E44AD1"/>
    <w:rsid w:val="00E51072"/>
    <w:rsid w:val="00E51AA5"/>
    <w:rsid w:val="00E54C4A"/>
    <w:rsid w:val="00E5651F"/>
    <w:rsid w:val="00E60B3E"/>
    <w:rsid w:val="00E628F5"/>
    <w:rsid w:val="00E65666"/>
    <w:rsid w:val="00E66ABC"/>
    <w:rsid w:val="00E71A1D"/>
    <w:rsid w:val="00E71ACE"/>
    <w:rsid w:val="00E735F2"/>
    <w:rsid w:val="00E81865"/>
    <w:rsid w:val="00E839F4"/>
    <w:rsid w:val="00E8416E"/>
    <w:rsid w:val="00E8691B"/>
    <w:rsid w:val="00EA0296"/>
    <w:rsid w:val="00EA1A12"/>
    <w:rsid w:val="00EA2854"/>
    <w:rsid w:val="00EA393E"/>
    <w:rsid w:val="00EB2D15"/>
    <w:rsid w:val="00EB3860"/>
    <w:rsid w:val="00EB4FF0"/>
    <w:rsid w:val="00EC4FF4"/>
    <w:rsid w:val="00EC6A23"/>
    <w:rsid w:val="00ED0547"/>
    <w:rsid w:val="00ED2EFD"/>
    <w:rsid w:val="00ED4756"/>
    <w:rsid w:val="00ED61B0"/>
    <w:rsid w:val="00ED744A"/>
    <w:rsid w:val="00ED79F8"/>
    <w:rsid w:val="00EE571A"/>
    <w:rsid w:val="00EF274D"/>
    <w:rsid w:val="00EF37AA"/>
    <w:rsid w:val="00EF3FF1"/>
    <w:rsid w:val="00EF503F"/>
    <w:rsid w:val="00EF728C"/>
    <w:rsid w:val="00F04E2B"/>
    <w:rsid w:val="00F1047E"/>
    <w:rsid w:val="00F1093C"/>
    <w:rsid w:val="00F10D7B"/>
    <w:rsid w:val="00F24370"/>
    <w:rsid w:val="00F25645"/>
    <w:rsid w:val="00F279EE"/>
    <w:rsid w:val="00F43EC4"/>
    <w:rsid w:val="00F45871"/>
    <w:rsid w:val="00F45BDE"/>
    <w:rsid w:val="00F47A25"/>
    <w:rsid w:val="00F5367A"/>
    <w:rsid w:val="00F55E3B"/>
    <w:rsid w:val="00F6327E"/>
    <w:rsid w:val="00F63590"/>
    <w:rsid w:val="00F7071B"/>
    <w:rsid w:val="00F70BA0"/>
    <w:rsid w:val="00F72C37"/>
    <w:rsid w:val="00F8412F"/>
    <w:rsid w:val="00F870CA"/>
    <w:rsid w:val="00F87AD3"/>
    <w:rsid w:val="00F91396"/>
    <w:rsid w:val="00F921A1"/>
    <w:rsid w:val="00F92FBB"/>
    <w:rsid w:val="00F93A20"/>
    <w:rsid w:val="00FA1911"/>
    <w:rsid w:val="00FA41D0"/>
    <w:rsid w:val="00FA457C"/>
    <w:rsid w:val="00FA4D82"/>
    <w:rsid w:val="00FA78DA"/>
    <w:rsid w:val="00FB0C57"/>
    <w:rsid w:val="00FB23A7"/>
    <w:rsid w:val="00FB4FC8"/>
    <w:rsid w:val="00FB50AA"/>
    <w:rsid w:val="00FB5627"/>
    <w:rsid w:val="00FC396F"/>
    <w:rsid w:val="00FC673C"/>
    <w:rsid w:val="00FC798F"/>
    <w:rsid w:val="00FC7E39"/>
    <w:rsid w:val="00FD7577"/>
    <w:rsid w:val="00FE08E1"/>
    <w:rsid w:val="00FE2069"/>
    <w:rsid w:val="00FE5557"/>
    <w:rsid w:val="00FE58CE"/>
    <w:rsid w:val="00FE68EA"/>
    <w:rsid w:val="00FF04A9"/>
    <w:rsid w:val="00FF15A0"/>
    <w:rsid w:val="00FF41F7"/>
    <w:rsid w:val="00FF4CCA"/>
    <w:rsid w:val="00FF5A1C"/>
    <w:rsid w:val="00FF6418"/>
    <w:rsid w:val="0224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B412C7"/>
  <w15:docId w15:val="{5D2A5B93-F2C9-4D2D-A250-BE246AED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B11CD3"/>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B11CD3"/>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B11CD3"/>
    <w:pPr>
      <w:numPr>
        <w:ilvl w:val="1"/>
        <w:numId w:val="2"/>
      </w:numPr>
      <w:spacing w:after="120" w:line="240" w:lineRule="auto"/>
      <w:ind w:left="567"/>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B11CD3"/>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B11CD3"/>
    <w:pPr>
      <w:numPr>
        <w:ilvl w:val="2"/>
      </w:numPr>
    </w:pPr>
  </w:style>
  <w:style w:type="character" w:customStyle="1" w:styleId="PsmenoodstavceChar">
    <w:name w:val="Písmeno odstavce Char"/>
    <w:basedOn w:val="OdstavecsmlouvyChar"/>
    <w:link w:val="Psmenoodstavce"/>
    <w:rsid w:val="00B11CD3"/>
    <w:rPr>
      <w:rFonts w:ascii="Arial" w:hAnsi="Arial" w:cs="Arial"/>
      <w:sz w:val="22"/>
      <w:szCs w:val="22"/>
    </w:rPr>
  </w:style>
  <w:style w:type="paragraph" w:styleId="Prosttext">
    <w:name w:val="Plain Text"/>
    <w:basedOn w:val="Normln"/>
    <w:link w:val="ProsttextChar"/>
    <w:uiPriority w:val="99"/>
    <w:unhideWhenUsed/>
    <w:rsid w:val="00642B03"/>
    <w:pPr>
      <w:spacing w:line="240" w:lineRule="auto"/>
      <w:jc w:val="left"/>
    </w:pPr>
    <w:rPr>
      <w:rFonts w:ascii="Calibri" w:eastAsia="Calibri" w:hAnsi="Calibri" w:cs="Times New Roman"/>
      <w:szCs w:val="21"/>
      <w:lang w:eastAsia="en-US"/>
    </w:rPr>
  </w:style>
  <w:style w:type="character" w:customStyle="1" w:styleId="ProsttextChar">
    <w:name w:val="Prostý text Char"/>
    <w:basedOn w:val="Standardnpsmoodstavce"/>
    <w:link w:val="Prosttext"/>
    <w:uiPriority w:val="99"/>
    <w:rsid w:val="00642B03"/>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959273">
      <w:bodyDiv w:val="1"/>
      <w:marLeft w:val="0"/>
      <w:marRight w:val="0"/>
      <w:marTop w:val="0"/>
      <w:marBottom w:val="0"/>
      <w:divBdr>
        <w:top w:val="none" w:sz="0" w:space="0" w:color="auto"/>
        <w:left w:val="none" w:sz="0" w:space="0" w:color="auto"/>
        <w:bottom w:val="none" w:sz="0" w:space="0" w:color="auto"/>
        <w:right w:val="none" w:sz="0" w:space="0" w:color="auto"/>
      </w:divBdr>
    </w:div>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buildary.online/subdom/doc/doku.php/cs:sta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buildary.online&#16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irst.org/cvs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e.mitre.org/" TargetMode="External"/><Relationship Id="rId2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A9C4-6467-495B-9DD5-33E7192BBC6A}">
  <ds:schemaRefs>
    <ds:schemaRef ds:uri="http://purl.org/dc/dcmitype/"/>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2.xml><?xml version="1.0" encoding="utf-8"?>
<ds:datastoreItem xmlns:ds="http://schemas.openxmlformats.org/officeDocument/2006/customXml" ds:itemID="{2C6C06EE-550B-4018-B24C-A47438CBB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620A5900-742E-4877-B400-9D19E40C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4411</Words>
  <Characters>26519</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Lámerová Barbora</cp:lastModifiedBy>
  <cp:revision>2</cp:revision>
  <cp:lastPrinted>2025-03-28T09:05:00Z</cp:lastPrinted>
  <dcterms:created xsi:type="dcterms:W3CDTF">2025-04-04T08:38:00Z</dcterms:created>
  <dcterms:modified xsi:type="dcterms:W3CDTF">2025-04-04T08:38:00Z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