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4BC7D47C" w:rsidR="00C05F31" w:rsidRPr="00D519C7"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D519C7" w:rsidRPr="00D519C7">
        <w:rPr>
          <w:rFonts w:ascii="Times New Roman" w:hAnsi="Times New Roman" w:cs="Times New Roman"/>
          <w:b/>
          <w:sz w:val="24"/>
          <w:szCs w:val="24"/>
        </w:rPr>
        <w:t>KK00</w:t>
      </w:r>
      <w:r w:rsidR="005663E2">
        <w:rPr>
          <w:rFonts w:ascii="Times New Roman" w:hAnsi="Times New Roman" w:cs="Times New Roman"/>
          <w:b/>
          <w:sz w:val="24"/>
          <w:szCs w:val="24"/>
        </w:rPr>
        <w:t>/</w:t>
      </w:r>
      <w:r w:rsidR="00DF7E1D" w:rsidRPr="00D519C7">
        <w:rPr>
          <w:rFonts w:ascii="Times New Roman" w:hAnsi="Times New Roman" w:cs="Times New Roman"/>
          <w:b/>
          <w:sz w:val="24"/>
          <w:szCs w:val="24"/>
        </w:rPr>
        <w:t>202</w:t>
      </w:r>
      <w:r w:rsidR="005663E2">
        <w:rPr>
          <w:rFonts w:ascii="Times New Roman" w:hAnsi="Times New Roman" w:cs="Times New Roman"/>
          <w:b/>
          <w:sz w:val="24"/>
          <w:szCs w:val="24"/>
        </w:rPr>
        <w:t>5</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35095619"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w:t>
      </w:r>
      <w:r w:rsidR="009A5701">
        <w:rPr>
          <w:rFonts w:ascii="Times New Roman" w:eastAsia="Times New Roman" w:hAnsi="Times New Roman" w:cs="Times New Roman"/>
          <w:sz w:val="24"/>
          <w:szCs w:val="24"/>
          <w:lang w:eastAsia="cs-CZ"/>
        </w:rPr>
        <w:t>Jan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Bankovní spojení:    </w:t>
      </w:r>
      <w:r w:rsidRPr="00E00152">
        <w:rPr>
          <w:rFonts w:ascii="Times New Roman" w:eastAsia="Times New Roman" w:hAnsi="Times New Roman" w:cs="Times New Roman"/>
          <w:sz w:val="24"/>
          <w:szCs w:val="24"/>
          <w:lang w:eastAsia="cs-CZ"/>
        </w:rPr>
        <w:tab/>
        <w:t>Česká národní banka, pobočka Plzeň</w:t>
      </w:r>
    </w:p>
    <w:p w14:paraId="470D9749" w14:textId="5A94A328" w:rsidR="00086F2B" w:rsidRDefault="00086F2B" w:rsidP="002510AE">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Pr="00E00152">
        <w:rPr>
          <w:rFonts w:ascii="Times New Roman" w:eastAsia="Times New Roman" w:hAnsi="Times New Roman" w:cs="Times New Roman"/>
          <w:sz w:val="24"/>
          <w:szCs w:val="24"/>
          <w:lang w:eastAsia="cs-CZ"/>
        </w:rPr>
        <w:tab/>
      </w:r>
      <w:proofErr w:type="spellStart"/>
      <w:r w:rsidR="002510AE">
        <w:rPr>
          <w:rFonts w:ascii="Times New Roman" w:eastAsia="Times New Roman" w:hAnsi="Times New Roman" w:cs="Times New Roman"/>
          <w:sz w:val="24"/>
          <w:szCs w:val="24"/>
          <w:lang w:eastAsia="cs-CZ"/>
        </w:rPr>
        <w:t>xxx</w:t>
      </w:r>
      <w:proofErr w:type="spellEnd"/>
    </w:p>
    <w:p w14:paraId="134409E7" w14:textId="47CB33AA" w:rsidR="002510AE" w:rsidRPr="00E00152" w:rsidRDefault="002510AE" w:rsidP="002510AE">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 xml:space="preserve">Datová schránka:                 </w:t>
      </w:r>
      <w:r>
        <w:rPr>
          <w:rFonts w:ascii="Times New Roman" w:eastAsia="Times New Roman" w:hAnsi="Times New Roman" w:cs="Times New Roman"/>
          <w:sz w:val="24"/>
          <w:szCs w:val="24"/>
          <w:lang w:eastAsia="cs-CZ"/>
        </w:rPr>
        <w:t>siqbxt2</w:t>
      </w:r>
      <w:bookmarkStart w:id="0" w:name="_GoBack"/>
      <w:bookmarkEnd w:id="0"/>
      <w:r>
        <w:rPr>
          <w:rFonts w:ascii="Times New Roman" w:eastAsia="Times New Roman" w:hAnsi="Times New Roman" w:cs="Times New Roman"/>
          <w:sz w:val="24"/>
          <w:szCs w:val="24"/>
          <w:lang w:eastAsia="cs-CZ"/>
        </w:rPr>
        <w:t xml:space="preserve">                                             </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76B8DE50" w14:textId="77777777" w:rsidR="00641AD4" w:rsidRPr="00401409" w:rsidRDefault="00641AD4" w:rsidP="00641AD4">
      <w:pPr>
        <w:tabs>
          <w:tab w:val="left" w:pos="2700"/>
        </w:tabs>
        <w:spacing w:after="0" w:line="240" w:lineRule="auto"/>
        <w:jc w:val="both"/>
        <w:rPr>
          <w:rFonts w:ascii="Times New Roman" w:eastAsia="Times New Roman" w:hAnsi="Times New Roman" w:cs="Times New Roman"/>
          <w:b/>
          <w:sz w:val="24"/>
          <w:szCs w:val="24"/>
          <w:lang w:eastAsia="cs-CZ"/>
        </w:rPr>
      </w:pPr>
      <w:r w:rsidRPr="00401409">
        <w:rPr>
          <w:rFonts w:ascii="Times New Roman" w:eastAsia="Times New Roman" w:hAnsi="Times New Roman" w:cs="Times New Roman"/>
          <w:b/>
          <w:sz w:val="24"/>
          <w:szCs w:val="24"/>
          <w:lang w:eastAsia="cs-CZ"/>
        </w:rPr>
        <w:t>TRIVIS – Střední škola veřejnoprávní Karlovy Vary, s.r.o.</w:t>
      </w:r>
    </w:p>
    <w:p w14:paraId="2D35A9C9"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Adresa sídla:                        T. G. Masaryka 559/1, 360 01 Karlovy Vary</w:t>
      </w:r>
    </w:p>
    <w:p w14:paraId="7EBF4E45"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Identifikační číslo:</w:t>
      </w:r>
      <w:r w:rsidRPr="00401409">
        <w:rPr>
          <w:rFonts w:ascii="Times New Roman" w:eastAsia="Times New Roman" w:hAnsi="Times New Roman" w:cs="Times New Roman"/>
          <w:sz w:val="24"/>
          <w:szCs w:val="24"/>
          <w:lang w:eastAsia="cs-CZ"/>
        </w:rPr>
        <w:tab/>
        <w:t>26325233</w:t>
      </w:r>
    </w:p>
    <w:p w14:paraId="0C2AAD7F"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Právní forma:                       společnost s ručením omezeným</w:t>
      </w:r>
    </w:p>
    <w:p w14:paraId="5C4EA180"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Zastoupená:</w:t>
      </w:r>
      <w:r w:rsidRPr="00401409">
        <w:rPr>
          <w:rFonts w:ascii="Times New Roman" w:eastAsia="Times New Roman" w:hAnsi="Times New Roman" w:cs="Times New Roman"/>
          <w:sz w:val="24"/>
          <w:szCs w:val="24"/>
          <w:lang w:eastAsia="cs-CZ"/>
        </w:rPr>
        <w:tab/>
        <w:t>JUDr. Karel Klvaňa, jednatel</w:t>
      </w:r>
    </w:p>
    <w:p w14:paraId="4F96867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Registrace ve veřejném rejstříku: spisová značka C 13486 vedená u Krajského soudu v Plzni</w:t>
      </w:r>
    </w:p>
    <w:p w14:paraId="5CB14A5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Bankovní spojení:</w:t>
      </w:r>
      <w:r w:rsidRPr="00401409">
        <w:rPr>
          <w:rFonts w:ascii="Times New Roman" w:eastAsia="Times New Roman" w:hAnsi="Times New Roman" w:cs="Times New Roman"/>
          <w:sz w:val="24"/>
          <w:szCs w:val="24"/>
          <w:lang w:eastAsia="cs-CZ"/>
        </w:rPr>
        <w:tab/>
        <w:t>Česká spořitelna, a.s.</w:t>
      </w:r>
    </w:p>
    <w:p w14:paraId="187DAD8C" w14:textId="2AD57921"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číslo účtu:</w:t>
      </w:r>
      <w:r w:rsidRPr="00401409">
        <w:rPr>
          <w:rFonts w:ascii="Times New Roman" w:eastAsia="Times New Roman" w:hAnsi="Times New Roman" w:cs="Times New Roman"/>
          <w:sz w:val="24"/>
          <w:szCs w:val="24"/>
          <w:lang w:eastAsia="cs-CZ"/>
        </w:rPr>
        <w:tab/>
      </w:r>
      <w:proofErr w:type="spellStart"/>
      <w:r w:rsidR="002510AE">
        <w:rPr>
          <w:rFonts w:ascii="Times New Roman" w:eastAsia="Times New Roman" w:hAnsi="Times New Roman" w:cs="Times New Roman"/>
          <w:sz w:val="24"/>
          <w:szCs w:val="24"/>
          <w:lang w:eastAsia="cs-CZ"/>
        </w:rPr>
        <w:t>xxx</w:t>
      </w:r>
      <w:proofErr w:type="spellEnd"/>
    </w:p>
    <w:p w14:paraId="28778158"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Datová schránka:                 2ab8e8j</w:t>
      </w:r>
    </w:p>
    <w:p w14:paraId="0BA9CA43"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E-mail:                                 karlovyvary@trivis.cz</w:t>
      </w:r>
    </w:p>
    <w:p w14:paraId="0BC13626"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Není plátce DPH.</w:t>
      </w:r>
    </w:p>
    <w:p w14:paraId="0E470010"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(dále jen „právnická osoba“)</w:t>
      </w:r>
    </w:p>
    <w:p w14:paraId="54DA1863" w14:textId="77777777" w:rsidR="00641AD4" w:rsidRPr="00401409" w:rsidRDefault="00641AD4" w:rsidP="00641AD4">
      <w:pPr>
        <w:tabs>
          <w:tab w:val="left" w:pos="2700"/>
        </w:tabs>
        <w:spacing w:after="0" w:line="240" w:lineRule="auto"/>
        <w:rPr>
          <w:rFonts w:ascii="Times New Roman" w:eastAsia="Times New Roman" w:hAnsi="Times New Roman" w:cs="Times New Roman"/>
          <w:sz w:val="24"/>
          <w:szCs w:val="24"/>
          <w:lang w:eastAsia="cs-CZ"/>
        </w:rPr>
      </w:pPr>
      <w:r w:rsidRPr="00401409">
        <w:rPr>
          <w:rFonts w:ascii="Times New Roman" w:eastAsia="Times New Roman" w:hAnsi="Times New Roman" w:cs="Times New Roman"/>
          <w:sz w:val="24"/>
          <w:szCs w:val="24"/>
          <w:lang w:eastAsia="cs-CZ"/>
        </w:rPr>
        <w:t>(společně dále jen „smluvní strany“)</w:t>
      </w:r>
    </w:p>
    <w:p w14:paraId="4ADA4FF1" w14:textId="77777777" w:rsidR="00641AD4" w:rsidRDefault="00641AD4"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77777777"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0799B992"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 xml:space="preserve">pro školní </w:t>
      </w:r>
      <w:r w:rsidR="00DD4A3D" w:rsidRPr="00BC77B5">
        <w:rPr>
          <w:rFonts w:ascii="Times New Roman" w:hAnsi="Times New Roman" w:cs="Times New Roman"/>
          <w:b/>
          <w:sz w:val="24"/>
          <w:szCs w:val="24"/>
        </w:rPr>
        <w:t>rok</w:t>
      </w:r>
      <w:r w:rsidR="006E1186" w:rsidRPr="00BC77B5">
        <w:rPr>
          <w:rFonts w:ascii="Times New Roman" w:hAnsi="Times New Roman" w:cs="Times New Roman"/>
          <w:b/>
          <w:sz w:val="24"/>
          <w:szCs w:val="24"/>
        </w:rPr>
        <w:t xml:space="preserve"> 202</w:t>
      </w:r>
      <w:r w:rsidR="005663E2">
        <w:rPr>
          <w:rFonts w:ascii="Times New Roman" w:hAnsi="Times New Roman" w:cs="Times New Roman"/>
          <w:b/>
          <w:sz w:val="24"/>
          <w:szCs w:val="24"/>
        </w:rPr>
        <w:t>5</w:t>
      </w:r>
      <w:r w:rsidR="006E1186" w:rsidRPr="00BC77B5">
        <w:rPr>
          <w:rFonts w:ascii="Times New Roman" w:hAnsi="Times New Roman" w:cs="Times New Roman"/>
          <w:b/>
          <w:sz w:val="24"/>
          <w:szCs w:val="24"/>
        </w:rPr>
        <w:t>/202</w:t>
      </w:r>
      <w:r w:rsidR="005663E2">
        <w:rPr>
          <w:rFonts w:ascii="Times New Roman" w:hAnsi="Times New Roman" w:cs="Times New Roman"/>
          <w:b/>
          <w:sz w:val="24"/>
          <w:szCs w:val="24"/>
        </w:rPr>
        <w:t>6</w:t>
      </w:r>
      <w:r w:rsidRPr="00BC77B5">
        <w:rPr>
          <w:rFonts w:ascii="Times New Roman" w:hAnsi="Times New Roman" w:cs="Times New Roman"/>
          <w:sz w:val="24"/>
          <w:szCs w:val="24"/>
        </w:rPr>
        <w:t xml:space="preserve"> </w:t>
      </w:r>
      <w:r w:rsidR="004161BB" w:rsidRPr="00BC77B5">
        <w:rPr>
          <w:rFonts w:ascii="Times New Roman" w:hAnsi="Times New Roman" w:cs="Times New Roman"/>
          <w:sz w:val="24"/>
          <w:szCs w:val="24"/>
        </w:rPr>
        <w:t>právnické osobě poskytována na </w:t>
      </w:r>
      <w:r w:rsidRPr="00BC77B5">
        <w:rPr>
          <w:rFonts w:ascii="Times New Roman" w:hAnsi="Times New Roman" w:cs="Times New Roman"/>
          <w:sz w:val="24"/>
          <w:szCs w:val="24"/>
        </w:rPr>
        <w:t xml:space="preserve">základě </w:t>
      </w:r>
      <w:r w:rsidR="00FD2BC4" w:rsidRPr="00BC77B5">
        <w:rPr>
          <w:rFonts w:ascii="Times New Roman" w:hAnsi="Times New Roman" w:cs="Times New Roman"/>
          <w:sz w:val="24"/>
          <w:szCs w:val="24"/>
        </w:rPr>
        <w:t xml:space="preserve">veřejnoprávní </w:t>
      </w:r>
      <w:r w:rsidRPr="00BC77B5">
        <w:rPr>
          <w:rFonts w:ascii="Times New Roman" w:hAnsi="Times New Roman" w:cs="Times New Roman"/>
          <w:sz w:val="24"/>
          <w:szCs w:val="24"/>
        </w:rPr>
        <w:t>smlouvy o poskytnutí dotace uzavřené</w:t>
      </w:r>
      <w:r w:rsidRPr="00E00152">
        <w:rPr>
          <w:rFonts w:ascii="Times New Roman" w:hAnsi="Times New Roman" w:cs="Times New Roman"/>
          <w:sz w:val="24"/>
          <w:szCs w:val="24"/>
        </w:rPr>
        <w:t xml:space="preserve"> </w:t>
      </w:r>
      <w:r w:rsidRPr="00BC77B5">
        <w:rPr>
          <w:rFonts w:ascii="Times New Roman" w:hAnsi="Times New Roman" w:cs="Times New Roman"/>
          <w:sz w:val="24"/>
          <w:szCs w:val="24"/>
        </w:rPr>
        <w:t xml:space="preserve">dne </w:t>
      </w:r>
      <w:r w:rsidR="009A5701">
        <w:rPr>
          <w:rFonts w:ascii="Times New Roman" w:hAnsi="Times New Roman" w:cs="Times New Roman"/>
          <w:sz w:val="24"/>
          <w:szCs w:val="24"/>
        </w:rPr>
        <w:t>1</w:t>
      </w:r>
      <w:r w:rsidR="005663E2">
        <w:rPr>
          <w:rFonts w:ascii="Times New Roman" w:hAnsi="Times New Roman" w:cs="Times New Roman"/>
          <w:sz w:val="24"/>
          <w:szCs w:val="24"/>
        </w:rPr>
        <w:t>3</w:t>
      </w:r>
      <w:r w:rsidR="007D04A5" w:rsidRPr="00BC77B5">
        <w:rPr>
          <w:rFonts w:ascii="Times New Roman" w:hAnsi="Times New Roman" w:cs="Times New Roman"/>
          <w:sz w:val="24"/>
          <w:szCs w:val="24"/>
        </w:rPr>
        <w:t xml:space="preserve">. </w:t>
      </w:r>
      <w:r w:rsidR="00E449DA">
        <w:rPr>
          <w:rFonts w:ascii="Times New Roman" w:hAnsi="Times New Roman" w:cs="Times New Roman"/>
          <w:sz w:val="24"/>
          <w:szCs w:val="24"/>
        </w:rPr>
        <w:t>února</w:t>
      </w:r>
      <w:r w:rsidR="005B7829" w:rsidRPr="00BC77B5">
        <w:rPr>
          <w:rFonts w:ascii="Times New Roman" w:hAnsi="Times New Roman" w:cs="Times New Roman"/>
          <w:sz w:val="24"/>
          <w:szCs w:val="24"/>
        </w:rPr>
        <w:t xml:space="preserve"> </w:t>
      </w:r>
      <w:r w:rsidR="00376242" w:rsidRPr="00BC77B5">
        <w:rPr>
          <w:rFonts w:ascii="Times New Roman" w:hAnsi="Times New Roman" w:cs="Times New Roman"/>
          <w:sz w:val="24"/>
          <w:szCs w:val="24"/>
        </w:rPr>
        <w:t>202</w:t>
      </w:r>
      <w:r w:rsidR="005663E2">
        <w:rPr>
          <w:rFonts w:ascii="Times New Roman" w:hAnsi="Times New Roman" w:cs="Times New Roman"/>
          <w:sz w:val="24"/>
          <w:szCs w:val="24"/>
        </w:rPr>
        <w:t>5</w:t>
      </w:r>
      <w:r w:rsidRPr="00376242">
        <w:rPr>
          <w:rFonts w:ascii="Times New Roman" w:hAnsi="Times New Roman" w:cs="Times New Roman"/>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74E03A54" w:rsidR="00933615" w:rsidRPr="00BC77B5"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C357FE">
        <w:rPr>
          <w:rFonts w:ascii="Times New Roman" w:hAnsi="Times New Roman" w:cs="Times New Roman"/>
          <w:sz w:val="24"/>
          <w:szCs w:val="24"/>
        </w:rPr>
        <w:t>dne</w:t>
      </w:r>
      <w:r w:rsidR="006530AE" w:rsidRPr="00C357FE">
        <w:rPr>
          <w:rFonts w:ascii="Times New Roman" w:hAnsi="Times New Roman" w:cs="Times New Roman"/>
          <w:sz w:val="24"/>
          <w:szCs w:val="24"/>
        </w:rPr>
        <w:t xml:space="preserve"> </w:t>
      </w:r>
      <w:r w:rsidR="009A5701">
        <w:rPr>
          <w:rFonts w:ascii="Times New Roman" w:hAnsi="Times New Roman" w:cs="Times New Roman"/>
          <w:sz w:val="24"/>
          <w:szCs w:val="24"/>
        </w:rPr>
        <w:t>1</w:t>
      </w:r>
      <w:r w:rsidR="005663E2">
        <w:rPr>
          <w:rFonts w:ascii="Times New Roman" w:hAnsi="Times New Roman" w:cs="Times New Roman"/>
          <w:sz w:val="24"/>
          <w:szCs w:val="24"/>
        </w:rPr>
        <w:t>3</w:t>
      </w:r>
      <w:r w:rsidR="008859BC" w:rsidRPr="00BC77B5">
        <w:rPr>
          <w:rFonts w:ascii="Times New Roman" w:hAnsi="Times New Roman" w:cs="Times New Roman"/>
          <w:sz w:val="24"/>
          <w:szCs w:val="24"/>
        </w:rPr>
        <w:t>.</w:t>
      </w:r>
      <w:r w:rsidR="004E0DD3" w:rsidRPr="00BC77B5">
        <w:rPr>
          <w:rFonts w:ascii="Times New Roman" w:hAnsi="Times New Roman" w:cs="Times New Roman"/>
          <w:sz w:val="24"/>
          <w:szCs w:val="24"/>
        </w:rPr>
        <w:t xml:space="preserve"> </w:t>
      </w:r>
      <w:r w:rsidR="009A5701">
        <w:rPr>
          <w:rFonts w:ascii="Times New Roman" w:hAnsi="Times New Roman" w:cs="Times New Roman"/>
          <w:sz w:val="24"/>
          <w:szCs w:val="24"/>
        </w:rPr>
        <w:t>února</w:t>
      </w:r>
      <w:r w:rsidR="00C357FE" w:rsidRPr="00BC77B5">
        <w:rPr>
          <w:rFonts w:ascii="Times New Roman" w:hAnsi="Times New Roman" w:cs="Times New Roman"/>
          <w:sz w:val="24"/>
          <w:szCs w:val="24"/>
        </w:rPr>
        <w:t xml:space="preserve"> 202</w:t>
      </w:r>
      <w:r w:rsidR="005663E2">
        <w:rPr>
          <w:rFonts w:ascii="Times New Roman" w:hAnsi="Times New Roman" w:cs="Times New Roman"/>
          <w:sz w:val="24"/>
          <w:szCs w:val="24"/>
        </w:rPr>
        <w:t>5</w:t>
      </w:r>
      <w:r w:rsidR="00B3485F" w:rsidRPr="00BC77B5">
        <w:rPr>
          <w:rFonts w:ascii="Times New Roman" w:hAnsi="Times New Roman" w:cs="Times New Roman"/>
          <w:sz w:val="24"/>
          <w:szCs w:val="24"/>
        </w:rPr>
        <w:t xml:space="preserve"> </w:t>
      </w:r>
      <w:r w:rsidR="008E6D71" w:rsidRPr="00BC77B5">
        <w:rPr>
          <w:rFonts w:ascii="Times New Roman" w:hAnsi="Times New Roman" w:cs="Times New Roman"/>
          <w:sz w:val="24"/>
          <w:szCs w:val="24"/>
        </w:rPr>
        <w:t xml:space="preserve">uzavřena </w:t>
      </w:r>
      <w:r w:rsidR="00AB03BA" w:rsidRPr="00BC77B5">
        <w:rPr>
          <w:rFonts w:ascii="Times New Roman" w:hAnsi="Times New Roman" w:cs="Times New Roman"/>
          <w:sz w:val="24"/>
          <w:szCs w:val="24"/>
        </w:rPr>
        <w:t xml:space="preserve">veřejnoprávní </w:t>
      </w:r>
      <w:r w:rsidR="008E6D71" w:rsidRPr="00BC77B5">
        <w:rPr>
          <w:rFonts w:ascii="Times New Roman" w:hAnsi="Times New Roman" w:cs="Times New Roman"/>
          <w:sz w:val="24"/>
          <w:szCs w:val="24"/>
        </w:rPr>
        <w:t>smlouva o </w:t>
      </w:r>
      <w:r w:rsidR="00412301" w:rsidRPr="00BC77B5">
        <w:rPr>
          <w:rFonts w:ascii="Times New Roman" w:hAnsi="Times New Roman" w:cs="Times New Roman"/>
          <w:sz w:val="24"/>
          <w:szCs w:val="24"/>
        </w:rPr>
        <w:t xml:space="preserve">poskytnutí dotace </w:t>
      </w:r>
      <w:r w:rsidR="00FD5D50" w:rsidRPr="00BC77B5">
        <w:rPr>
          <w:rFonts w:ascii="Times New Roman" w:hAnsi="Times New Roman" w:cs="Times New Roman"/>
          <w:sz w:val="24"/>
          <w:szCs w:val="24"/>
        </w:rPr>
        <w:t>pro</w:t>
      </w:r>
      <w:r w:rsidR="00412301" w:rsidRPr="00BC77B5">
        <w:rPr>
          <w:rFonts w:ascii="Times New Roman" w:hAnsi="Times New Roman" w:cs="Times New Roman"/>
          <w:sz w:val="24"/>
          <w:szCs w:val="24"/>
        </w:rPr>
        <w:t xml:space="preserve"> škol</w:t>
      </w:r>
      <w:r w:rsidR="003817A2" w:rsidRPr="00BC77B5">
        <w:rPr>
          <w:rFonts w:ascii="Times New Roman" w:hAnsi="Times New Roman" w:cs="Times New Roman"/>
          <w:sz w:val="24"/>
          <w:szCs w:val="24"/>
        </w:rPr>
        <w:t>n</w:t>
      </w:r>
      <w:r w:rsidR="00412301" w:rsidRPr="00BC77B5">
        <w:rPr>
          <w:rFonts w:ascii="Times New Roman" w:hAnsi="Times New Roman" w:cs="Times New Roman"/>
          <w:sz w:val="24"/>
          <w:szCs w:val="24"/>
        </w:rPr>
        <w:t xml:space="preserve">í rok </w:t>
      </w:r>
      <w:r w:rsidR="00981726" w:rsidRPr="00BC77B5">
        <w:rPr>
          <w:rFonts w:ascii="Times New Roman" w:hAnsi="Times New Roman" w:cs="Times New Roman"/>
          <w:sz w:val="24"/>
          <w:szCs w:val="24"/>
        </w:rPr>
        <w:t>202</w:t>
      </w:r>
      <w:r w:rsidR="005663E2">
        <w:rPr>
          <w:rFonts w:ascii="Times New Roman" w:hAnsi="Times New Roman" w:cs="Times New Roman"/>
          <w:sz w:val="24"/>
          <w:szCs w:val="24"/>
        </w:rPr>
        <w:t>5</w:t>
      </w:r>
      <w:r w:rsidR="00981726" w:rsidRPr="00BC77B5">
        <w:rPr>
          <w:rFonts w:ascii="Times New Roman" w:hAnsi="Times New Roman" w:cs="Times New Roman"/>
          <w:sz w:val="24"/>
          <w:szCs w:val="24"/>
        </w:rPr>
        <w:t>/202</w:t>
      </w:r>
      <w:r w:rsidR="005663E2">
        <w:rPr>
          <w:rFonts w:ascii="Times New Roman" w:hAnsi="Times New Roman" w:cs="Times New Roman"/>
          <w:sz w:val="24"/>
          <w:szCs w:val="24"/>
        </w:rPr>
        <w:t>6</w:t>
      </w:r>
      <w:r w:rsidRPr="00BC77B5">
        <w:rPr>
          <w:rFonts w:ascii="Times New Roman" w:hAnsi="Times New Roman" w:cs="Times New Roman"/>
          <w:sz w:val="24"/>
          <w:szCs w:val="24"/>
        </w:rPr>
        <w:t>,</w:t>
      </w:r>
    </w:p>
    <w:p w14:paraId="3BA80EB2" w14:textId="3CCD706D" w:rsidR="00977FDB" w:rsidRPr="00BC77B5"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BC77B5">
        <w:rPr>
          <w:rFonts w:ascii="Times New Roman" w:hAnsi="Times New Roman" w:cs="Times New Roman"/>
          <w:sz w:val="24"/>
          <w:szCs w:val="24"/>
        </w:rPr>
        <w:t xml:space="preserve">právnická osoba má pro příslušnou školu nebo školské zařízení poslední výsledky hodnocení České školní inspekce ze dne </w:t>
      </w:r>
      <w:r w:rsidR="00BC77B5" w:rsidRPr="00BC77B5">
        <w:rPr>
          <w:rFonts w:ascii="Times New Roman" w:hAnsi="Times New Roman" w:cs="Times New Roman"/>
          <w:sz w:val="24"/>
          <w:szCs w:val="24"/>
        </w:rPr>
        <w:t>1</w:t>
      </w:r>
      <w:r w:rsidR="009A5701">
        <w:rPr>
          <w:rFonts w:ascii="Times New Roman" w:hAnsi="Times New Roman" w:cs="Times New Roman"/>
          <w:sz w:val="24"/>
          <w:szCs w:val="24"/>
        </w:rPr>
        <w:t>7</w:t>
      </w:r>
      <w:r w:rsidR="00BC77B5" w:rsidRPr="00BC77B5">
        <w:rPr>
          <w:rFonts w:ascii="Times New Roman" w:hAnsi="Times New Roman" w:cs="Times New Roman"/>
          <w:sz w:val="24"/>
          <w:szCs w:val="24"/>
        </w:rPr>
        <w:t>.</w:t>
      </w:r>
      <w:r w:rsidR="009A5701">
        <w:rPr>
          <w:rFonts w:ascii="Times New Roman" w:hAnsi="Times New Roman" w:cs="Times New Roman"/>
          <w:sz w:val="24"/>
          <w:szCs w:val="24"/>
        </w:rPr>
        <w:t xml:space="preserve"> března</w:t>
      </w:r>
      <w:r w:rsidR="00BC77B5" w:rsidRPr="00BC77B5">
        <w:rPr>
          <w:rFonts w:ascii="Times New Roman" w:hAnsi="Times New Roman" w:cs="Times New Roman"/>
          <w:sz w:val="24"/>
          <w:szCs w:val="24"/>
        </w:rPr>
        <w:t xml:space="preserve"> 20</w:t>
      </w:r>
      <w:r w:rsidR="009A5701">
        <w:rPr>
          <w:rFonts w:ascii="Times New Roman" w:hAnsi="Times New Roman" w:cs="Times New Roman"/>
          <w:sz w:val="24"/>
          <w:szCs w:val="24"/>
        </w:rPr>
        <w:t>23</w:t>
      </w:r>
      <w:r w:rsidR="00BC77B5" w:rsidRPr="00BC77B5">
        <w:rPr>
          <w:rFonts w:ascii="Times New Roman" w:hAnsi="Times New Roman" w:cs="Times New Roman"/>
          <w:sz w:val="24"/>
          <w:szCs w:val="24"/>
        </w:rPr>
        <w:t>, č</w:t>
      </w:r>
      <w:r w:rsidR="00F8512F" w:rsidRPr="00BC77B5">
        <w:rPr>
          <w:rFonts w:ascii="Times New Roman" w:hAnsi="Times New Roman" w:cs="Times New Roman"/>
          <w:sz w:val="24"/>
          <w:szCs w:val="24"/>
        </w:rPr>
        <w:t>j. ČŠIK-</w:t>
      </w:r>
      <w:r w:rsidR="009A5701">
        <w:rPr>
          <w:rFonts w:ascii="Times New Roman" w:hAnsi="Times New Roman" w:cs="Times New Roman"/>
          <w:sz w:val="24"/>
          <w:szCs w:val="24"/>
        </w:rPr>
        <w:t>88</w:t>
      </w:r>
      <w:r w:rsidR="00F8512F" w:rsidRPr="00BC77B5">
        <w:rPr>
          <w:rFonts w:ascii="Times New Roman" w:hAnsi="Times New Roman" w:cs="Times New Roman"/>
          <w:sz w:val="24"/>
          <w:szCs w:val="24"/>
        </w:rPr>
        <w:t>/</w:t>
      </w:r>
      <w:r w:rsidR="009A5701">
        <w:rPr>
          <w:rFonts w:ascii="Times New Roman" w:hAnsi="Times New Roman" w:cs="Times New Roman"/>
          <w:sz w:val="24"/>
          <w:szCs w:val="24"/>
        </w:rPr>
        <w:t>23</w:t>
      </w:r>
      <w:r w:rsidRPr="00BC77B5">
        <w:rPr>
          <w:rFonts w:ascii="Times New Roman" w:hAnsi="Times New Roman" w:cs="Times New Roman"/>
          <w:sz w:val="24"/>
          <w:szCs w:val="24"/>
        </w:rPr>
        <w:t xml:space="preserve">-K, průměrné a v posledním protokolu o kontrole Českou školní inspekcí ze dne </w:t>
      </w:r>
      <w:r w:rsidR="009A5701">
        <w:rPr>
          <w:rFonts w:ascii="Times New Roman" w:hAnsi="Times New Roman" w:cs="Times New Roman"/>
          <w:sz w:val="24"/>
          <w:szCs w:val="24"/>
        </w:rPr>
        <w:t>17</w:t>
      </w:r>
      <w:r w:rsidR="00F8512F" w:rsidRPr="00BC77B5">
        <w:rPr>
          <w:rFonts w:ascii="Times New Roman" w:hAnsi="Times New Roman" w:cs="Times New Roman"/>
          <w:sz w:val="24"/>
          <w:szCs w:val="24"/>
        </w:rPr>
        <w:t xml:space="preserve">. </w:t>
      </w:r>
      <w:r w:rsidR="009A5701">
        <w:rPr>
          <w:rFonts w:ascii="Times New Roman" w:hAnsi="Times New Roman" w:cs="Times New Roman"/>
          <w:sz w:val="24"/>
          <w:szCs w:val="24"/>
        </w:rPr>
        <w:t>března</w:t>
      </w:r>
      <w:r w:rsidR="00F8512F" w:rsidRPr="00BC77B5">
        <w:rPr>
          <w:rFonts w:ascii="Times New Roman" w:hAnsi="Times New Roman" w:cs="Times New Roman"/>
          <w:sz w:val="24"/>
          <w:szCs w:val="24"/>
        </w:rPr>
        <w:t xml:space="preserve"> 20</w:t>
      </w:r>
      <w:r w:rsidR="009A5701">
        <w:rPr>
          <w:rFonts w:ascii="Times New Roman" w:hAnsi="Times New Roman" w:cs="Times New Roman"/>
          <w:sz w:val="24"/>
          <w:szCs w:val="24"/>
        </w:rPr>
        <w:t>23</w:t>
      </w:r>
      <w:r w:rsidRPr="00BC77B5">
        <w:rPr>
          <w:rFonts w:ascii="Times New Roman" w:hAnsi="Times New Roman" w:cs="Times New Roman"/>
          <w:sz w:val="24"/>
          <w:szCs w:val="24"/>
        </w:rPr>
        <w:t xml:space="preserve">, </w:t>
      </w:r>
      <w:r w:rsidR="00A147E8" w:rsidRPr="00BC77B5">
        <w:rPr>
          <w:rFonts w:ascii="Times New Roman" w:hAnsi="Times New Roman" w:cs="Times New Roman"/>
          <w:sz w:val="24"/>
          <w:szCs w:val="24"/>
        </w:rPr>
        <w:t>čj. </w:t>
      </w:r>
      <w:r w:rsidRPr="00BC77B5">
        <w:rPr>
          <w:rFonts w:ascii="Times New Roman" w:hAnsi="Times New Roman" w:cs="Times New Roman"/>
          <w:sz w:val="24"/>
          <w:szCs w:val="24"/>
        </w:rPr>
        <w:t>ČŠ</w:t>
      </w:r>
      <w:r w:rsidR="00A147E8" w:rsidRPr="00BC77B5">
        <w:rPr>
          <w:rFonts w:ascii="Times New Roman" w:hAnsi="Times New Roman" w:cs="Times New Roman"/>
          <w:sz w:val="24"/>
          <w:szCs w:val="24"/>
        </w:rPr>
        <w:t>IK-</w:t>
      </w:r>
      <w:r w:rsidR="009A5701">
        <w:rPr>
          <w:rFonts w:ascii="Times New Roman" w:hAnsi="Times New Roman" w:cs="Times New Roman"/>
          <w:sz w:val="24"/>
          <w:szCs w:val="24"/>
        </w:rPr>
        <w:t>89</w:t>
      </w:r>
      <w:r w:rsidR="00F8512F" w:rsidRPr="00BC77B5">
        <w:rPr>
          <w:rFonts w:ascii="Times New Roman" w:hAnsi="Times New Roman" w:cs="Times New Roman"/>
          <w:sz w:val="24"/>
          <w:szCs w:val="24"/>
        </w:rPr>
        <w:t>/</w:t>
      </w:r>
      <w:r w:rsidR="009A5701">
        <w:rPr>
          <w:rFonts w:ascii="Times New Roman" w:hAnsi="Times New Roman" w:cs="Times New Roman"/>
          <w:sz w:val="24"/>
          <w:szCs w:val="24"/>
        </w:rPr>
        <w:t>23</w:t>
      </w:r>
      <w:r w:rsidRPr="00BC77B5">
        <w:rPr>
          <w:rFonts w:ascii="Times New Roman" w:hAnsi="Times New Roman" w:cs="Times New Roman"/>
          <w:sz w:val="24"/>
          <w:szCs w:val="24"/>
        </w:rPr>
        <w:t>-K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50531DBC" w:rsidR="00933615" w:rsidRPr="00E56438"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w:t>
      </w:r>
      <w:r w:rsidR="00A74F67" w:rsidRPr="00E56438">
        <w:rPr>
          <w:rFonts w:ascii="Times New Roman" w:hAnsi="Times New Roman" w:cs="Times New Roman"/>
          <w:sz w:val="24"/>
          <w:szCs w:val="24"/>
        </w:rPr>
        <w:t>Sb.</w:t>
      </w:r>
      <w:r w:rsidRPr="00E56438">
        <w:rPr>
          <w:rFonts w:ascii="Times New Roman" w:hAnsi="Times New Roman" w:cs="Times New Roman"/>
          <w:sz w:val="24"/>
          <w:szCs w:val="24"/>
        </w:rPr>
        <w:t xml:space="preserve"> dne</w:t>
      </w:r>
      <w:r w:rsidR="00153AFB" w:rsidRPr="00E56438">
        <w:rPr>
          <w:rFonts w:ascii="Times New Roman" w:hAnsi="Times New Roman" w:cs="Times New Roman"/>
          <w:sz w:val="24"/>
          <w:szCs w:val="24"/>
        </w:rPr>
        <w:t xml:space="preserve"> </w:t>
      </w:r>
      <w:r w:rsidR="007811EF" w:rsidRPr="00E56438">
        <w:rPr>
          <w:rFonts w:ascii="Times New Roman" w:hAnsi="Times New Roman" w:cs="Times New Roman"/>
          <w:sz w:val="24"/>
          <w:szCs w:val="24"/>
        </w:rPr>
        <w:t>1</w:t>
      </w:r>
      <w:r w:rsidR="00DD6C54">
        <w:rPr>
          <w:rFonts w:ascii="Times New Roman" w:hAnsi="Times New Roman" w:cs="Times New Roman"/>
          <w:sz w:val="24"/>
          <w:szCs w:val="24"/>
        </w:rPr>
        <w:t>5</w:t>
      </w:r>
      <w:r w:rsidR="00B3485F" w:rsidRPr="00E56438">
        <w:rPr>
          <w:rFonts w:ascii="Times New Roman" w:hAnsi="Times New Roman" w:cs="Times New Roman"/>
          <w:sz w:val="24"/>
          <w:szCs w:val="24"/>
        </w:rPr>
        <w:t>. ledna</w:t>
      </w:r>
      <w:r w:rsidR="007811EF" w:rsidRPr="00E56438">
        <w:rPr>
          <w:rFonts w:ascii="Times New Roman" w:hAnsi="Times New Roman" w:cs="Times New Roman"/>
          <w:sz w:val="24"/>
          <w:szCs w:val="24"/>
        </w:rPr>
        <w:t xml:space="preserve"> 202</w:t>
      </w:r>
      <w:r w:rsidR="005663E2">
        <w:rPr>
          <w:rFonts w:ascii="Times New Roman" w:hAnsi="Times New Roman" w:cs="Times New Roman"/>
          <w:sz w:val="24"/>
          <w:szCs w:val="24"/>
        </w:rPr>
        <w:t>5</w:t>
      </w:r>
      <w:r w:rsidR="0084256F" w:rsidRPr="00E56438">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31A6CE45"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w:t>
      </w:r>
      <w:r w:rsidR="000E54EC" w:rsidRPr="00E56438">
        <w:rPr>
          <w:rFonts w:ascii="Times New Roman" w:hAnsi="Times New Roman" w:cs="Times New Roman"/>
          <w:sz w:val="24"/>
          <w:szCs w:val="24"/>
        </w:rPr>
        <w:t>rok 202</w:t>
      </w:r>
      <w:r w:rsidR="005663E2">
        <w:rPr>
          <w:rFonts w:ascii="Times New Roman" w:hAnsi="Times New Roman" w:cs="Times New Roman"/>
          <w:sz w:val="24"/>
          <w:szCs w:val="24"/>
        </w:rPr>
        <w:t>5</w:t>
      </w:r>
      <w:r w:rsidR="000E54EC" w:rsidRPr="00E56438">
        <w:rPr>
          <w:rFonts w:ascii="Times New Roman" w:hAnsi="Times New Roman" w:cs="Times New Roman"/>
          <w:sz w:val="24"/>
          <w:szCs w:val="24"/>
        </w:rPr>
        <w:t>/202</w:t>
      </w:r>
      <w:r w:rsidR="005663E2">
        <w:rPr>
          <w:rFonts w:ascii="Times New Roman" w:hAnsi="Times New Roman" w:cs="Times New Roman"/>
          <w:sz w:val="24"/>
          <w:szCs w:val="24"/>
        </w:rPr>
        <w:t>6</w:t>
      </w:r>
      <w:r w:rsidRPr="00E56438">
        <w:rPr>
          <w:rFonts w:ascii="Times New Roman" w:hAnsi="Times New Roman" w:cs="Times New Roman"/>
          <w:sz w:val="24"/>
          <w:szCs w:val="24"/>
        </w:rPr>
        <w:t xml:space="preserve"> podle jednotlivých oborů, druhů škol a školských zařízení, a jeho navýšení (navýšení procentního</w:t>
      </w:r>
      <w:r w:rsidRPr="00E00152">
        <w:rPr>
          <w:rFonts w:ascii="Times New Roman" w:hAnsi="Times New Roman" w:cs="Times New Roman"/>
          <w:sz w:val="24"/>
          <w:szCs w:val="24"/>
        </w:rPr>
        <w:t xml:space="preserve"> podílu z normativu je určeno jako rozdíl mezi procentním podílem z normativu stanoveným podle § 5 odst. 2 zákona č. 306/1999 Sb. a procentním podílem z normativu stanoveným podle § 4 odst. 5 zákona č. 306/1999 Sb.). </w:t>
      </w:r>
    </w:p>
    <w:p w14:paraId="7FD7F876" w14:textId="70E043B2" w:rsidR="00652982" w:rsidRPr="00652982" w:rsidRDefault="00652982" w:rsidP="00652982">
      <w:pPr>
        <w:pStyle w:val="Odstavecseseznamem"/>
        <w:tabs>
          <w:tab w:val="left" w:pos="2694"/>
        </w:tabs>
        <w:spacing w:after="0" w:line="240" w:lineRule="auto"/>
        <w:rPr>
          <w:rFonts w:ascii="Times New Roman" w:hAnsi="Times New Roman" w:cs="Times New Roman"/>
          <w:b/>
          <w:sz w:val="24"/>
          <w:szCs w:val="24"/>
        </w:rPr>
      </w:pPr>
      <w:r w:rsidRPr="00652982">
        <w:rPr>
          <w:rFonts w:ascii="Times New Roman" w:eastAsia="Times New Roman" w:hAnsi="Times New Roman" w:cs="Times New Roman"/>
          <w:b/>
          <w:sz w:val="24"/>
          <w:szCs w:val="24"/>
          <w:lang w:eastAsia="cs-CZ"/>
        </w:rPr>
        <w:lastRenderedPageBreak/>
        <w:t xml:space="preserve">            </w:t>
      </w:r>
      <w:r>
        <w:rPr>
          <w:rFonts w:ascii="Times New Roman" w:eastAsia="Times New Roman" w:hAnsi="Times New Roman" w:cs="Times New Roman"/>
          <w:b/>
          <w:sz w:val="24"/>
          <w:szCs w:val="24"/>
          <w:lang w:eastAsia="cs-CZ"/>
        </w:rPr>
        <w:t xml:space="preserve">                         </w:t>
      </w:r>
      <w:r w:rsidRPr="00652982">
        <w:rPr>
          <w:rFonts w:ascii="Times New Roman" w:hAnsi="Times New Roman" w:cs="Times New Roman"/>
          <w:b/>
          <w:sz w:val="24"/>
          <w:szCs w:val="24"/>
        </w:rPr>
        <w:t>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652982" w:rsidRPr="006005F8" w14:paraId="7B823F2E" w14:textId="77777777" w:rsidTr="003643F1">
        <w:tc>
          <w:tcPr>
            <w:tcW w:w="1417" w:type="dxa"/>
          </w:tcPr>
          <w:p w14:paraId="1B63B62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Kód oboru vzdělání </w:t>
            </w:r>
          </w:p>
        </w:tc>
        <w:tc>
          <w:tcPr>
            <w:tcW w:w="2126" w:type="dxa"/>
          </w:tcPr>
          <w:p w14:paraId="5B4F2C8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Druh školy, název oboru vzdělání/ forma vzdělávání</w:t>
            </w:r>
          </w:p>
        </w:tc>
        <w:tc>
          <w:tcPr>
            <w:tcW w:w="1701" w:type="dxa"/>
          </w:tcPr>
          <w:p w14:paraId="076B8897"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Předpokládaný počet žáků</w:t>
            </w:r>
          </w:p>
        </w:tc>
        <w:tc>
          <w:tcPr>
            <w:tcW w:w="1418" w:type="dxa"/>
          </w:tcPr>
          <w:p w14:paraId="4363CB04"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Navýšení procentního podílu z normativu</w:t>
            </w:r>
          </w:p>
        </w:tc>
        <w:tc>
          <w:tcPr>
            <w:tcW w:w="1984" w:type="dxa"/>
          </w:tcPr>
          <w:p w14:paraId="66704133"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Navýšený – celkový procentní podíl z normativu</w:t>
            </w:r>
          </w:p>
        </w:tc>
      </w:tr>
      <w:tr w:rsidR="00652982" w:rsidRPr="006005F8" w14:paraId="29DD8009" w14:textId="77777777" w:rsidTr="003643F1">
        <w:tc>
          <w:tcPr>
            <w:tcW w:w="1417" w:type="dxa"/>
          </w:tcPr>
          <w:p w14:paraId="4EBEB900" w14:textId="77777777" w:rsidR="00652982" w:rsidRPr="006005F8" w:rsidRDefault="00652982" w:rsidP="003643F1">
            <w:pPr>
              <w:tabs>
                <w:tab w:val="left" w:pos="216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68-42-M/01</w:t>
            </w:r>
          </w:p>
        </w:tc>
        <w:tc>
          <w:tcPr>
            <w:tcW w:w="2126" w:type="dxa"/>
          </w:tcPr>
          <w:p w14:paraId="05CC276B"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Bezpečnostně právní činnost / denní</w:t>
            </w:r>
          </w:p>
        </w:tc>
        <w:tc>
          <w:tcPr>
            <w:tcW w:w="1701" w:type="dxa"/>
            <w:vAlign w:val="center"/>
          </w:tcPr>
          <w:p w14:paraId="0410F55D"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19A19AD3"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67BD404E" w14:textId="401C73B6" w:rsidR="00652982" w:rsidRPr="006005F8" w:rsidRDefault="000701A1" w:rsidP="00E449DA">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E449DA">
              <w:rPr>
                <w:rFonts w:ascii="Times New Roman" w:eastAsia="Times New Roman" w:hAnsi="Times New Roman" w:cs="Times New Roman"/>
                <w:sz w:val="24"/>
                <w:szCs w:val="24"/>
                <w:lang w:eastAsia="cs-CZ"/>
              </w:rPr>
              <w:t>4</w:t>
            </w:r>
            <w:r w:rsidR="00DD6C54">
              <w:rPr>
                <w:rFonts w:ascii="Times New Roman" w:eastAsia="Times New Roman" w:hAnsi="Times New Roman" w:cs="Times New Roman"/>
                <w:sz w:val="24"/>
                <w:szCs w:val="24"/>
                <w:lang w:eastAsia="cs-CZ"/>
              </w:rPr>
              <w:t>8</w:t>
            </w:r>
          </w:p>
        </w:tc>
        <w:tc>
          <w:tcPr>
            <w:tcW w:w="1418" w:type="dxa"/>
          </w:tcPr>
          <w:p w14:paraId="6258DE41"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06534F5D"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5185DE7"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30 %</w:t>
            </w:r>
          </w:p>
        </w:tc>
        <w:tc>
          <w:tcPr>
            <w:tcW w:w="1984" w:type="dxa"/>
          </w:tcPr>
          <w:p w14:paraId="52D74CD2"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28AAEF5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0AC3797"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90 %</w:t>
            </w:r>
          </w:p>
        </w:tc>
      </w:tr>
      <w:tr w:rsidR="00652982" w:rsidRPr="006005F8" w14:paraId="39496A3A" w14:textId="77777777" w:rsidTr="003643F1">
        <w:tc>
          <w:tcPr>
            <w:tcW w:w="1417" w:type="dxa"/>
          </w:tcPr>
          <w:p w14:paraId="3185AD7D" w14:textId="77777777" w:rsidR="00652982" w:rsidRPr="006005F8" w:rsidRDefault="00652982" w:rsidP="003643F1">
            <w:pPr>
              <w:tabs>
                <w:tab w:val="left" w:pos="216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68-42-L/51</w:t>
            </w:r>
          </w:p>
        </w:tc>
        <w:tc>
          <w:tcPr>
            <w:tcW w:w="2126" w:type="dxa"/>
          </w:tcPr>
          <w:p w14:paraId="705D748A"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Bezpečnostní služby / </w:t>
            </w:r>
          </w:p>
          <w:p w14:paraId="4C4CD40F" w14:textId="77777777" w:rsidR="00652982" w:rsidRPr="006005F8" w:rsidRDefault="00652982" w:rsidP="003643F1">
            <w:pPr>
              <w:tabs>
                <w:tab w:val="left" w:pos="216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dálková (</w:t>
            </w:r>
            <w:proofErr w:type="spellStart"/>
            <w:r w:rsidRPr="006005F8">
              <w:rPr>
                <w:rFonts w:ascii="Times New Roman" w:eastAsia="Times New Roman" w:hAnsi="Times New Roman" w:cs="Times New Roman"/>
                <w:sz w:val="24"/>
                <w:szCs w:val="24"/>
                <w:lang w:eastAsia="cs-CZ"/>
              </w:rPr>
              <w:t>nást</w:t>
            </w:r>
            <w:proofErr w:type="spellEnd"/>
            <w:r w:rsidRPr="006005F8">
              <w:rPr>
                <w:rFonts w:ascii="Times New Roman" w:eastAsia="Times New Roman" w:hAnsi="Times New Roman" w:cs="Times New Roman"/>
                <w:sz w:val="24"/>
                <w:szCs w:val="24"/>
                <w:lang w:eastAsia="cs-CZ"/>
              </w:rPr>
              <w:t>.)</w:t>
            </w:r>
          </w:p>
        </w:tc>
        <w:tc>
          <w:tcPr>
            <w:tcW w:w="1701" w:type="dxa"/>
            <w:vAlign w:val="center"/>
          </w:tcPr>
          <w:p w14:paraId="3A701C17"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79F2739F"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654A8FB9" w14:textId="3853BDBF" w:rsidR="00652982" w:rsidRPr="006005F8" w:rsidRDefault="00E449DA" w:rsidP="003643F1">
            <w:pPr>
              <w:tabs>
                <w:tab w:val="left" w:pos="2700"/>
              </w:tabs>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r w:rsidR="005663E2">
              <w:rPr>
                <w:rFonts w:ascii="Times New Roman" w:eastAsia="Times New Roman" w:hAnsi="Times New Roman" w:cs="Times New Roman"/>
                <w:sz w:val="24"/>
                <w:szCs w:val="24"/>
                <w:lang w:eastAsia="cs-CZ"/>
              </w:rPr>
              <w:t>4</w:t>
            </w:r>
          </w:p>
        </w:tc>
        <w:tc>
          <w:tcPr>
            <w:tcW w:w="1418" w:type="dxa"/>
          </w:tcPr>
          <w:p w14:paraId="78789ADF"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45DA681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66D7A5E6"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30 %</w:t>
            </w:r>
          </w:p>
        </w:tc>
        <w:tc>
          <w:tcPr>
            <w:tcW w:w="1984" w:type="dxa"/>
          </w:tcPr>
          <w:p w14:paraId="7A045233"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12D27314"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p>
          <w:p w14:paraId="2E95862E" w14:textId="77777777" w:rsidR="00652982" w:rsidRPr="006005F8" w:rsidRDefault="00652982" w:rsidP="003643F1">
            <w:pPr>
              <w:tabs>
                <w:tab w:val="left" w:pos="216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90 %</w:t>
            </w:r>
          </w:p>
        </w:tc>
      </w:tr>
    </w:tbl>
    <w:p w14:paraId="507D12E7" w14:textId="77777777" w:rsidR="00652982" w:rsidRPr="00652982" w:rsidRDefault="00652982" w:rsidP="00652982">
      <w:pPr>
        <w:pStyle w:val="Odstavecseseznamem"/>
        <w:tabs>
          <w:tab w:val="left" w:pos="2700"/>
        </w:tabs>
        <w:spacing w:after="0" w:line="240" w:lineRule="auto"/>
        <w:jc w:val="both"/>
        <w:rPr>
          <w:rFonts w:ascii="Times New Roman" w:eastAsia="Times New Roman" w:hAnsi="Times New Roman" w:cs="Times New Roman"/>
          <w:sz w:val="24"/>
          <w:szCs w:val="24"/>
          <w:lang w:eastAsia="cs-CZ"/>
        </w:rPr>
      </w:pPr>
    </w:p>
    <w:p w14:paraId="694B0DF8" w14:textId="77777777" w:rsidR="00652982" w:rsidRPr="00652982" w:rsidRDefault="00652982" w:rsidP="00652982">
      <w:pPr>
        <w:pStyle w:val="Odstavecseseznamem"/>
        <w:tabs>
          <w:tab w:val="left" w:pos="2700"/>
        </w:tabs>
        <w:spacing w:after="0" w:line="240" w:lineRule="auto"/>
        <w:jc w:val="both"/>
        <w:rPr>
          <w:rFonts w:ascii="Times New Roman" w:eastAsia="Times New Roman" w:hAnsi="Times New Roman" w:cs="Times New Roman"/>
          <w:color w:val="FF0000"/>
          <w:sz w:val="24"/>
          <w:szCs w:val="24"/>
          <w:lang w:eastAsia="cs-C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652982" w:rsidRPr="006005F8" w14:paraId="32989460" w14:textId="77777777" w:rsidTr="003643F1">
        <w:tc>
          <w:tcPr>
            <w:tcW w:w="8670" w:type="dxa"/>
            <w:gridSpan w:val="2"/>
            <w:tcBorders>
              <w:top w:val="single" w:sz="4" w:space="0" w:color="auto"/>
              <w:left w:val="single" w:sz="4" w:space="0" w:color="auto"/>
              <w:bottom w:val="single" w:sz="4" w:space="0" w:color="auto"/>
              <w:right w:val="single" w:sz="4" w:space="0" w:color="auto"/>
            </w:tcBorders>
            <w:hideMark/>
          </w:tcPr>
          <w:p w14:paraId="7F63CC11"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Kapacita dle údajů uvedených v Rejstříku škol a školských zařízení:</w:t>
            </w:r>
          </w:p>
        </w:tc>
      </w:tr>
      <w:tr w:rsidR="00652982" w:rsidRPr="006005F8" w14:paraId="609D4AC9" w14:textId="77777777" w:rsidTr="003643F1">
        <w:tc>
          <w:tcPr>
            <w:tcW w:w="7545" w:type="dxa"/>
            <w:tcBorders>
              <w:top w:val="single" w:sz="4" w:space="0" w:color="auto"/>
              <w:left w:val="single" w:sz="4" w:space="0" w:color="auto"/>
              <w:bottom w:val="single" w:sz="4" w:space="0" w:color="auto"/>
              <w:right w:val="single" w:sz="4" w:space="0" w:color="auto"/>
            </w:tcBorders>
            <w:hideMark/>
          </w:tcPr>
          <w:p w14:paraId="2280E571"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Střední škola</w:t>
            </w:r>
          </w:p>
          <w:p w14:paraId="45EEED3A"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ve škole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A0FA75A"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p>
          <w:p w14:paraId="45942D5E"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450</w:t>
            </w:r>
          </w:p>
        </w:tc>
      </w:tr>
      <w:tr w:rsidR="00652982" w:rsidRPr="006005F8" w14:paraId="3E4EE11B" w14:textId="77777777" w:rsidTr="003643F1">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0D4AE07B" w14:textId="70A19AEB"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68-42-M/01 Bezpečnostně právní činnost</w:t>
            </w:r>
            <w:r w:rsidR="00217D5B">
              <w:rPr>
                <w:rFonts w:ascii="Times New Roman" w:eastAsia="Times New Roman" w:hAnsi="Times New Roman" w:cs="Times New Roman"/>
                <w:sz w:val="24"/>
                <w:szCs w:val="24"/>
                <w:lang w:eastAsia="cs-CZ"/>
              </w:rPr>
              <w:t xml:space="preserve"> (denní forma vzdělávání)</w:t>
            </w:r>
          </w:p>
          <w:p w14:paraId="0C9291E6" w14:textId="77777777" w:rsidR="00652982" w:rsidRPr="006005F8" w:rsidRDefault="00652982" w:rsidP="003643F1">
            <w:pPr>
              <w:tabs>
                <w:tab w:val="left" w:pos="2700"/>
              </w:tabs>
              <w:spacing w:after="0" w:line="240" w:lineRule="auto"/>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6DF3D568"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250</w:t>
            </w:r>
          </w:p>
        </w:tc>
      </w:tr>
      <w:tr w:rsidR="00652982" w:rsidRPr="006005F8" w14:paraId="3587BEB5" w14:textId="77777777" w:rsidTr="003643F1">
        <w:tc>
          <w:tcPr>
            <w:tcW w:w="7545" w:type="dxa"/>
            <w:tcBorders>
              <w:top w:val="single" w:sz="4" w:space="0" w:color="auto"/>
              <w:left w:val="single" w:sz="4" w:space="0" w:color="auto"/>
              <w:bottom w:val="single" w:sz="4" w:space="0" w:color="auto"/>
              <w:right w:val="single" w:sz="4" w:space="0" w:color="auto"/>
            </w:tcBorders>
            <w:hideMark/>
          </w:tcPr>
          <w:p w14:paraId="731E990E"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 xml:space="preserve">68-42-L/51 Bezpečnostní služby (dálková forma vzdělávání, </w:t>
            </w:r>
            <w:proofErr w:type="spellStart"/>
            <w:r w:rsidRPr="006005F8">
              <w:rPr>
                <w:rFonts w:ascii="Times New Roman" w:eastAsia="Times New Roman" w:hAnsi="Times New Roman" w:cs="Times New Roman"/>
                <w:sz w:val="24"/>
                <w:szCs w:val="24"/>
                <w:lang w:eastAsia="cs-CZ"/>
              </w:rPr>
              <w:t>nást</w:t>
            </w:r>
            <w:proofErr w:type="spellEnd"/>
            <w:r w:rsidRPr="006005F8">
              <w:rPr>
                <w:rFonts w:ascii="Times New Roman" w:eastAsia="Times New Roman" w:hAnsi="Times New Roman" w:cs="Times New Roman"/>
                <w:sz w:val="24"/>
                <w:szCs w:val="24"/>
                <w:lang w:eastAsia="cs-CZ"/>
              </w:rPr>
              <w:t xml:space="preserve">.) </w:t>
            </w:r>
          </w:p>
          <w:p w14:paraId="77E29C87" w14:textId="77777777" w:rsidR="00652982" w:rsidRPr="006005F8" w:rsidRDefault="00652982" w:rsidP="003643F1">
            <w:pPr>
              <w:tabs>
                <w:tab w:val="left" w:pos="2700"/>
              </w:tabs>
              <w:spacing w:after="0" w:line="240" w:lineRule="auto"/>
              <w:jc w:val="both"/>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4B9BDD5B" w14:textId="77777777" w:rsidR="00652982" w:rsidRPr="006005F8" w:rsidRDefault="00652982" w:rsidP="003643F1">
            <w:pPr>
              <w:tabs>
                <w:tab w:val="left" w:pos="2700"/>
              </w:tabs>
              <w:spacing w:after="0" w:line="240" w:lineRule="auto"/>
              <w:jc w:val="center"/>
              <w:rPr>
                <w:rFonts w:ascii="Times New Roman" w:eastAsia="Times New Roman" w:hAnsi="Times New Roman" w:cs="Times New Roman"/>
                <w:sz w:val="24"/>
                <w:szCs w:val="24"/>
                <w:lang w:eastAsia="cs-CZ"/>
              </w:rPr>
            </w:pPr>
            <w:r w:rsidRPr="006005F8">
              <w:rPr>
                <w:rFonts w:ascii="Times New Roman" w:eastAsia="Times New Roman" w:hAnsi="Times New Roman" w:cs="Times New Roman"/>
                <w:sz w:val="24"/>
                <w:szCs w:val="24"/>
                <w:lang w:eastAsia="cs-CZ"/>
              </w:rPr>
              <w:t>200</w:t>
            </w:r>
          </w:p>
        </w:tc>
      </w:tr>
    </w:tbl>
    <w:p w14:paraId="33ABE6A5" w14:textId="77777777" w:rsidR="00652982" w:rsidRPr="00652982" w:rsidRDefault="00652982" w:rsidP="00652982">
      <w:pPr>
        <w:pStyle w:val="Odstavecseseznamem"/>
        <w:tabs>
          <w:tab w:val="left" w:pos="2694"/>
        </w:tabs>
        <w:spacing w:after="0" w:line="240" w:lineRule="auto"/>
        <w:jc w:val="both"/>
        <w:rPr>
          <w:rFonts w:ascii="Times New Roman" w:eastAsia="Times New Roman" w:hAnsi="Times New Roman" w:cs="Times New Roman"/>
          <w:b/>
          <w:sz w:val="24"/>
          <w:szCs w:val="24"/>
          <w:lang w:eastAsia="cs-CZ"/>
        </w:rPr>
      </w:pPr>
      <w:r w:rsidRPr="00652982">
        <w:rPr>
          <w:rFonts w:ascii="Times New Roman" w:eastAsia="Times New Roman" w:hAnsi="Times New Roman" w:cs="Times New Roman"/>
          <w:b/>
          <w:sz w:val="24"/>
          <w:szCs w:val="24"/>
          <w:lang w:eastAsia="cs-CZ"/>
        </w:rPr>
        <w:t xml:space="preserve">  </w:t>
      </w: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zvláštním právním předpisem, uvedeného ve školních matrikách pro příslušný školní rok, nejvýše však do výše povoleného počtu 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5366CF54" w14:textId="77777777" w:rsidR="009741FC" w:rsidRDefault="009741FC" w:rsidP="00E6000C">
      <w:pPr>
        <w:tabs>
          <w:tab w:val="left" w:pos="2694"/>
        </w:tabs>
        <w:spacing w:after="0"/>
        <w:jc w:val="center"/>
        <w:rPr>
          <w:rFonts w:ascii="Times New Roman" w:hAnsi="Times New Roman" w:cs="Times New Roman"/>
          <w:b/>
          <w:sz w:val="24"/>
          <w:szCs w:val="24"/>
        </w:rPr>
      </w:pPr>
    </w:p>
    <w:p w14:paraId="252B4A4F" w14:textId="77777777" w:rsidR="009741FC" w:rsidRDefault="009741FC" w:rsidP="00E6000C">
      <w:pPr>
        <w:tabs>
          <w:tab w:val="left" w:pos="2694"/>
        </w:tabs>
        <w:spacing w:after="0"/>
        <w:jc w:val="center"/>
        <w:rPr>
          <w:rFonts w:ascii="Times New Roman" w:hAnsi="Times New Roman" w:cs="Times New Roman"/>
          <w:b/>
          <w:sz w:val="24"/>
          <w:szCs w:val="24"/>
        </w:rPr>
      </w:pPr>
    </w:p>
    <w:p w14:paraId="7A2B9818" w14:textId="77777777" w:rsidR="00FD1C7D" w:rsidRDefault="00FD1C7D" w:rsidP="00E6000C">
      <w:pPr>
        <w:tabs>
          <w:tab w:val="left" w:pos="2694"/>
        </w:tabs>
        <w:spacing w:after="0"/>
        <w:jc w:val="center"/>
        <w:rPr>
          <w:rFonts w:ascii="Times New Roman" w:hAnsi="Times New Roman" w:cs="Times New Roman"/>
          <w:b/>
          <w:sz w:val="24"/>
          <w:szCs w:val="24"/>
        </w:rPr>
      </w:pPr>
    </w:p>
    <w:p w14:paraId="1F4A54D9" w14:textId="485B85DF"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lastRenderedPageBreak/>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7F96C2BE"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1D6CB1">
        <w:rPr>
          <w:rFonts w:ascii="Times New Roman" w:hAnsi="Times New Roman" w:cs="Times New Roman"/>
          <w:sz w:val="24"/>
          <w:szCs w:val="24"/>
        </w:rPr>
        <w:lastRenderedPageBreak/>
        <w:t>Právnická osoba předloží krajskému úřadu vyúčtování poskytnuté dotace za školní rok 202</w:t>
      </w:r>
      <w:r w:rsidR="005663E2">
        <w:rPr>
          <w:rFonts w:ascii="Times New Roman" w:hAnsi="Times New Roman" w:cs="Times New Roman"/>
          <w:sz w:val="24"/>
          <w:szCs w:val="24"/>
        </w:rPr>
        <w:t>5</w:t>
      </w:r>
      <w:r w:rsidRPr="001D6CB1">
        <w:rPr>
          <w:rFonts w:ascii="Times New Roman" w:hAnsi="Times New Roman" w:cs="Times New Roman"/>
          <w:sz w:val="24"/>
          <w:szCs w:val="24"/>
        </w:rPr>
        <w:t>/202</w:t>
      </w:r>
      <w:r w:rsidR="005663E2">
        <w:rPr>
          <w:rFonts w:ascii="Times New Roman" w:hAnsi="Times New Roman" w:cs="Times New Roman"/>
          <w:sz w:val="24"/>
          <w:szCs w:val="24"/>
        </w:rPr>
        <w:t>6</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 xml:space="preserve">6309/2017 nejpozději </w:t>
      </w:r>
      <w:r w:rsidRPr="001D6CB1">
        <w:rPr>
          <w:rFonts w:ascii="Times New Roman" w:hAnsi="Times New Roman" w:cs="Times New Roman"/>
          <w:sz w:val="24"/>
          <w:szCs w:val="24"/>
        </w:rPr>
        <w:t>do 15. října 202</w:t>
      </w:r>
      <w:r w:rsidR="005663E2">
        <w:rPr>
          <w:rFonts w:ascii="Times New Roman" w:hAnsi="Times New Roman" w:cs="Times New Roman"/>
          <w:sz w:val="24"/>
          <w:szCs w:val="24"/>
        </w:rPr>
        <w:t>6</w:t>
      </w:r>
      <w:r w:rsidRPr="001D6CB1">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0BCF7734"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DD6C54">
        <w:rPr>
          <w:rFonts w:ascii="Times New Roman" w:hAnsi="Times New Roman" w:cs="Times New Roman"/>
          <w:sz w:val="24"/>
          <w:szCs w:val="24"/>
        </w:rPr>
        <w:t>4</w:t>
      </w:r>
      <w:r w:rsidRPr="00BC28DE">
        <w:rPr>
          <w:rFonts w:ascii="Times New Roman" w:hAnsi="Times New Roman" w:cs="Times New Roman"/>
          <w:sz w:val="24"/>
          <w:szCs w:val="24"/>
        </w:rPr>
        <w:t>/202</w:t>
      </w:r>
      <w:r w:rsidR="00DD6C54">
        <w:rPr>
          <w:rFonts w:ascii="Times New Roman" w:hAnsi="Times New Roman" w:cs="Times New Roman"/>
          <w:sz w:val="24"/>
          <w:szCs w:val="24"/>
        </w:rPr>
        <w:t>5</w:t>
      </w:r>
      <w:r w:rsidRPr="00BC28DE">
        <w:rPr>
          <w:rFonts w:ascii="Times New Roman" w:hAnsi="Times New Roman" w:cs="Times New Roman"/>
          <w:sz w:val="24"/>
          <w:szCs w:val="24"/>
        </w:rPr>
        <w:t xml:space="preserve"> v termínech stanovených krajským úřadem v souladu s vyhláškou č. </w:t>
      </w:r>
      <w:r w:rsidR="005663E2">
        <w:rPr>
          <w:rFonts w:ascii="Times New Roman" w:hAnsi="Times New Roman" w:cs="Times New Roman"/>
          <w:sz w:val="24"/>
          <w:szCs w:val="24"/>
        </w:rPr>
        <w:t>433</w:t>
      </w:r>
      <w:r w:rsidRPr="00BC28DE">
        <w:rPr>
          <w:rFonts w:ascii="Times New Roman" w:hAnsi="Times New Roman" w:cs="Times New Roman"/>
          <w:sz w:val="24"/>
          <w:szCs w:val="24"/>
        </w:rPr>
        <w:t>/20</w:t>
      </w:r>
      <w:r w:rsidR="005663E2">
        <w:rPr>
          <w:rFonts w:ascii="Times New Roman" w:hAnsi="Times New Roman" w:cs="Times New Roman"/>
          <w:sz w:val="24"/>
          <w:szCs w:val="24"/>
        </w:rPr>
        <w:t>24</w:t>
      </w:r>
      <w:r w:rsidRPr="00BC28DE">
        <w:rPr>
          <w:rFonts w:ascii="Times New Roman" w:hAnsi="Times New Roman" w:cs="Times New Roman"/>
          <w:sz w:val="24"/>
          <w:szCs w:val="24"/>
        </w:rPr>
        <w:t xml:space="preserve"> Sb., o zásadách a lhůtách finančního vypořádání vztahů se státním rozpočtem, státními finančními aktivy a Národním fondem (vyhláška o finančním vypořádání), ve znění pozdějších předpisů, nejpozději do </w:t>
      </w:r>
      <w:r w:rsidRPr="001D6CB1">
        <w:rPr>
          <w:rFonts w:ascii="Times New Roman" w:hAnsi="Times New Roman" w:cs="Times New Roman"/>
          <w:sz w:val="24"/>
          <w:szCs w:val="24"/>
        </w:rPr>
        <w:t>15. října 202</w:t>
      </w:r>
      <w:r w:rsidR="005663E2">
        <w:rPr>
          <w:rFonts w:ascii="Times New Roman" w:hAnsi="Times New Roman" w:cs="Times New Roman"/>
          <w:sz w:val="24"/>
          <w:szCs w:val="24"/>
        </w:rPr>
        <w:t>6</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64C00816" w14:textId="77777777"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0C4E37EF"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931583" w:rsidRPr="001D6CB1">
        <w:rPr>
          <w:rFonts w:ascii="Times New Roman" w:hAnsi="Times New Roman" w:cs="Times New Roman"/>
          <w:sz w:val="24"/>
          <w:szCs w:val="24"/>
        </w:rPr>
        <w:t>26325233</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35484DC8" w14:textId="77777777" w:rsidR="00D52A02" w:rsidRDefault="00D52A02" w:rsidP="005700B5">
      <w:pPr>
        <w:tabs>
          <w:tab w:val="left" w:pos="2694"/>
        </w:tabs>
        <w:spacing w:after="0"/>
        <w:jc w:val="center"/>
        <w:rPr>
          <w:rFonts w:ascii="Times New Roman" w:hAnsi="Times New Roman" w:cs="Times New Roman"/>
          <w:b/>
          <w:sz w:val="24"/>
          <w:szCs w:val="24"/>
        </w:rPr>
      </w:pPr>
    </w:p>
    <w:p w14:paraId="26CB9A45" w14:textId="35B9D5B5"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lastRenderedPageBreak/>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14FEA6D9"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CB0489">
        <w:rPr>
          <w:rFonts w:ascii="Times New Roman" w:hAnsi="Times New Roman" w:cs="Times New Roman"/>
          <w:sz w:val="24"/>
          <w:szCs w:val="24"/>
        </w:rPr>
        <w:t>ránky uvedené v záhlaví smlouvy</w:t>
      </w:r>
      <w:r w:rsidR="001E6244">
        <w:rPr>
          <w:rFonts w:ascii="Times New Roman" w:hAnsi="Times New Roman" w:cs="Times New Roman"/>
          <w:sz w:val="24"/>
          <w:szCs w:val="24"/>
        </w:rPr>
        <w:t xml:space="preserve">,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5C77BBA2"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931583" w:rsidRPr="001D6CB1">
        <w:rPr>
          <w:rFonts w:ascii="Times New Roman" w:hAnsi="Times New Roman" w:cs="Times New Roman"/>
          <w:sz w:val="24"/>
          <w:szCs w:val="24"/>
        </w:rPr>
        <w:t>26325233</w:t>
      </w:r>
      <w:r w:rsidRPr="001D6CB1">
        <w:rPr>
          <w:rFonts w:ascii="Times New Roman" w:hAnsi="Times New Roman" w:cs="Times New Roman"/>
          <w:sz w:val="24"/>
          <w:szCs w:val="24"/>
        </w:rPr>
        <w:t>.</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1755121F" w:rsidR="00BD59CD"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35A4FDA3" w14:textId="77777777" w:rsidR="00DD6C54" w:rsidRPr="00E00152" w:rsidRDefault="00DD6C54" w:rsidP="00BD59CD">
      <w:pPr>
        <w:tabs>
          <w:tab w:val="left" w:pos="2880"/>
        </w:tabs>
        <w:spacing w:after="0"/>
        <w:ind w:left="426" w:hanging="426"/>
        <w:jc w:val="both"/>
        <w:rPr>
          <w:rFonts w:ascii="Times New Roman" w:hAnsi="Times New Roman" w:cs="Times New Roman"/>
          <w:sz w:val="24"/>
          <w:szCs w:val="24"/>
        </w:rPr>
      </w:pP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0DC2F288" w:rsidR="00051AB9" w:rsidRPr="00E00152" w:rsidRDefault="00051AB9" w:rsidP="00051AB9">
      <w:pPr>
        <w:tabs>
          <w:tab w:val="left" w:pos="2880"/>
        </w:tabs>
        <w:spacing w:after="0"/>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CB0489" w:rsidRPr="001D6CB1">
        <w:rPr>
          <w:rFonts w:ascii="Times New Roman" w:eastAsia="Times New Roman" w:hAnsi="Times New Roman" w:cs="Times New Roman"/>
          <w:sz w:val="24"/>
          <w:szCs w:val="24"/>
          <w:lang w:eastAsia="cs-CZ"/>
        </w:rPr>
        <w:t>2ab8e8j</w:t>
      </w:r>
      <w:r w:rsidR="00C27856" w:rsidRPr="00E00152">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5F6E11FE" w:rsidR="006F07D7" w:rsidRDefault="006F07D7" w:rsidP="006F07D7">
      <w:pPr>
        <w:spacing w:after="0" w:line="240" w:lineRule="auto"/>
        <w:jc w:val="both"/>
        <w:rPr>
          <w:rFonts w:ascii="Times New Roman" w:eastAsia="Times New Roman" w:hAnsi="Times New Roman"/>
          <w:lang w:eastAsia="cs-CZ"/>
        </w:rPr>
      </w:pPr>
    </w:p>
    <w:p w14:paraId="1CB52F3E" w14:textId="6DE21B90" w:rsidR="00DD6C54" w:rsidRDefault="00DD6C54" w:rsidP="006F07D7">
      <w:pPr>
        <w:spacing w:after="0" w:line="240" w:lineRule="auto"/>
        <w:jc w:val="both"/>
        <w:rPr>
          <w:rFonts w:ascii="Times New Roman" w:eastAsia="Times New Roman" w:hAnsi="Times New Roman"/>
          <w:lang w:eastAsia="cs-CZ"/>
        </w:rPr>
      </w:pPr>
    </w:p>
    <w:p w14:paraId="16484C71" w14:textId="6EA93888" w:rsidR="00DD6C54" w:rsidRDefault="00DD6C54" w:rsidP="006F07D7">
      <w:pPr>
        <w:spacing w:after="0" w:line="240" w:lineRule="auto"/>
        <w:jc w:val="both"/>
        <w:rPr>
          <w:rFonts w:ascii="Times New Roman" w:eastAsia="Times New Roman" w:hAnsi="Times New Roman"/>
          <w:lang w:eastAsia="cs-CZ"/>
        </w:rPr>
      </w:pPr>
    </w:p>
    <w:p w14:paraId="6CEA9D0F" w14:textId="7F9838C3" w:rsidR="00DD6C54" w:rsidRDefault="00DD6C54" w:rsidP="006F07D7">
      <w:pPr>
        <w:spacing w:after="0" w:line="240" w:lineRule="auto"/>
        <w:jc w:val="both"/>
        <w:rPr>
          <w:rFonts w:ascii="Times New Roman" w:eastAsia="Times New Roman" w:hAnsi="Times New Roman"/>
          <w:lang w:eastAsia="cs-CZ"/>
        </w:rPr>
      </w:pPr>
    </w:p>
    <w:p w14:paraId="0DC69BD6" w14:textId="77777777" w:rsidR="00DD6C54" w:rsidRPr="00E00152" w:rsidRDefault="00DD6C54"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447AE0A7" w:rsidR="00EA1B28" w:rsidRPr="00E00152" w:rsidRDefault="00EA1B28" w:rsidP="00C66698">
            <w:pPr>
              <w:spacing w:after="0" w:line="256" w:lineRule="auto"/>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2B9A1F66" w:rsidR="00EA1B28" w:rsidRPr="00E00152" w:rsidRDefault="00EA1B28" w:rsidP="00C6669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w:t>
            </w:r>
            <w:r w:rsidR="00C66698">
              <w:rPr>
                <w:rFonts w:ascii="Times New Roman" w:eastAsia="Times New Roman" w:hAnsi="Times New Roman" w:cs="Times New Roman"/>
              </w:rPr>
              <w:t>krajský úřad</w:t>
            </w:r>
            <w:r w:rsidRPr="00E00152">
              <w:rPr>
                <w:rFonts w:ascii="Times New Roman" w:eastAsia="Times New Roman" w:hAnsi="Times New Roman" w:cs="Times New Roman"/>
              </w:rPr>
              <w:t>)</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425B8D9D" w:rsidR="00EA1B28" w:rsidRPr="00E00152" w:rsidRDefault="00EA1B28" w:rsidP="00C66698">
            <w:pPr>
              <w:spacing w:after="0" w:line="256" w:lineRule="auto"/>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6CB25634" w:rsidR="00EA1B28" w:rsidRPr="00E00152" w:rsidRDefault="00EA1B28" w:rsidP="00C6669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w:t>
            </w:r>
            <w:r w:rsidR="00C66698">
              <w:rPr>
                <w:rFonts w:ascii="Times New Roman" w:eastAsia="Times New Roman" w:hAnsi="Times New Roman" w:cs="Times New Roman"/>
              </w:rPr>
              <w:t>rávnická osoba</w:t>
            </w:r>
            <w:r w:rsidRPr="00E00152">
              <w:rPr>
                <w:rFonts w:ascii="Times New Roman" w:eastAsia="Times New Roman" w:hAnsi="Times New Roman" w:cs="Times New Roman"/>
              </w:rPr>
              <w:t>)</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7F5D3563" w14:textId="1466149E"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E449DA">
        <w:rPr>
          <w:rFonts w:ascii="Times New Roman" w:eastAsia="Times New Roman" w:hAnsi="Times New Roman" w:cs="Times New Roman"/>
          <w:sz w:val="24"/>
          <w:szCs w:val="24"/>
          <w:lang w:eastAsia="cs-CZ"/>
        </w:rPr>
        <w:t>Hana Goubejová</w:t>
      </w:r>
    </w:p>
    <w:p w14:paraId="35D61FA3"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328EAEA2" w:rsidR="0046406D" w:rsidRDefault="0046406D">
        <w:pPr>
          <w:pStyle w:val="Zpat"/>
          <w:jc w:val="center"/>
        </w:pPr>
        <w:r>
          <w:fldChar w:fldCharType="begin"/>
        </w:r>
        <w:r>
          <w:instrText>PAGE   \* MERGEFORMAT</w:instrText>
        </w:r>
        <w:r>
          <w:fldChar w:fldCharType="separate"/>
        </w:r>
        <w:r w:rsidR="00135E7B">
          <w:rPr>
            <w:noProof/>
          </w:rPr>
          <w:t>2</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461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399E"/>
    <w:rsid w:val="00016B93"/>
    <w:rsid w:val="00017022"/>
    <w:rsid w:val="000176DD"/>
    <w:rsid w:val="00020109"/>
    <w:rsid w:val="0002130A"/>
    <w:rsid w:val="000261AD"/>
    <w:rsid w:val="00031932"/>
    <w:rsid w:val="00032EC1"/>
    <w:rsid w:val="000377D8"/>
    <w:rsid w:val="00037DAB"/>
    <w:rsid w:val="000403CB"/>
    <w:rsid w:val="00043909"/>
    <w:rsid w:val="00051AB9"/>
    <w:rsid w:val="00054C8B"/>
    <w:rsid w:val="000701A1"/>
    <w:rsid w:val="000704C0"/>
    <w:rsid w:val="00072393"/>
    <w:rsid w:val="00085060"/>
    <w:rsid w:val="00086F2B"/>
    <w:rsid w:val="00090738"/>
    <w:rsid w:val="00092D20"/>
    <w:rsid w:val="0009414C"/>
    <w:rsid w:val="00096196"/>
    <w:rsid w:val="00097494"/>
    <w:rsid w:val="000A2B1E"/>
    <w:rsid w:val="000A53AE"/>
    <w:rsid w:val="000A606D"/>
    <w:rsid w:val="000B0025"/>
    <w:rsid w:val="000B28A8"/>
    <w:rsid w:val="000C2A84"/>
    <w:rsid w:val="000C31F2"/>
    <w:rsid w:val="000C6DD6"/>
    <w:rsid w:val="000D398E"/>
    <w:rsid w:val="000D4404"/>
    <w:rsid w:val="000E16A6"/>
    <w:rsid w:val="000E317E"/>
    <w:rsid w:val="000E4090"/>
    <w:rsid w:val="000E508D"/>
    <w:rsid w:val="000E54EC"/>
    <w:rsid w:val="000E6BDD"/>
    <w:rsid w:val="000F73F8"/>
    <w:rsid w:val="00100AB1"/>
    <w:rsid w:val="001050CE"/>
    <w:rsid w:val="00106E7E"/>
    <w:rsid w:val="001073C1"/>
    <w:rsid w:val="0011146A"/>
    <w:rsid w:val="001124CC"/>
    <w:rsid w:val="00117C57"/>
    <w:rsid w:val="00121A94"/>
    <w:rsid w:val="00122A63"/>
    <w:rsid w:val="001254E6"/>
    <w:rsid w:val="00131F94"/>
    <w:rsid w:val="00135E7B"/>
    <w:rsid w:val="00145823"/>
    <w:rsid w:val="001506E1"/>
    <w:rsid w:val="00153AFB"/>
    <w:rsid w:val="001550F0"/>
    <w:rsid w:val="00157FD3"/>
    <w:rsid w:val="00180509"/>
    <w:rsid w:val="00196CB2"/>
    <w:rsid w:val="00197978"/>
    <w:rsid w:val="001A0537"/>
    <w:rsid w:val="001A12E4"/>
    <w:rsid w:val="001A6C68"/>
    <w:rsid w:val="001B733C"/>
    <w:rsid w:val="001B736D"/>
    <w:rsid w:val="001C17C1"/>
    <w:rsid w:val="001C20B4"/>
    <w:rsid w:val="001C5557"/>
    <w:rsid w:val="001C5B59"/>
    <w:rsid w:val="001C7630"/>
    <w:rsid w:val="001D6CB1"/>
    <w:rsid w:val="001D71D0"/>
    <w:rsid w:val="001E07BE"/>
    <w:rsid w:val="001E1DF1"/>
    <w:rsid w:val="001E33E6"/>
    <w:rsid w:val="001E4F92"/>
    <w:rsid w:val="001E6244"/>
    <w:rsid w:val="001F07E0"/>
    <w:rsid w:val="001F0873"/>
    <w:rsid w:val="001F620F"/>
    <w:rsid w:val="0020382C"/>
    <w:rsid w:val="00213981"/>
    <w:rsid w:val="00217D5B"/>
    <w:rsid w:val="0022138A"/>
    <w:rsid w:val="00226887"/>
    <w:rsid w:val="002326B2"/>
    <w:rsid w:val="0023420A"/>
    <w:rsid w:val="00236CBD"/>
    <w:rsid w:val="002405C5"/>
    <w:rsid w:val="002439E9"/>
    <w:rsid w:val="002510AE"/>
    <w:rsid w:val="00261E15"/>
    <w:rsid w:val="00262000"/>
    <w:rsid w:val="0027214F"/>
    <w:rsid w:val="002748D5"/>
    <w:rsid w:val="0028407B"/>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76242"/>
    <w:rsid w:val="003817A2"/>
    <w:rsid w:val="003862F1"/>
    <w:rsid w:val="003A28F0"/>
    <w:rsid w:val="003A78CE"/>
    <w:rsid w:val="003C284D"/>
    <w:rsid w:val="003C29F8"/>
    <w:rsid w:val="003C6708"/>
    <w:rsid w:val="003D5938"/>
    <w:rsid w:val="003F4B20"/>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4C77"/>
    <w:rsid w:val="004919E9"/>
    <w:rsid w:val="004955E7"/>
    <w:rsid w:val="00496882"/>
    <w:rsid w:val="00497FE3"/>
    <w:rsid w:val="004A0A58"/>
    <w:rsid w:val="004A2C23"/>
    <w:rsid w:val="004A55A2"/>
    <w:rsid w:val="004B1D7B"/>
    <w:rsid w:val="004B5AD9"/>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C92"/>
    <w:rsid w:val="0052370A"/>
    <w:rsid w:val="00534A32"/>
    <w:rsid w:val="00536582"/>
    <w:rsid w:val="0054347E"/>
    <w:rsid w:val="00547DE3"/>
    <w:rsid w:val="005648E8"/>
    <w:rsid w:val="005663E2"/>
    <w:rsid w:val="005700B5"/>
    <w:rsid w:val="00570EDD"/>
    <w:rsid w:val="00582E9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6005F8"/>
    <w:rsid w:val="00614610"/>
    <w:rsid w:val="00616FB2"/>
    <w:rsid w:val="00622FAF"/>
    <w:rsid w:val="006414C8"/>
    <w:rsid w:val="00641AD4"/>
    <w:rsid w:val="00645090"/>
    <w:rsid w:val="0065059A"/>
    <w:rsid w:val="00652982"/>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77D3"/>
    <w:rsid w:val="006E1186"/>
    <w:rsid w:val="006E3D54"/>
    <w:rsid w:val="006F07D7"/>
    <w:rsid w:val="006F58F3"/>
    <w:rsid w:val="007078C3"/>
    <w:rsid w:val="00712E80"/>
    <w:rsid w:val="00713DF6"/>
    <w:rsid w:val="00715F71"/>
    <w:rsid w:val="00716CD3"/>
    <w:rsid w:val="00725B7D"/>
    <w:rsid w:val="007264F0"/>
    <w:rsid w:val="00727C0A"/>
    <w:rsid w:val="00734806"/>
    <w:rsid w:val="00736E40"/>
    <w:rsid w:val="00737CB3"/>
    <w:rsid w:val="00737DE5"/>
    <w:rsid w:val="00740596"/>
    <w:rsid w:val="00740DB4"/>
    <w:rsid w:val="007472F1"/>
    <w:rsid w:val="00747CF2"/>
    <w:rsid w:val="00757853"/>
    <w:rsid w:val="0076469A"/>
    <w:rsid w:val="007710D8"/>
    <w:rsid w:val="007729A5"/>
    <w:rsid w:val="007742DE"/>
    <w:rsid w:val="007811EF"/>
    <w:rsid w:val="007927E3"/>
    <w:rsid w:val="00797816"/>
    <w:rsid w:val="007A5A9C"/>
    <w:rsid w:val="007A7B17"/>
    <w:rsid w:val="007B23F5"/>
    <w:rsid w:val="007B4E83"/>
    <w:rsid w:val="007C35F8"/>
    <w:rsid w:val="007C401C"/>
    <w:rsid w:val="007D04A5"/>
    <w:rsid w:val="007D104B"/>
    <w:rsid w:val="007D44C9"/>
    <w:rsid w:val="007E5894"/>
    <w:rsid w:val="007F0164"/>
    <w:rsid w:val="007F66D8"/>
    <w:rsid w:val="007F68F0"/>
    <w:rsid w:val="00805345"/>
    <w:rsid w:val="008261EF"/>
    <w:rsid w:val="00830053"/>
    <w:rsid w:val="0083052D"/>
    <w:rsid w:val="0083340F"/>
    <w:rsid w:val="0083373D"/>
    <w:rsid w:val="0084256F"/>
    <w:rsid w:val="0084258C"/>
    <w:rsid w:val="0084407E"/>
    <w:rsid w:val="00851283"/>
    <w:rsid w:val="008515E3"/>
    <w:rsid w:val="008753DF"/>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68E8"/>
    <w:rsid w:val="009210B9"/>
    <w:rsid w:val="00921FD5"/>
    <w:rsid w:val="00930233"/>
    <w:rsid w:val="00931583"/>
    <w:rsid w:val="00933615"/>
    <w:rsid w:val="00954143"/>
    <w:rsid w:val="009638E2"/>
    <w:rsid w:val="00963D74"/>
    <w:rsid w:val="00966285"/>
    <w:rsid w:val="00967F9D"/>
    <w:rsid w:val="00971C32"/>
    <w:rsid w:val="009741FC"/>
    <w:rsid w:val="00975CC5"/>
    <w:rsid w:val="00977FDB"/>
    <w:rsid w:val="00981726"/>
    <w:rsid w:val="00991396"/>
    <w:rsid w:val="009944F8"/>
    <w:rsid w:val="0099610E"/>
    <w:rsid w:val="0099743F"/>
    <w:rsid w:val="009A1A23"/>
    <w:rsid w:val="009A1EBF"/>
    <w:rsid w:val="009A3CBD"/>
    <w:rsid w:val="009A525F"/>
    <w:rsid w:val="009A5701"/>
    <w:rsid w:val="009B0C24"/>
    <w:rsid w:val="009C605A"/>
    <w:rsid w:val="009D20CA"/>
    <w:rsid w:val="009D537A"/>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D2094"/>
    <w:rsid w:val="00AD34FC"/>
    <w:rsid w:val="00AD5AB4"/>
    <w:rsid w:val="00AD613F"/>
    <w:rsid w:val="00AE639A"/>
    <w:rsid w:val="00AF177F"/>
    <w:rsid w:val="00AF4BE1"/>
    <w:rsid w:val="00B03410"/>
    <w:rsid w:val="00B1349B"/>
    <w:rsid w:val="00B157F9"/>
    <w:rsid w:val="00B17594"/>
    <w:rsid w:val="00B229C3"/>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63A0"/>
    <w:rsid w:val="00BB25B1"/>
    <w:rsid w:val="00BB388E"/>
    <w:rsid w:val="00BB7F26"/>
    <w:rsid w:val="00BC26D3"/>
    <w:rsid w:val="00BC28DE"/>
    <w:rsid w:val="00BC3753"/>
    <w:rsid w:val="00BC76CF"/>
    <w:rsid w:val="00BC77B5"/>
    <w:rsid w:val="00BC794B"/>
    <w:rsid w:val="00BD59CD"/>
    <w:rsid w:val="00BE4A38"/>
    <w:rsid w:val="00BE760D"/>
    <w:rsid w:val="00C04AC9"/>
    <w:rsid w:val="00C05F31"/>
    <w:rsid w:val="00C06ACD"/>
    <w:rsid w:val="00C11202"/>
    <w:rsid w:val="00C13173"/>
    <w:rsid w:val="00C147B5"/>
    <w:rsid w:val="00C16C6D"/>
    <w:rsid w:val="00C210AA"/>
    <w:rsid w:val="00C27856"/>
    <w:rsid w:val="00C33148"/>
    <w:rsid w:val="00C357FE"/>
    <w:rsid w:val="00C35E66"/>
    <w:rsid w:val="00C36C6B"/>
    <w:rsid w:val="00C4308A"/>
    <w:rsid w:val="00C45992"/>
    <w:rsid w:val="00C47366"/>
    <w:rsid w:val="00C5148D"/>
    <w:rsid w:val="00C52E1D"/>
    <w:rsid w:val="00C5751B"/>
    <w:rsid w:val="00C57AC7"/>
    <w:rsid w:val="00C63DF0"/>
    <w:rsid w:val="00C641E1"/>
    <w:rsid w:val="00C66698"/>
    <w:rsid w:val="00C84790"/>
    <w:rsid w:val="00C852EC"/>
    <w:rsid w:val="00C94836"/>
    <w:rsid w:val="00C95453"/>
    <w:rsid w:val="00CB0489"/>
    <w:rsid w:val="00CB3F31"/>
    <w:rsid w:val="00CB7536"/>
    <w:rsid w:val="00CC0621"/>
    <w:rsid w:val="00CC2EAB"/>
    <w:rsid w:val="00CD2276"/>
    <w:rsid w:val="00CE1AE5"/>
    <w:rsid w:val="00CE47EB"/>
    <w:rsid w:val="00CF150C"/>
    <w:rsid w:val="00D00F67"/>
    <w:rsid w:val="00D470D5"/>
    <w:rsid w:val="00D511AA"/>
    <w:rsid w:val="00D519C7"/>
    <w:rsid w:val="00D52A02"/>
    <w:rsid w:val="00D52F21"/>
    <w:rsid w:val="00D5319F"/>
    <w:rsid w:val="00D54AA1"/>
    <w:rsid w:val="00D55A6C"/>
    <w:rsid w:val="00D570F8"/>
    <w:rsid w:val="00D67A25"/>
    <w:rsid w:val="00D75D13"/>
    <w:rsid w:val="00D90BB9"/>
    <w:rsid w:val="00D96999"/>
    <w:rsid w:val="00DA25DC"/>
    <w:rsid w:val="00DA3CE0"/>
    <w:rsid w:val="00DB0D9B"/>
    <w:rsid w:val="00DB66A1"/>
    <w:rsid w:val="00DB69F0"/>
    <w:rsid w:val="00DC3973"/>
    <w:rsid w:val="00DD034B"/>
    <w:rsid w:val="00DD37B2"/>
    <w:rsid w:val="00DD477F"/>
    <w:rsid w:val="00DD4A3D"/>
    <w:rsid w:val="00DD53F7"/>
    <w:rsid w:val="00DD6C54"/>
    <w:rsid w:val="00DE06C3"/>
    <w:rsid w:val="00DE7530"/>
    <w:rsid w:val="00DF62DE"/>
    <w:rsid w:val="00DF7E1D"/>
    <w:rsid w:val="00E00152"/>
    <w:rsid w:val="00E10642"/>
    <w:rsid w:val="00E17F98"/>
    <w:rsid w:val="00E20257"/>
    <w:rsid w:val="00E27CC0"/>
    <w:rsid w:val="00E310B9"/>
    <w:rsid w:val="00E33509"/>
    <w:rsid w:val="00E36053"/>
    <w:rsid w:val="00E449DA"/>
    <w:rsid w:val="00E44C53"/>
    <w:rsid w:val="00E4609D"/>
    <w:rsid w:val="00E4641E"/>
    <w:rsid w:val="00E52B93"/>
    <w:rsid w:val="00E56438"/>
    <w:rsid w:val="00E6000C"/>
    <w:rsid w:val="00E6013A"/>
    <w:rsid w:val="00E7135E"/>
    <w:rsid w:val="00E717A2"/>
    <w:rsid w:val="00E752E9"/>
    <w:rsid w:val="00E87E40"/>
    <w:rsid w:val="00E90465"/>
    <w:rsid w:val="00E929DA"/>
    <w:rsid w:val="00E95E24"/>
    <w:rsid w:val="00E969FC"/>
    <w:rsid w:val="00EA110B"/>
    <w:rsid w:val="00EA1B28"/>
    <w:rsid w:val="00EA227D"/>
    <w:rsid w:val="00EA2BCA"/>
    <w:rsid w:val="00EA34C3"/>
    <w:rsid w:val="00EA7C84"/>
    <w:rsid w:val="00EC277B"/>
    <w:rsid w:val="00EC40A8"/>
    <w:rsid w:val="00EC5F5D"/>
    <w:rsid w:val="00EE1160"/>
    <w:rsid w:val="00EF5158"/>
    <w:rsid w:val="00F07DB9"/>
    <w:rsid w:val="00F16CCB"/>
    <w:rsid w:val="00F17E6B"/>
    <w:rsid w:val="00F26FAA"/>
    <w:rsid w:val="00F35168"/>
    <w:rsid w:val="00F35234"/>
    <w:rsid w:val="00F37938"/>
    <w:rsid w:val="00F40E13"/>
    <w:rsid w:val="00F45477"/>
    <w:rsid w:val="00F45D02"/>
    <w:rsid w:val="00F46413"/>
    <w:rsid w:val="00F532A1"/>
    <w:rsid w:val="00F54FB2"/>
    <w:rsid w:val="00F65861"/>
    <w:rsid w:val="00F72BC3"/>
    <w:rsid w:val="00F7687B"/>
    <w:rsid w:val="00F813FF"/>
    <w:rsid w:val="00F8512F"/>
    <w:rsid w:val="00F8695F"/>
    <w:rsid w:val="00F872F7"/>
    <w:rsid w:val="00F877B7"/>
    <w:rsid w:val="00F87D5F"/>
    <w:rsid w:val="00F904BA"/>
    <w:rsid w:val="00F92FBF"/>
    <w:rsid w:val="00F94FFD"/>
    <w:rsid w:val="00FA4839"/>
    <w:rsid w:val="00FB4DEF"/>
    <w:rsid w:val="00FC7F07"/>
    <w:rsid w:val="00FD19FA"/>
    <w:rsid w:val="00FD1C7D"/>
    <w:rsid w:val="00FD2BC4"/>
    <w:rsid w:val="00FD4AD1"/>
    <w:rsid w:val="00FD5D50"/>
    <w:rsid w:val="00FE23CC"/>
    <w:rsid w:val="00FF0A1A"/>
    <w:rsid w:val="00FF396F"/>
    <w:rsid w:val="00FF5743"/>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7D0E-39F3-4FC7-9B2F-44301532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3230</Words>
  <Characters>19060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3</cp:revision>
  <cp:lastPrinted>2024-03-05T10:07:00Z</cp:lastPrinted>
  <dcterms:created xsi:type="dcterms:W3CDTF">2025-03-05T11:58:00Z</dcterms:created>
  <dcterms:modified xsi:type="dcterms:W3CDTF">2025-03-05T11:59:00Z</dcterms:modified>
</cp:coreProperties>
</file>