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12993" w14:textId="77777777" w:rsidR="00704BEA" w:rsidRPr="00C673CD" w:rsidRDefault="00EA4A01" w:rsidP="00654D89">
      <w:pPr>
        <w:spacing w:before="120"/>
        <w:contextualSpacing/>
        <w:jc w:val="both"/>
        <w:rPr>
          <w:rFonts w:ascii="Arial" w:hAnsi="Arial" w:cs="Arial"/>
          <w:b/>
          <w:caps/>
          <w:sz w:val="40"/>
          <w:szCs w:val="22"/>
        </w:rPr>
      </w:pPr>
      <w:bookmarkStart w:id="0" w:name="_GoBack"/>
      <w:bookmarkEnd w:id="0"/>
      <w:r w:rsidRPr="00C673CD">
        <w:rPr>
          <w:rFonts w:ascii="Arial" w:hAnsi="Arial" w:cs="Arial"/>
          <w:b/>
          <w:caps/>
          <w:sz w:val="40"/>
          <w:szCs w:val="22"/>
        </w:rPr>
        <w:t xml:space="preserve">Smlouva o dílo </w:t>
      </w:r>
    </w:p>
    <w:p w14:paraId="1C54DD52" w14:textId="77777777"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EE1C28">
        <w:rPr>
          <w:rFonts w:cs="Arial"/>
          <w:b/>
          <w:szCs w:val="28"/>
        </w:rPr>
        <w:t xml:space="preserve">Úprava </w:t>
      </w:r>
      <w:proofErr w:type="spellStart"/>
      <w:r w:rsidR="00EE1C28">
        <w:rPr>
          <w:rFonts w:cs="Arial"/>
          <w:b/>
          <w:szCs w:val="28"/>
        </w:rPr>
        <w:t>předprostoru</w:t>
      </w:r>
      <w:proofErr w:type="spellEnd"/>
      <w:r w:rsidR="00EE1C28">
        <w:rPr>
          <w:rFonts w:cs="Arial"/>
          <w:b/>
          <w:szCs w:val="28"/>
        </w:rPr>
        <w:t xml:space="preserve"> Knihovny Kroměřížska</w:t>
      </w:r>
      <w:r w:rsidR="006A790E">
        <w:rPr>
          <w:rFonts w:cs="Arial"/>
          <w:b/>
          <w:szCs w:val="28"/>
        </w:rPr>
        <w:t>“</w:t>
      </w:r>
    </w:p>
    <w:p w14:paraId="7EBB626F" w14:textId="77777777" w:rsidR="003A6C0F"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2C367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75BC3FBF" w14:textId="77777777" w:rsidR="00760054" w:rsidRDefault="00760054" w:rsidP="00760054"/>
    <w:p w14:paraId="51E6734E" w14:textId="77777777" w:rsidR="00760054" w:rsidRPr="00760054" w:rsidRDefault="00EE1C28" w:rsidP="00EE1C28">
      <w:pPr>
        <w:jc w:val="both"/>
        <w:rPr>
          <w:rFonts w:ascii="Arial" w:hAnsi="Arial" w:cs="Arial"/>
        </w:rPr>
      </w:pPr>
      <w:r>
        <w:rPr>
          <w:rFonts w:ascii="Arial" w:hAnsi="Arial" w:cs="Arial"/>
        </w:rPr>
        <w:t xml:space="preserve">(projekt </w:t>
      </w:r>
      <w:r w:rsidR="00760054" w:rsidRPr="00760054">
        <w:rPr>
          <w:rFonts w:ascii="Arial" w:hAnsi="Arial" w:cs="Arial"/>
        </w:rPr>
        <w:t>„</w:t>
      </w:r>
      <w:r w:rsidR="008E6EC0">
        <w:rPr>
          <w:rFonts w:ascii="Arial" w:hAnsi="Arial" w:cs="Arial"/>
          <w:b/>
          <w:szCs w:val="28"/>
        </w:rPr>
        <w:t xml:space="preserve">Úprava </w:t>
      </w:r>
      <w:proofErr w:type="spellStart"/>
      <w:r w:rsidR="008E6EC0">
        <w:rPr>
          <w:rFonts w:ascii="Arial" w:hAnsi="Arial" w:cs="Arial"/>
          <w:b/>
          <w:szCs w:val="28"/>
        </w:rPr>
        <w:t>předprostoru</w:t>
      </w:r>
      <w:proofErr w:type="spellEnd"/>
      <w:r>
        <w:rPr>
          <w:rFonts w:ascii="Arial" w:hAnsi="Arial" w:cs="Arial"/>
          <w:b/>
          <w:szCs w:val="28"/>
        </w:rPr>
        <w:t xml:space="preserve"> Knihovny Kroměřížska</w:t>
      </w:r>
      <w:r>
        <w:rPr>
          <w:rFonts w:ascii="Arial" w:hAnsi="Arial" w:cs="Arial"/>
        </w:rPr>
        <w:t xml:space="preserve">“, </w:t>
      </w:r>
      <w:proofErr w:type="spellStart"/>
      <w:r>
        <w:rPr>
          <w:rFonts w:ascii="Arial" w:hAnsi="Arial" w:cs="Arial"/>
        </w:rPr>
        <w:t>reg</w:t>
      </w:r>
      <w:proofErr w:type="spellEnd"/>
      <w:r>
        <w:rPr>
          <w:rFonts w:ascii="Arial" w:hAnsi="Arial" w:cs="Arial"/>
        </w:rPr>
        <w:t xml:space="preserve">. č. </w:t>
      </w:r>
      <w:r w:rsidR="00760054" w:rsidRPr="00760054">
        <w:rPr>
          <w:rFonts w:ascii="Arial" w:hAnsi="Arial" w:cs="Arial"/>
        </w:rPr>
        <w:t>CZ.06.0</w:t>
      </w:r>
      <w:r>
        <w:rPr>
          <w:rFonts w:ascii="Arial" w:hAnsi="Arial" w:cs="Arial"/>
        </w:rPr>
        <w:t>2.02/00/22_063</w:t>
      </w:r>
      <w:r w:rsidR="00760054" w:rsidRPr="00760054">
        <w:rPr>
          <w:rFonts w:ascii="Arial" w:hAnsi="Arial" w:cs="Arial"/>
        </w:rPr>
        <w:t>/000</w:t>
      </w:r>
      <w:r>
        <w:rPr>
          <w:rFonts w:ascii="Arial" w:hAnsi="Arial" w:cs="Arial"/>
        </w:rPr>
        <w:t>3992</w:t>
      </w:r>
      <w:r w:rsidR="00760054" w:rsidRPr="00760054">
        <w:rPr>
          <w:rFonts w:ascii="Arial" w:hAnsi="Arial" w:cs="Arial"/>
        </w:rPr>
        <w:t>)</w:t>
      </w:r>
    </w:p>
    <w:p w14:paraId="10E246FD"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3CA0E9B" w14:textId="77777777" w:rsidR="00695B20" w:rsidRPr="00AB0DDB"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objednavatele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AB0DDB" w:rsidRPr="00AB0DDB">
        <w:rPr>
          <w:rFonts w:ascii="Arial" w:hAnsi="Arial" w:cs="Arial"/>
          <w:b/>
          <w:u w:val="single"/>
        </w:rPr>
        <w:t>SML/206/2025</w:t>
      </w:r>
    </w:p>
    <w:p w14:paraId="099F4114"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9842A2" w:rsidRPr="009842A2">
        <w:rPr>
          <w:rFonts w:ascii="Arial" w:hAnsi="Arial" w:cs="Arial"/>
          <w:b/>
          <w:u w:val="single"/>
        </w:rPr>
        <w:t>25001009</w:t>
      </w:r>
    </w:p>
    <w:p w14:paraId="3D905DE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666F4540"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55C09C63"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3C70A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403C8A">
        <w:rPr>
          <w:rFonts w:ascii="Arial" w:hAnsi="Arial" w:cs="Arial"/>
          <w:b/>
          <w:szCs w:val="22"/>
        </w:rPr>
        <w:t>Město Kroměříž</w:t>
      </w:r>
    </w:p>
    <w:p w14:paraId="7EB9DB8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3B28B53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23BD0F1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26F7E455"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EFF4C9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32A5A8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3ADEE74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145C1FC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50F23AD9" w14:textId="11E36EAB" w:rsidR="00736138" w:rsidRDefault="006F5194" w:rsidP="00271005">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r>
      <w:proofErr w:type="spellStart"/>
      <w:r w:rsidR="00271005">
        <w:rPr>
          <w:rFonts w:ascii="Arial" w:hAnsi="Arial" w:cs="Arial"/>
          <w:sz w:val="20"/>
          <w:szCs w:val="22"/>
        </w:rPr>
        <w:t>xxx</w:t>
      </w:r>
      <w:proofErr w:type="spellEnd"/>
    </w:p>
    <w:p w14:paraId="62D602C7" w14:textId="6539BE1D" w:rsidR="00736138" w:rsidRDefault="00271005" w:rsidP="00654D89">
      <w:pPr>
        <w:pStyle w:val="Obsah1"/>
        <w:spacing w:before="120"/>
        <w:ind w:left="3545"/>
        <w:contextualSpacing/>
        <w:rPr>
          <w:rFonts w:ascii="Arial" w:hAnsi="Arial" w:cs="Arial"/>
          <w:sz w:val="20"/>
          <w:szCs w:val="22"/>
        </w:rPr>
      </w:pPr>
      <w:proofErr w:type="spellStart"/>
      <w:r>
        <w:rPr>
          <w:rFonts w:ascii="Arial" w:hAnsi="Arial" w:cs="Arial"/>
          <w:sz w:val="20"/>
          <w:szCs w:val="22"/>
        </w:rPr>
        <w:t>xxx</w:t>
      </w:r>
      <w:proofErr w:type="spellEnd"/>
    </w:p>
    <w:p w14:paraId="47358A66" w14:textId="77777777" w:rsidR="00BC0916" w:rsidRDefault="00BC0916" w:rsidP="00BC0916">
      <w:pPr>
        <w:spacing w:before="120"/>
        <w:contextualSpacing/>
        <w:rPr>
          <w:rFonts w:ascii="Arial" w:hAnsi="Arial" w:cs="Arial"/>
        </w:rPr>
      </w:pPr>
      <w:r>
        <w:rPr>
          <w:rFonts w:ascii="Arial" w:hAnsi="Arial" w:cs="Arial"/>
        </w:rPr>
        <w:t>(dále jen „objednatel“)</w:t>
      </w:r>
    </w:p>
    <w:p w14:paraId="6C0B396D" w14:textId="77777777" w:rsidR="00BC0916" w:rsidRDefault="00BC0916" w:rsidP="00BC0916">
      <w:pPr>
        <w:spacing w:before="120"/>
        <w:contextualSpacing/>
        <w:rPr>
          <w:rFonts w:ascii="Arial" w:hAnsi="Arial" w:cs="Arial"/>
        </w:rPr>
      </w:pPr>
    </w:p>
    <w:p w14:paraId="05A70AA7" w14:textId="77777777" w:rsidR="00BC0916" w:rsidRDefault="00BC0916" w:rsidP="00BC0916">
      <w:pPr>
        <w:spacing w:before="120"/>
        <w:contextualSpacing/>
        <w:rPr>
          <w:rFonts w:ascii="Arial" w:hAnsi="Arial" w:cs="Arial"/>
        </w:rPr>
      </w:pPr>
      <w:r>
        <w:rPr>
          <w:rFonts w:ascii="Arial" w:hAnsi="Arial" w:cs="Arial"/>
        </w:rPr>
        <w:t>a</w:t>
      </w:r>
    </w:p>
    <w:p w14:paraId="74506C7A" w14:textId="77777777" w:rsidR="00736138" w:rsidRPr="00736138" w:rsidRDefault="00736138" w:rsidP="00736138"/>
    <w:p w14:paraId="4C5E6CEB"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D856316"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9842A2">
        <w:rPr>
          <w:rFonts w:ascii="Arial" w:hAnsi="Arial" w:cs="Arial"/>
          <w:sz w:val="18"/>
        </w:rPr>
        <w:tab/>
      </w:r>
      <w:r w:rsidR="009842A2" w:rsidRPr="00403C8A">
        <w:rPr>
          <w:rFonts w:ascii="Arial" w:hAnsi="Arial" w:cs="Arial"/>
          <w:b/>
          <w:sz w:val="22"/>
        </w:rPr>
        <w:t>SMO a.s.</w:t>
      </w:r>
    </w:p>
    <w:p w14:paraId="61373C86"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9842A2" w:rsidRPr="009842A2">
        <w:rPr>
          <w:rFonts w:ascii="Arial" w:hAnsi="Arial" w:cs="Arial"/>
          <w:bCs/>
        </w:rPr>
        <w:t>Zlínská 172, Kvítkovice, 765 02 Otrokovice</w:t>
      </w:r>
    </w:p>
    <w:p w14:paraId="1F19D259"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9842A2" w:rsidRPr="009842A2">
        <w:rPr>
          <w:rFonts w:ascii="Arial" w:hAnsi="Arial" w:cs="Arial"/>
          <w:bCs/>
        </w:rPr>
        <w:t>42339839</w:t>
      </w:r>
      <w:r w:rsidR="00B55DF9" w:rsidRPr="00C673CD">
        <w:rPr>
          <w:rFonts w:ascii="Arial" w:hAnsi="Arial" w:cs="Arial"/>
          <w:szCs w:val="22"/>
        </w:rPr>
        <w:tab/>
      </w:r>
    </w:p>
    <w:p w14:paraId="3CA768DD"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9842A2" w:rsidRPr="009842A2">
        <w:rPr>
          <w:rFonts w:ascii="Arial" w:hAnsi="Arial" w:cs="Arial"/>
          <w:bCs/>
        </w:rPr>
        <w:t>CZ42339839</w:t>
      </w:r>
    </w:p>
    <w:p w14:paraId="7D6EB987"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9842A2" w:rsidRPr="009842A2">
        <w:rPr>
          <w:rFonts w:ascii="Arial" w:hAnsi="Arial" w:cs="Arial"/>
          <w:bCs/>
        </w:rPr>
        <w:t>Ing. Michal Dlabač</w:t>
      </w:r>
      <w:r w:rsidR="009842A2">
        <w:rPr>
          <w:rFonts w:ascii="Arial" w:hAnsi="Arial" w:cs="Arial"/>
          <w:bCs/>
        </w:rPr>
        <w:t>, č</w:t>
      </w:r>
      <w:r w:rsidR="009842A2" w:rsidRPr="009842A2">
        <w:rPr>
          <w:rFonts w:ascii="Arial" w:hAnsi="Arial" w:cs="Arial"/>
          <w:bCs/>
        </w:rPr>
        <w:t>len správní rady</w:t>
      </w:r>
    </w:p>
    <w:p w14:paraId="1BD068AE" w14:textId="037B609A" w:rsidR="00602026" w:rsidRPr="00403C8A"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271005">
        <w:rPr>
          <w:rFonts w:ascii="Arial" w:hAnsi="Arial" w:cs="Arial"/>
          <w:bCs/>
        </w:rPr>
        <w:t>xxx</w:t>
      </w:r>
      <w:proofErr w:type="spellEnd"/>
    </w:p>
    <w:p w14:paraId="254C9FC6" w14:textId="4FA09B7E" w:rsidR="00602026" w:rsidRPr="00403C8A" w:rsidRDefault="00B55DF9" w:rsidP="00654D89">
      <w:pPr>
        <w:spacing w:before="120"/>
        <w:contextualSpacing/>
        <w:jc w:val="both"/>
        <w:rPr>
          <w:rFonts w:ascii="Arial" w:hAnsi="Arial" w:cs="Arial"/>
          <w:szCs w:val="22"/>
        </w:rPr>
      </w:pPr>
      <w:r w:rsidRPr="00403C8A">
        <w:rPr>
          <w:rFonts w:ascii="Arial" w:hAnsi="Arial" w:cs="Arial"/>
          <w:szCs w:val="22"/>
        </w:rPr>
        <w:t>e</w:t>
      </w:r>
      <w:r w:rsidR="00602026" w:rsidRPr="00403C8A">
        <w:rPr>
          <w:rFonts w:ascii="Arial" w:hAnsi="Arial" w:cs="Arial"/>
          <w:szCs w:val="22"/>
        </w:rPr>
        <w:t>-mail:</w:t>
      </w:r>
      <w:r w:rsidR="00602026" w:rsidRPr="00403C8A">
        <w:rPr>
          <w:rFonts w:ascii="Arial" w:hAnsi="Arial" w:cs="Arial"/>
          <w:szCs w:val="22"/>
        </w:rPr>
        <w:tab/>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r w:rsidR="001460D3" w:rsidRPr="00403C8A">
        <w:rPr>
          <w:rFonts w:ascii="Arial" w:hAnsi="Arial" w:cs="Arial"/>
          <w:szCs w:val="22"/>
        </w:rPr>
        <w:tab/>
      </w:r>
      <w:proofErr w:type="spellStart"/>
      <w:r w:rsidR="00271005" w:rsidRPr="00271005">
        <w:rPr>
          <w:rFonts w:ascii="Arial" w:hAnsi="Arial" w:cs="Arial"/>
          <w:bCs/>
        </w:rPr>
        <w:t>xxx</w:t>
      </w:r>
      <w:proofErr w:type="spellEnd"/>
      <w:r w:rsidR="00403C8A" w:rsidRPr="00403C8A">
        <w:rPr>
          <w:rFonts w:ascii="Arial" w:hAnsi="Arial" w:cs="Arial"/>
          <w:bCs/>
        </w:rPr>
        <w:t xml:space="preserve"> </w:t>
      </w:r>
    </w:p>
    <w:p w14:paraId="079A2A20" w14:textId="77777777" w:rsidR="00602026" w:rsidRPr="00403C8A" w:rsidRDefault="00B55DF9" w:rsidP="00654D89">
      <w:pPr>
        <w:spacing w:before="120"/>
        <w:contextualSpacing/>
        <w:jc w:val="both"/>
        <w:rPr>
          <w:rFonts w:ascii="Arial" w:hAnsi="Arial" w:cs="Arial"/>
          <w:b/>
          <w:szCs w:val="22"/>
        </w:rPr>
      </w:pPr>
      <w:r w:rsidRPr="00403C8A">
        <w:rPr>
          <w:rFonts w:ascii="Arial" w:hAnsi="Arial" w:cs="Arial"/>
          <w:szCs w:val="22"/>
        </w:rPr>
        <w:t>b</w:t>
      </w:r>
      <w:r w:rsidR="00602026" w:rsidRPr="00403C8A">
        <w:rPr>
          <w:rFonts w:ascii="Arial" w:hAnsi="Arial" w:cs="Arial"/>
          <w:szCs w:val="22"/>
        </w:rPr>
        <w:t>ank</w:t>
      </w:r>
      <w:r w:rsidRPr="00403C8A">
        <w:rPr>
          <w:rFonts w:ascii="Arial" w:hAnsi="Arial" w:cs="Arial"/>
          <w:szCs w:val="22"/>
        </w:rPr>
        <w:t>ovní</w:t>
      </w:r>
      <w:r w:rsidR="00602026" w:rsidRPr="00403C8A">
        <w:rPr>
          <w:rFonts w:ascii="Arial" w:hAnsi="Arial" w:cs="Arial"/>
          <w:szCs w:val="22"/>
        </w:rPr>
        <w:t xml:space="preserve"> </w:t>
      </w:r>
      <w:r w:rsidRPr="00403C8A">
        <w:rPr>
          <w:rFonts w:ascii="Arial" w:hAnsi="Arial" w:cs="Arial"/>
          <w:szCs w:val="22"/>
        </w:rPr>
        <w:t>s</w:t>
      </w:r>
      <w:r w:rsidR="00602026" w:rsidRPr="00403C8A">
        <w:rPr>
          <w:rFonts w:ascii="Arial" w:hAnsi="Arial" w:cs="Arial"/>
          <w:szCs w:val="22"/>
        </w:rPr>
        <w:t>pojení:</w:t>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r w:rsidR="00403C8A" w:rsidRPr="00403C8A">
        <w:rPr>
          <w:rFonts w:ascii="Arial" w:hAnsi="Arial" w:cs="Arial"/>
          <w:bCs/>
        </w:rPr>
        <w:t>Komerční banka a.s.</w:t>
      </w:r>
    </w:p>
    <w:p w14:paraId="404ED422" w14:textId="542BF284" w:rsidR="00602026" w:rsidRPr="00C673CD" w:rsidRDefault="00B55DF9" w:rsidP="00654D89">
      <w:pPr>
        <w:spacing w:before="120"/>
        <w:contextualSpacing/>
        <w:jc w:val="both"/>
        <w:rPr>
          <w:rFonts w:ascii="Arial" w:hAnsi="Arial" w:cs="Arial"/>
          <w:szCs w:val="22"/>
        </w:rPr>
      </w:pPr>
      <w:r w:rsidRPr="00403C8A">
        <w:rPr>
          <w:rFonts w:ascii="Arial" w:hAnsi="Arial" w:cs="Arial"/>
          <w:szCs w:val="22"/>
        </w:rPr>
        <w:t>č</w:t>
      </w:r>
      <w:r w:rsidR="00602026" w:rsidRPr="00403C8A">
        <w:rPr>
          <w:rFonts w:ascii="Arial" w:hAnsi="Arial" w:cs="Arial"/>
          <w:szCs w:val="22"/>
        </w:rPr>
        <w:t>íslo účtu:</w:t>
      </w:r>
      <w:r w:rsidR="00602026" w:rsidRPr="00403C8A">
        <w:rPr>
          <w:rFonts w:ascii="Arial" w:hAnsi="Arial" w:cs="Arial"/>
          <w:szCs w:val="22"/>
        </w:rPr>
        <w:tab/>
      </w:r>
      <w:r w:rsidR="00602026" w:rsidRPr="00403C8A">
        <w:rPr>
          <w:rFonts w:ascii="Arial" w:hAnsi="Arial" w:cs="Arial"/>
          <w:szCs w:val="22"/>
        </w:rPr>
        <w:tab/>
      </w:r>
      <w:r w:rsidR="00602026" w:rsidRPr="00403C8A">
        <w:rPr>
          <w:rFonts w:ascii="Arial" w:hAnsi="Arial" w:cs="Arial"/>
          <w:szCs w:val="22"/>
        </w:rPr>
        <w:tab/>
      </w:r>
      <w:r w:rsidR="006F5194" w:rsidRPr="00403C8A">
        <w:rPr>
          <w:rFonts w:ascii="Arial" w:hAnsi="Arial" w:cs="Arial"/>
          <w:szCs w:val="22"/>
        </w:rPr>
        <w:tab/>
      </w:r>
      <w:proofErr w:type="spellStart"/>
      <w:r w:rsidR="00271005">
        <w:rPr>
          <w:rFonts w:ascii="Arial" w:hAnsi="Arial" w:cs="Arial"/>
          <w:bCs/>
        </w:rPr>
        <w:t>xxx</w:t>
      </w:r>
      <w:proofErr w:type="spellEnd"/>
    </w:p>
    <w:p w14:paraId="2B2CF345"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767D6C83"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403C8A" w:rsidRPr="009842A2">
        <w:rPr>
          <w:rFonts w:ascii="Arial" w:hAnsi="Arial" w:cs="Arial"/>
          <w:bCs/>
        </w:rPr>
        <w:t>Ing. Michal Dlabač</w:t>
      </w:r>
      <w:r w:rsidR="00403C8A">
        <w:rPr>
          <w:rFonts w:ascii="Arial" w:hAnsi="Arial" w:cs="Arial"/>
          <w:bCs/>
        </w:rPr>
        <w:t>, č</w:t>
      </w:r>
      <w:r w:rsidR="00403C8A" w:rsidRPr="009842A2">
        <w:rPr>
          <w:rFonts w:ascii="Arial" w:hAnsi="Arial" w:cs="Arial"/>
          <w:bCs/>
        </w:rPr>
        <w:t>len správní rady</w:t>
      </w:r>
      <w:r w:rsidR="00602026" w:rsidRPr="00C673CD">
        <w:rPr>
          <w:rFonts w:ascii="Arial" w:hAnsi="Arial" w:cs="Arial"/>
          <w:szCs w:val="22"/>
        </w:rPr>
        <w:tab/>
      </w:r>
      <w:r w:rsidR="00602026" w:rsidRPr="00C673CD">
        <w:rPr>
          <w:rFonts w:ascii="Arial" w:hAnsi="Arial" w:cs="Arial"/>
          <w:szCs w:val="22"/>
        </w:rPr>
        <w:tab/>
      </w:r>
    </w:p>
    <w:p w14:paraId="04271ACE" w14:textId="43B7F4A6" w:rsidR="00602026" w:rsidRPr="00C673CD" w:rsidRDefault="001460D3" w:rsidP="00271005">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271005">
        <w:rPr>
          <w:rFonts w:ascii="Arial" w:hAnsi="Arial" w:cs="Arial"/>
          <w:szCs w:val="22"/>
        </w:rPr>
        <w:t>xxx</w:t>
      </w:r>
      <w:proofErr w:type="spellEnd"/>
      <w:r w:rsidR="00403C8A">
        <w:rPr>
          <w:rFonts w:ascii="Arial" w:hAnsi="Arial" w:cs="Arial"/>
          <w:szCs w:val="22"/>
        </w:rPr>
        <w:t xml:space="preserve"> </w:t>
      </w:r>
      <w:r w:rsidR="00602026" w:rsidRPr="00C673CD">
        <w:rPr>
          <w:rFonts w:ascii="Arial" w:hAnsi="Arial" w:cs="Arial"/>
          <w:szCs w:val="22"/>
        </w:rPr>
        <w:tab/>
      </w:r>
    </w:p>
    <w:p w14:paraId="760E7ECC" w14:textId="7FB4A4C0" w:rsidR="00403C8A" w:rsidRDefault="00C76B40" w:rsidP="00271005">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proofErr w:type="spellStart"/>
      <w:r w:rsidR="00271005">
        <w:rPr>
          <w:rFonts w:ascii="Arial" w:hAnsi="Arial" w:cs="Arial"/>
          <w:szCs w:val="22"/>
        </w:rPr>
        <w:t>xxx</w:t>
      </w:r>
      <w:proofErr w:type="spellEnd"/>
      <w:r w:rsidR="00403C8A">
        <w:rPr>
          <w:rFonts w:ascii="Arial" w:hAnsi="Arial" w:cs="Arial"/>
          <w:szCs w:val="22"/>
        </w:rPr>
        <w:t xml:space="preserve"> </w:t>
      </w:r>
      <w:r w:rsidR="00403C8A" w:rsidRPr="00C673CD">
        <w:rPr>
          <w:rFonts w:ascii="Arial" w:hAnsi="Arial" w:cs="Arial"/>
          <w:szCs w:val="22"/>
        </w:rPr>
        <w:tab/>
      </w:r>
    </w:p>
    <w:p w14:paraId="25233D7D" w14:textId="77777777" w:rsidR="001C7897" w:rsidRDefault="001C7897" w:rsidP="001C7897">
      <w:pPr>
        <w:spacing w:before="120"/>
        <w:contextualSpacing/>
        <w:jc w:val="both"/>
        <w:rPr>
          <w:rFonts w:ascii="Arial" w:hAnsi="Arial" w:cs="Arial"/>
          <w:bCs/>
        </w:rPr>
      </w:pPr>
      <w:r>
        <w:rPr>
          <w:rFonts w:ascii="Arial" w:hAnsi="Arial" w:cs="Arial"/>
          <w:szCs w:val="22"/>
        </w:rPr>
        <w:tab/>
      </w:r>
    </w:p>
    <w:p w14:paraId="53FAB51B" w14:textId="77777777" w:rsidR="00BC0916" w:rsidRDefault="00BC0916" w:rsidP="00654D89">
      <w:pPr>
        <w:spacing w:before="120"/>
        <w:contextualSpacing/>
        <w:jc w:val="both"/>
        <w:rPr>
          <w:rFonts w:ascii="Arial" w:hAnsi="Arial" w:cs="Arial"/>
          <w:szCs w:val="22"/>
        </w:rPr>
      </w:pPr>
    </w:p>
    <w:p w14:paraId="5402BEB3"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085AB677" w14:textId="77777777" w:rsidR="00602026" w:rsidRPr="00403C8A" w:rsidRDefault="00BC0916" w:rsidP="00403C8A">
      <w:pPr>
        <w:spacing w:after="15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1B16BA1D"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51EEBDEE" w14:textId="77777777" w:rsidR="00B55DF9" w:rsidRPr="0026043B" w:rsidRDefault="00D27420" w:rsidP="001C2664">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zadávacího řízení</w:t>
      </w:r>
      <w:r w:rsidR="00DA4DEB" w:rsidRPr="006E27EA">
        <w:rPr>
          <w:rFonts w:ascii="Arial" w:hAnsi="Arial"/>
        </w:rPr>
        <w:t xml:space="preserve"> podlimitní</w:t>
      </w:r>
      <w:r w:rsidRPr="006E27EA">
        <w:rPr>
          <w:rFonts w:ascii="Arial" w:hAnsi="Arial"/>
        </w:rPr>
        <w:t xml:space="preserve"> veřejné zakázky nazvané</w:t>
      </w:r>
      <w:r w:rsidRPr="00C673CD">
        <w:rPr>
          <w:rFonts w:ascii="Arial" w:hAnsi="Arial" w:cs="Arial"/>
          <w:szCs w:val="22"/>
        </w:rPr>
        <w:t xml:space="preserve"> „</w:t>
      </w:r>
      <w:r w:rsidR="00EE1C28">
        <w:rPr>
          <w:rFonts w:ascii="Arial" w:hAnsi="Arial" w:cs="Arial"/>
          <w:szCs w:val="22"/>
        </w:rPr>
        <w:t xml:space="preserve">Úprava </w:t>
      </w:r>
      <w:proofErr w:type="spellStart"/>
      <w:r w:rsidR="00EE1C28">
        <w:rPr>
          <w:rFonts w:ascii="Arial" w:hAnsi="Arial" w:cs="Arial"/>
          <w:szCs w:val="22"/>
        </w:rPr>
        <w:t>předprostoru</w:t>
      </w:r>
      <w:proofErr w:type="spellEnd"/>
      <w:r w:rsidR="00EE1C28">
        <w:rPr>
          <w:rFonts w:ascii="Arial" w:hAnsi="Arial" w:cs="Arial"/>
          <w:szCs w:val="22"/>
        </w:rPr>
        <w:t xml:space="preserve"> Knihovny Kroměřížska</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w:t>
      </w:r>
      <w:r w:rsidR="00FA5437" w:rsidRPr="0026043B">
        <w:rPr>
          <w:rFonts w:ascii="Arial" w:hAnsi="Arial" w:cs="Arial"/>
          <w:szCs w:val="22"/>
        </w:rPr>
        <w:lastRenderedPageBreak/>
        <w:t xml:space="preserve">zakázka“) </w:t>
      </w:r>
      <w:r w:rsidRPr="0026043B">
        <w:rPr>
          <w:rFonts w:ascii="Arial" w:hAnsi="Arial" w:cs="Arial"/>
          <w:szCs w:val="22"/>
        </w:rPr>
        <w:t>zadávané 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4EF933AB" w14:textId="77777777" w:rsidR="00D27420" w:rsidRPr="0026043B" w:rsidRDefault="00EA4A01"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494009A7"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38BF200A" w14:textId="77777777" w:rsidR="00650BEA" w:rsidRPr="0026043B" w:rsidRDefault="00650BEA" w:rsidP="00650BEA">
      <w:pPr>
        <w:spacing w:before="120"/>
        <w:ind w:left="567"/>
        <w:contextualSpacing/>
        <w:jc w:val="both"/>
        <w:rPr>
          <w:rFonts w:ascii="Arial" w:hAnsi="Arial" w:cs="Arial"/>
          <w:szCs w:val="22"/>
        </w:rPr>
      </w:pPr>
    </w:p>
    <w:p w14:paraId="173CE75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1683C7EE"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5899A856"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19DBD1E6" w14:textId="77777777" w:rsidR="00057716" w:rsidRPr="00057716"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 zpracovan</w:t>
      </w:r>
      <w:r w:rsidR="006E27EA">
        <w:rPr>
          <w:szCs w:val="22"/>
        </w:rPr>
        <w:t>ou</w:t>
      </w:r>
      <w:r>
        <w:rPr>
          <w:szCs w:val="22"/>
        </w:rPr>
        <w:t xml:space="preserve"> </w:t>
      </w:r>
      <w:r w:rsidR="006E27EA">
        <w:rPr>
          <w:szCs w:val="22"/>
        </w:rPr>
        <w:t xml:space="preserve">společností </w:t>
      </w:r>
      <w:r w:rsidR="006E27EA" w:rsidRPr="006E27EA">
        <w:rPr>
          <w:szCs w:val="22"/>
        </w:rPr>
        <w:t>FAKO, spol. s r.o.</w:t>
      </w:r>
      <w:r w:rsidR="006E27EA">
        <w:rPr>
          <w:szCs w:val="22"/>
        </w:rPr>
        <w:t xml:space="preserve">, </w:t>
      </w:r>
      <w:proofErr w:type="spellStart"/>
      <w:r w:rsidR="006E27EA" w:rsidRPr="006E27EA">
        <w:rPr>
          <w:szCs w:val="22"/>
        </w:rPr>
        <w:t>Kotojedská</w:t>
      </w:r>
      <w:proofErr w:type="spellEnd"/>
      <w:r w:rsidR="006E27EA" w:rsidRPr="006E27EA">
        <w:rPr>
          <w:szCs w:val="22"/>
        </w:rPr>
        <w:t xml:space="preserve"> 2588, 767 01 Kroměříž</w:t>
      </w:r>
      <w:r w:rsidR="006E27EA">
        <w:rPr>
          <w:szCs w:val="22"/>
        </w:rPr>
        <w:t xml:space="preserve">, IČO </w:t>
      </w:r>
      <w:r w:rsidR="006E27EA" w:rsidRPr="006E27EA">
        <w:rPr>
          <w:szCs w:val="22"/>
        </w:rPr>
        <w:t>18188711</w:t>
      </w:r>
      <w:r w:rsidR="006E27EA">
        <w:rPr>
          <w:szCs w:val="22"/>
        </w:rPr>
        <w:t xml:space="preserve">, </w:t>
      </w:r>
    </w:p>
    <w:p w14:paraId="21101230"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 xml:space="preserve">zadávacími podmínkami veřejné zakázky dle </w:t>
      </w:r>
      <w:r w:rsidR="003A41D1" w:rsidRPr="00057716">
        <w:rPr>
          <w:szCs w:val="22"/>
        </w:rPr>
        <w:t>ZZVZ</w:t>
      </w:r>
      <w:r w:rsidRPr="00C673CD">
        <w:rPr>
          <w:szCs w:val="22"/>
        </w:rPr>
        <w:t>,</w:t>
      </w:r>
    </w:p>
    <w:p w14:paraId="009686AB"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29B90FAF" w14:textId="77777777" w:rsidR="00E7259F" w:rsidRDefault="00EE1C28" w:rsidP="00EA071A">
      <w:pPr>
        <w:pStyle w:val="KUsmlouva-4rove"/>
        <w:numPr>
          <w:ilvl w:val="3"/>
          <w:numId w:val="13"/>
        </w:numPr>
        <w:spacing w:before="120"/>
        <w:ind w:left="1985" w:hanging="851"/>
        <w:contextualSpacing/>
        <w:rPr>
          <w:szCs w:val="22"/>
        </w:rPr>
      </w:pPr>
      <w:r>
        <w:rPr>
          <w:szCs w:val="22"/>
        </w:rPr>
        <w:t xml:space="preserve">Rozhodnutím o schválení stavebního záměru ze dne 10. 10. 2023, č. j. </w:t>
      </w:r>
      <w:proofErr w:type="spellStart"/>
      <w:r>
        <w:rPr>
          <w:szCs w:val="22"/>
        </w:rPr>
        <w:t>MeUKM</w:t>
      </w:r>
      <w:proofErr w:type="spellEnd"/>
      <w:r w:rsidR="00422A38">
        <w:rPr>
          <w:szCs w:val="22"/>
        </w:rPr>
        <w:t>/</w:t>
      </w:r>
      <w:r>
        <w:rPr>
          <w:szCs w:val="22"/>
        </w:rPr>
        <w:t>080115/2023</w:t>
      </w:r>
      <w:r w:rsidR="000C1745">
        <w:rPr>
          <w:szCs w:val="22"/>
        </w:rPr>
        <w:t>,</w:t>
      </w:r>
      <w:r w:rsidR="003A41D1" w:rsidRPr="00E7259F">
        <w:rPr>
          <w:szCs w:val="22"/>
        </w:rPr>
        <w:t xml:space="preserve"> </w:t>
      </w:r>
    </w:p>
    <w:p w14:paraId="3B9B83F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582191F3" w14:textId="77777777" w:rsidR="006F5194" w:rsidRPr="00C673CD" w:rsidRDefault="0064498E" w:rsidP="00EA071A">
      <w:pPr>
        <w:pStyle w:val="KUsmlouva-4rove"/>
        <w:numPr>
          <w:ilvl w:val="3"/>
          <w:numId w:val="13"/>
        </w:numPr>
        <w:spacing w:before="120"/>
        <w:ind w:left="1985" w:hanging="851"/>
        <w:contextualSpacing/>
        <w:rPr>
          <w:szCs w:val="22"/>
        </w:rPr>
      </w:pPr>
      <w:bookmarkStart w:id="2" w:name="_Hlk174016703"/>
      <w:r>
        <w:rPr>
          <w:szCs w:val="22"/>
        </w:rPr>
        <w:t>podmínkami dotačního programu</w:t>
      </w:r>
      <w:r w:rsidR="00F419B6">
        <w:rPr>
          <w:szCs w:val="22"/>
        </w:rPr>
        <w:t xml:space="preserve"> </w:t>
      </w:r>
      <w:r w:rsidR="00E60485">
        <w:rPr>
          <w:szCs w:val="22"/>
        </w:rPr>
        <w:t xml:space="preserve">Integrovaného regionálního operačního programu </w:t>
      </w:r>
      <w:r w:rsidR="00D10726">
        <w:rPr>
          <w:szCs w:val="22"/>
        </w:rPr>
        <w:t>2021–2027</w:t>
      </w:r>
      <w:r w:rsidR="00E60485">
        <w:rPr>
          <w:szCs w:val="22"/>
        </w:rPr>
        <w:t xml:space="preserve">, </w:t>
      </w:r>
      <w:r w:rsidR="00EE1C28">
        <w:rPr>
          <w:szCs w:val="22"/>
        </w:rPr>
        <w:t>63</w:t>
      </w:r>
      <w:r w:rsidR="00711B2F" w:rsidRPr="00711B2F">
        <w:rPr>
          <w:szCs w:val="22"/>
        </w:rPr>
        <w:t xml:space="preserve">. výzva </w:t>
      </w:r>
      <w:r w:rsidR="00D10726" w:rsidRPr="00711B2F">
        <w:rPr>
          <w:szCs w:val="22"/>
        </w:rPr>
        <w:t xml:space="preserve">IROP – </w:t>
      </w:r>
      <w:proofErr w:type="gramStart"/>
      <w:r w:rsidR="00EE1C28">
        <w:rPr>
          <w:szCs w:val="22"/>
        </w:rPr>
        <w:t>Zelená</w:t>
      </w:r>
      <w:proofErr w:type="gramEnd"/>
      <w:r w:rsidR="00EE1C28">
        <w:rPr>
          <w:szCs w:val="22"/>
        </w:rPr>
        <w:t xml:space="preserve"> infrastruktura</w:t>
      </w:r>
      <w:r w:rsidR="00711B2F" w:rsidRPr="00711B2F">
        <w:rPr>
          <w:szCs w:val="22"/>
        </w:rPr>
        <w:t xml:space="preserve"> - SC </w:t>
      </w:r>
      <w:r w:rsidR="00EE1C28">
        <w:rPr>
          <w:szCs w:val="22"/>
        </w:rPr>
        <w:t>2</w:t>
      </w:r>
      <w:r w:rsidR="00711B2F" w:rsidRPr="00711B2F">
        <w:rPr>
          <w:szCs w:val="22"/>
        </w:rPr>
        <w:t>.2 (MRR)</w:t>
      </w:r>
    </w:p>
    <w:bookmarkEnd w:id="2"/>
    <w:p w14:paraId="1AE8EDE6" w14:textId="77777777"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p>
    <w:p w14:paraId="74FB4321" w14:textId="77777777"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Pr="00EF3C11">
        <w:rPr>
          <w:szCs w:val="22"/>
        </w:rPr>
        <w:t>.</w:t>
      </w:r>
    </w:p>
    <w:p w14:paraId="664B3A21"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w:t>
      </w:r>
      <w:proofErr w:type="gramStart"/>
      <w:r w:rsidRPr="00EF3C11">
        <w:rPr>
          <w:szCs w:val="22"/>
        </w:rPr>
        <w:t>92a</w:t>
      </w:r>
      <w:proofErr w:type="gramEnd"/>
      <w:r w:rsidRPr="00EF3C11">
        <w:rPr>
          <w:szCs w:val="22"/>
        </w:rPr>
        <w:t xml:space="preserve"> a násl. zákona č. 235/2004 Sb., o dani z přidané hodnoty, ve znění pozdějších předpisů (dále jen „zákon </w:t>
      </w:r>
      <w:r w:rsidR="00D40741" w:rsidRPr="00EF3C11">
        <w:rPr>
          <w:szCs w:val="22"/>
        </w:rPr>
        <w:br/>
      </w:r>
      <w:r w:rsidRPr="00EF3C11">
        <w:rPr>
          <w:szCs w:val="22"/>
        </w:rPr>
        <w:t>o DPH).</w:t>
      </w:r>
    </w:p>
    <w:p w14:paraId="6F01E89D" w14:textId="77777777" w:rsidR="00763E3E" w:rsidRPr="00EF3C11" w:rsidRDefault="00763E3E" w:rsidP="001C2664">
      <w:pPr>
        <w:pStyle w:val="KUsmlouva-2rove"/>
        <w:numPr>
          <w:ilvl w:val="1"/>
          <w:numId w:val="13"/>
        </w:numPr>
        <w:spacing w:after="0"/>
        <w:ind w:left="709"/>
        <w:contextualSpacing/>
        <w:rPr>
          <w:szCs w:val="22"/>
        </w:rPr>
      </w:pPr>
      <w:r w:rsidRPr="00EF3C11">
        <w:rPr>
          <w:szCs w:val="22"/>
        </w:rPr>
        <w:t xml:space="preserve">Stavba je členěna </w:t>
      </w:r>
      <w:r w:rsidR="00E7259F" w:rsidRPr="00EF3C11">
        <w:rPr>
          <w:szCs w:val="22"/>
        </w:rPr>
        <w:t xml:space="preserve">v dokumentaci pro provádění stavby </w:t>
      </w:r>
      <w:r w:rsidRPr="00EF3C11">
        <w:rPr>
          <w:szCs w:val="22"/>
        </w:rPr>
        <w:t>na následující stavební a inženýrské objekty</w:t>
      </w:r>
      <w:r w:rsidR="000F0053" w:rsidRPr="00EF3C11">
        <w:rPr>
          <w:szCs w:val="22"/>
        </w:rPr>
        <w:t>:</w:t>
      </w:r>
    </w:p>
    <w:p w14:paraId="3745CD11" w14:textId="77777777" w:rsidR="0047512B" w:rsidRPr="00300BE4" w:rsidRDefault="0047512B" w:rsidP="0047512B">
      <w:pPr>
        <w:pStyle w:val="KUsmlouva-2rove"/>
        <w:numPr>
          <w:ilvl w:val="0"/>
          <w:numId w:val="0"/>
        </w:numPr>
        <w:ind w:left="1080"/>
        <w:contextualSpacing/>
        <w:rPr>
          <w:szCs w:val="22"/>
        </w:rPr>
      </w:pPr>
      <w:r w:rsidRPr="00300BE4">
        <w:rPr>
          <w:szCs w:val="22"/>
        </w:rPr>
        <w:t>Stavební objekty:</w:t>
      </w:r>
    </w:p>
    <w:p w14:paraId="0BD8CCBC" w14:textId="77777777" w:rsidR="0047512B" w:rsidRPr="00300BE4" w:rsidRDefault="0047512B" w:rsidP="0047512B">
      <w:pPr>
        <w:pStyle w:val="KUsmlouva-2rove"/>
        <w:numPr>
          <w:ilvl w:val="0"/>
          <w:numId w:val="0"/>
        </w:numPr>
        <w:ind w:left="1080"/>
        <w:contextualSpacing/>
        <w:rPr>
          <w:szCs w:val="22"/>
        </w:rPr>
      </w:pPr>
      <w:r w:rsidRPr="00300BE4">
        <w:rPr>
          <w:szCs w:val="22"/>
        </w:rPr>
        <w:t>SO</w:t>
      </w:r>
      <w:r w:rsidR="00B24682">
        <w:rPr>
          <w:szCs w:val="22"/>
        </w:rPr>
        <w:t xml:space="preserve"> </w:t>
      </w:r>
      <w:r w:rsidR="003F56B3" w:rsidRPr="00300BE4">
        <w:rPr>
          <w:szCs w:val="22"/>
        </w:rPr>
        <w:t>0</w:t>
      </w:r>
      <w:r w:rsidR="006F0B9D">
        <w:rPr>
          <w:szCs w:val="22"/>
        </w:rPr>
        <w:t>00</w:t>
      </w:r>
      <w:r w:rsidR="006E27EA">
        <w:rPr>
          <w:szCs w:val="22"/>
        </w:rPr>
        <w:t xml:space="preserve"> </w:t>
      </w:r>
      <w:r w:rsidRPr="00300BE4">
        <w:rPr>
          <w:szCs w:val="22"/>
        </w:rPr>
        <w:t xml:space="preserve">– </w:t>
      </w:r>
      <w:r w:rsidR="006F0B9D">
        <w:rPr>
          <w:szCs w:val="22"/>
        </w:rPr>
        <w:t>Příprava staveniště</w:t>
      </w:r>
      <w:r w:rsidRPr="00300BE4">
        <w:rPr>
          <w:szCs w:val="22"/>
        </w:rPr>
        <w:t>:</w:t>
      </w:r>
    </w:p>
    <w:p w14:paraId="17330DAF" w14:textId="77777777" w:rsidR="00B24682" w:rsidRDefault="00B24682" w:rsidP="0047512B">
      <w:pPr>
        <w:pStyle w:val="KUsmlouva-2rove"/>
        <w:numPr>
          <w:ilvl w:val="0"/>
          <w:numId w:val="0"/>
        </w:numPr>
        <w:ind w:left="1080"/>
        <w:contextualSpacing/>
        <w:rPr>
          <w:szCs w:val="22"/>
        </w:rPr>
      </w:pPr>
      <w:bookmarkStart w:id="3" w:name="_Hlk180048130"/>
      <w:r w:rsidRPr="00300BE4">
        <w:rPr>
          <w:szCs w:val="22"/>
        </w:rPr>
        <w:t>SO</w:t>
      </w:r>
      <w:r>
        <w:rPr>
          <w:szCs w:val="22"/>
        </w:rPr>
        <w:t xml:space="preserve"> </w:t>
      </w:r>
      <w:r w:rsidRPr="00300BE4">
        <w:rPr>
          <w:szCs w:val="22"/>
        </w:rPr>
        <w:t>100</w:t>
      </w:r>
      <w:bookmarkEnd w:id="3"/>
      <w:r w:rsidRPr="00300BE4">
        <w:rPr>
          <w:szCs w:val="22"/>
        </w:rPr>
        <w:t xml:space="preserve"> – </w:t>
      </w:r>
      <w:r w:rsidR="006F0B9D">
        <w:rPr>
          <w:szCs w:val="22"/>
        </w:rPr>
        <w:t>Pozemní komunikace</w:t>
      </w:r>
    </w:p>
    <w:p w14:paraId="1CA0ADB2" w14:textId="77777777" w:rsidR="0047512B" w:rsidRPr="00300BE4" w:rsidRDefault="003F56B3" w:rsidP="0047512B">
      <w:pPr>
        <w:pStyle w:val="KUsmlouva-2rove"/>
        <w:numPr>
          <w:ilvl w:val="0"/>
          <w:numId w:val="0"/>
        </w:numPr>
        <w:ind w:left="1080"/>
        <w:contextualSpacing/>
        <w:rPr>
          <w:szCs w:val="22"/>
        </w:rPr>
      </w:pPr>
      <w:r w:rsidRPr="00300BE4">
        <w:rPr>
          <w:szCs w:val="22"/>
        </w:rPr>
        <w:t>S</w:t>
      </w:r>
      <w:r w:rsidR="0047512B" w:rsidRPr="00300BE4">
        <w:rPr>
          <w:szCs w:val="22"/>
        </w:rPr>
        <w:t>O</w:t>
      </w:r>
      <w:r w:rsidR="00B24682">
        <w:rPr>
          <w:szCs w:val="22"/>
        </w:rPr>
        <w:t xml:space="preserve"> </w:t>
      </w:r>
      <w:r w:rsidRPr="00300BE4">
        <w:rPr>
          <w:szCs w:val="22"/>
        </w:rPr>
        <w:t>200</w:t>
      </w:r>
      <w:r w:rsidR="0047512B" w:rsidRPr="00300BE4">
        <w:rPr>
          <w:szCs w:val="22"/>
        </w:rPr>
        <w:t xml:space="preserve"> – </w:t>
      </w:r>
      <w:r w:rsidR="006F0B9D">
        <w:rPr>
          <w:szCs w:val="22"/>
        </w:rPr>
        <w:t>Opěrné zdi</w:t>
      </w:r>
    </w:p>
    <w:p w14:paraId="5B344534" w14:textId="77777777" w:rsidR="0047512B" w:rsidRPr="00300BE4" w:rsidRDefault="003F56B3" w:rsidP="0047512B">
      <w:pPr>
        <w:pStyle w:val="KUsmlouva-2rove"/>
        <w:numPr>
          <w:ilvl w:val="0"/>
          <w:numId w:val="0"/>
        </w:numPr>
        <w:ind w:left="1080"/>
        <w:contextualSpacing/>
        <w:rPr>
          <w:szCs w:val="22"/>
        </w:rPr>
      </w:pPr>
      <w:r w:rsidRPr="00300BE4">
        <w:rPr>
          <w:szCs w:val="22"/>
        </w:rPr>
        <w:t>SO</w:t>
      </w:r>
      <w:r w:rsidR="00B24682">
        <w:rPr>
          <w:szCs w:val="22"/>
        </w:rPr>
        <w:t xml:space="preserve"> </w:t>
      </w:r>
      <w:r w:rsidRPr="00300BE4">
        <w:rPr>
          <w:szCs w:val="22"/>
        </w:rPr>
        <w:t xml:space="preserve">300 – </w:t>
      </w:r>
      <w:r w:rsidR="006F0B9D">
        <w:rPr>
          <w:szCs w:val="22"/>
        </w:rPr>
        <w:t>Vodohospodářské objekty</w:t>
      </w:r>
    </w:p>
    <w:p w14:paraId="7F4FB6ED" w14:textId="77777777" w:rsidR="00B24682" w:rsidRDefault="00B24682" w:rsidP="0047512B">
      <w:pPr>
        <w:pStyle w:val="KUsmlouva-2rove"/>
        <w:numPr>
          <w:ilvl w:val="0"/>
          <w:numId w:val="0"/>
        </w:numPr>
        <w:ind w:left="1080"/>
        <w:contextualSpacing/>
        <w:rPr>
          <w:szCs w:val="22"/>
        </w:rPr>
      </w:pPr>
      <w:r w:rsidRPr="00B24682">
        <w:rPr>
          <w:szCs w:val="22"/>
        </w:rPr>
        <w:t xml:space="preserve">SO </w:t>
      </w:r>
      <w:r w:rsidR="006F0B9D">
        <w:rPr>
          <w:szCs w:val="22"/>
        </w:rPr>
        <w:t>400</w:t>
      </w:r>
      <w:r w:rsidRPr="00B24682">
        <w:rPr>
          <w:szCs w:val="22"/>
        </w:rPr>
        <w:t xml:space="preserve"> – </w:t>
      </w:r>
      <w:r w:rsidR="006F0B9D">
        <w:rPr>
          <w:szCs w:val="22"/>
        </w:rPr>
        <w:t>Elektro a sdělovací objekty</w:t>
      </w:r>
    </w:p>
    <w:p w14:paraId="3029968A" w14:textId="77777777" w:rsidR="00B24682" w:rsidRDefault="00B24682" w:rsidP="0047512B">
      <w:pPr>
        <w:pStyle w:val="KUsmlouva-2rove"/>
        <w:numPr>
          <w:ilvl w:val="0"/>
          <w:numId w:val="0"/>
        </w:numPr>
        <w:ind w:left="1080"/>
        <w:contextualSpacing/>
        <w:rPr>
          <w:szCs w:val="22"/>
        </w:rPr>
      </w:pPr>
      <w:r w:rsidRPr="00300BE4">
        <w:rPr>
          <w:szCs w:val="22"/>
        </w:rPr>
        <w:t>SO</w:t>
      </w:r>
      <w:r>
        <w:rPr>
          <w:szCs w:val="22"/>
        </w:rPr>
        <w:t xml:space="preserve"> </w:t>
      </w:r>
      <w:r w:rsidR="006F0B9D">
        <w:rPr>
          <w:szCs w:val="22"/>
        </w:rPr>
        <w:t>700</w:t>
      </w:r>
      <w:r w:rsidRPr="00300BE4">
        <w:rPr>
          <w:szCs w:val="22"/>
        </w:rPr>
        <w:t xml:space="preserve"> – </w:t>
      </w:r>
      <w:r w:rsidR="006F0B9D">
        <w:rPr>
          <w:szCs w:val="22"/>
        </w:rPr>
        <w:t>Objekty pozemních staveb</w:t>
      </w:r>
    </w:p>
    <w:p w14:paraId="4680EA19" w14:textId="77777777" w:rsidR="0047512B" w:rsidRPr="00300BE4" w:rsidRDefault="003F56B3" w:rsidP="00B24682">
      <w:pPr>
        <w:pStyle w:val="KUsmlouva-2rove"/>
        <w:numPr>
          <w:ilvl w:val="0"/>
          <w:numId w:val="0"/>
        </w:numPr>
        <w:ind w:left="1080"/>
        <w:contextualSpacing/>
        <w:rPr>
          <w:szCs w:val="22"/>
        </w:rPr>
      </w:pPr>
      <w:r w:rsidRPr="00300BE4">
        <w:rPr>
          <w:szCs w:val="22"/>
        </w:rPr>
        <w:t>SO</w:t>
      </w:r>
      <w:r w:rsidR="00B24682">
        <w:rPr>
          <w:szCs w:val="22"/>
        </w:rPr>
        <w:t xml:space="preserve"> </w:t>
      </w:r>
      <w:r w:rsidR="006F0B9D">
        <w:rPr>
          <w:szCs w:val="22"/>
        </w:rPr>
        <w:t>800</w:t>
      </w:r>
      <w:r w:rsidR="00300BE4">
        <w:rPr>
          <w:szCs w:val="22"/>
        </w:rPr>
        <w:t xml:space="preserve"> </w:t>
      </w:r>
      <w:r w:rsidR="0047512B" w:rsidRPr="00300BE4">
        <w:rPr>
          <w:szCs w:val="22"/>
        </w:rPr>
        <w:t xml:space="preserve">– </w:t>
      </w:r>
      <w:r w:rsidR="006F0B9D">
        <w:rPr>
          <w:szCs w:val="22"/>
        </w:rPr>
        <w:t>Úprava území</w:t>
      </w:r>
    </w:p>
    <w:p w14:paraId="5AA1A33D" w14:textId="77777777" w:rsidR="0047512B" w:rsidRPr="00300BE4" w:rsidRDefault="003F56B3" w:rsidP="0047512B">
      <w:pPr>
        <w:pStyle w:val="KUsmlouva-2rove"/>
        <w:numPr>
          <w:ilvl w:val="0"/>
          <w:numId w:val="0"/>
        </w:numPr>
        <w:ind w:left="1080"/>
        <w:contextualSpacing/>
        <w:rPr>
          <w:szCs w:val="22"/>
        </w:rPr>
      </w:pPr>
      <w:r w:rsidRPr="00300BE4">
        <w:rPr>
          <w:szCs w:val="22"/>
        </w:rPr>
        <w:t>SO</w:t>
      </w:r>
      <w:r w:rsidR="00B24682">
        <w:rPr>
          <w:szCs w:val="22"/>
        </w:rPr>
        <w:t xml:space="preserve"> </w:t>
      </w:r>
      <w:r w:rsidR="006F0B9D">
        <w:rPr>
          <w:szCs w:val="22"/>
        </w:rPr>
        <w:t>802</w:t>
      </w:r>
      <w:r w:rsidR="0047512B" w:rsidRPr="00300BE4">
        <w:rPr>
          <w:szCs w:val="22"/>
        </w:rPr>
        <w:t xml:space="preserve"> – </w:t>
      </w:r>
      <w:r w:rsidR="006F0B9D">
        <w:rPr>
          <w:szCs w:val="22"/>
        </w:rPr>
        <w:t>Mobiliář</w:t>
      </w:r>
    </w:p>
    <w:p w14:paraId="0600330E" w14:textId="77777777" w:rsidR="00300BE4" w:rsidRDefault="00300BE4" w:rsidP="0047512B">
      <w:pPr>
        <w:pStyle w:val="KUsmlouva-2rove"/>
        <w:numPr>
          <w:ilvl w:val="0"/>
          <w:numId w:val="0"/>
        </w:numPr>
        <w:ind w:left="1080"/>
        <w:contextualSpacing/>
        <w:rPr>
          <w:szCs w:val="22"/>
          <w:highlight w:val="green"/>
        </w:rPr>
      </w:pPr>
    </w:p>
    <w:p w14:paraId="50B35609"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0AF868B8"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6D61F53"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0F7CB41B"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w:t>
      </w:r>
      <w:r w:rsidRPr="00C673CD">
        <w:rPr>
          <w:b/>
          <w:szCs w:val="22"/>
        </w:rPr>
        <w:lastRenderedPageBreak/>
        <w:t>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E163A83"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p>
    <w:p w14:paraId="75CF911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36FE604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57C112F5"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2501288F"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387DAA7A"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4801CA75"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07C0D6EE"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C021592"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demolovaný a demontovaný materiál</w:t>
      </w:r>
      <w:r w:rsidRPr="00C673CD">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470242DA"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F11C9E">
        <w:rPr>
          <w:szCs w:val="22"/>
        </w:rPr>
        <w:br/>
      </w:r>
      <w:r w:rsidRPr="00C673CD">
        <w:rPr>
          <w:szCs w:val="22"/>
        </w:rPr>
        <w:t xml:space="preserve">o odpadech, a dalších prováděcích předpisů vč. úhrady poplatků za likvidaci odpadu </w:t>
      </w:r>
      <w:r w:rsidR="00F11C9E">
        <w:rPr>
          <w:szCs w:val="22"/>
        </w:rPr>
        <w:br/>
      </w:r>
      <w:r w:rsidRPr="00C673CD">
        <w:rPr>
          <w:szCs w:val="22"/>
        </w:rPr>
        <w:t>a doložení dokladů o likvidaci nejpozději při předání a převzetí díla,</w:t>
      </w:r>
    </w:p>
    <w:p w14:paraId="3CCB839B"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6684A60D"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09E32B46" w14:textId="77777777" w:rsidR="006F5194" w:rsidRPr="00DB0839" w:rsidRDefault="006F5194" w:rsidP="001C2664">
      <w:pPr>
        <w:pStyle w:val="KUsmlouva-3rove"/>
        <w:numPr>
          <w:ilvl w:val="2"/>
          <w:numId w:val="13"/>
        </w:numPr>
        <w:spacing w:before="120" w:after="0"/>
        <w:contextualSpacing/>
        <w:rPr>
          <w:b/>
          <w:szCs w:val="22"/>
        </w:rPr>
      </w:pPr>
      <w:r w:rsidRPr="00DB0839">
        <w:rPr>
          <w:b/>
          <w:szCs w:val="22"/>
        </w:rPr>
        <w:t>umožnit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w:t>
      </w:r>
      <w:proofErr w:type="spellStart"/>
      <w:r w:rsidR="00FD196D">
        <w:t>ust</w:t>
      </w:r>
      <w:proofErr w:type="spellEnd"/>
      <w:r w:rsidR="00FD196D">
        <w:t xml:space="preserve">. § 160 odst. 2 písm. </w:t>
      </w:r>
      <w:r w:rsidR="00D97906">
        <w:t>f</w:t>
      </w:r>
      <w:r w:rsidR="00FD196D">
        <w:t xml:space="preserve">) stavebního zákona </w:t>
      </w:r>
      <w:r w:rsidRPr="00DB0839">
        <w:rPr>
          <w:szCs w:val="22"/>
        </w:rPr>
        <w:t>a zajistit účast stavbyvedoucího na této kontrolní prohlídce,</w:t>
      </w:r>
    </w:p>
    <w:p w14:paraId="6AFFDB24"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7486F58D" w14:textId="77777777"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 a geodetické zaměření skutečného provedení díla,</w:t>
      </w:r>
    </w:p>
    <w:p w14:paraId="78871DA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7288899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7B147465" w14:textId="77777777"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5AC24C96"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6B01071B" w14:textId="77777777"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217A973D" w14:textId="77777777" w:rsidR="006F5194" w:rsidRPr="00EF3C11" w:rsidRDefault="006F5194" w:rsidP="001C2664">
      <w:pPr>
        <w:pStyle w:val="KUsmlouva-3rove"/>
        <w:numPr>
          <w:ilvl w:val="2"/>
          <w:numId w:val="13"/>
        </w:numPr>
        <w:spacing w:before="120" w:after="0"/>
        <w:contextualSpacing/>
        <w:rPr>
          <w:b/>
          <w:szCs w:val="22"/>
        </w:rPr>
      </w:pPr>
      <w:r w:rsidRPr="00C200B8">
        <w:rPr>
          <w:szCs w:val="22"/>
        </w:rPr>
        <w:lastRenderedPageBreak/>
        <w:t xml:space="preserve">mít po celou dobu stavby do doby protokolárního předání a převzetí díla </w:t>
      </w:r>
      <w:r w:rsidRPr="00C200B8">
        <w:rPr>
          <w:b/>
          <w:szCs w:val="22"/>
        </w:rPr>
        <w:t>pojištění odpovědnosti za škodu</w:t>
      </w:r>
      <w:r w:rsidRPr="00C200B8">
        <w:rPr>
          <w:szCs w:val="22"/>
        </w:rPr>
        <w:t xml:space="preserve"> způsobenou třetí osobě činností zhotovitele dle čl. </w:t>
      </w:r>
      <w:r w:rsidR="00A11005">
        <w:rPr>
          <w:szCs w:val="22"/>
        </w:rPr>
        <w:t>14</w:t>
      </w:r>
      <w:r w:rsidR="00A11005" w:rsidRPr="00C200B8">
        <w:rPr>
          <w:szCs w:val="22"/>
        </w:rPr>
        <w:t xml:space="preserve"> </w:t>
      </w:r>
      <w:r w:rsidRPr="00C200B8">
        <w:rPr>
          <w:szCs w:val="22"/>
        </w:rPr>
        <w:t>této</w:t>
      </w:r>
      <w:r w:rsidRPr="00C673CD">
        <w:rPr>
          <w:szCs w:val="22"/>
        </w:rPr>
        <w:t xml:space="preserve"> smlouvy</w:t>
      </w:r>
      <w:r w:rsidR="000C1745">
        <w:rPr>
          <w:szCs w:val="22"/>
        </w:rPr>
        <w:t>,</w:t>
      </w:r>
    </w:p>
    <w:p w14:paraId="7708BF85" w14:textId="77777777" w:rsidR="00560E42" w:rsidRPr="00C673CD" w:rsidRDefault="00760E56" w:rsidP="001C2664">
      <w:pPr>
        <w:pStyle w:val="KUsmlouva-3rove"/>
        <w:numPr>
          <w:ilvl w:val="2"/>
          <w:numId w:val="13"/>
        </w:numPr>
        <w:spacing w:before="120" w:after="0"/>
        <w:contextualSpacing/>
        <w:rPr>
          <w:b/>
          <w:szCs w:val="22"/>
        </w:rPr>
      </w:pPr>
      <w:r>
        <w:rPr>
          <w:b/>
          <w:szCs w:val="22"/>
        </w:rPr>
        <w:t>z</w:t>
      </w:r>
      <w:r w:rsidR="00560E42">
        <w:rPr>
          <w:b/>
          <w:szCs w:val="22"/>
        </w:rPr>
        <w:t>ajištění povinné publicity</w:t>
      </w:r>
      <w:r>
        <w:rPr>
          <w:b/>
          <w:szCs w:val="22"/>
        </w:rPr>
        <w:t xml:space="preserve"> dle bodu 9.5. této smlouvy</w:t>
      </w:r>
      <w:r w:rsidR="000C1745">
        <w:rPr>
          <w:b/>
          <w:szCs w:val="22"/>
        </w:rPr>
        <w:t>.</w:t>
      </w:r>
    </w:p>
    <w:p w14:paraId="25A852A5" w14:textId="77777777" w:rsidR="00FD1B49" w:rsidRPr="00EF3C11" w:rsidRDefault="006F5194" w:rsidP="001C2664">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45774B33" w14:textId="77777777" w:rsidR="006F5194" w:rsidRPr="00EF3C11" w:rsidRDefault="00FD1B49" w:rsidP="004379DD">
      <w:pPr>
        <w:pStyle w:val="KUsmlouva-2rove"/>
        <w:numPr>
          <w:ilvl w:val="1"/>
          <w:numId w:val="13"/>
        </w:numPr>
        <w:spacing w:after="0"/>
        <w:ind w:left="709" w:hanging="709"/>
        <w:contextualSpacing/>
        <w:rPr>
          <w:b/>
          <w:sz w:val="22"/>
          <w:szCs w:val="22"/>
        </w:rPr>
      </w:pPr>
      <w:r w:rsidRPr="00EF3C11">
        <w:t>Zho</w:t>
      </w:r>
      <w:r w:rsidR="006F5194" w:rsidRPr="00EF3C11">
        <w:t>tovitel prohlašuje, že si je vědom skutečnosti, že objednatel má zájem na realizaci veřejné zakázky</w:t>
      </w:r>
      <w:r w:rsidR="009F36C9" w:rsidRPr="00EF3C11">
        <w:t>, realizované prostřednictvím této smlouvy o dílo,</w:t>
      </w:r>
      <w:r w:rsidR="006F5194" w:rsidRPr="00EF3C11">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t xml:space="preserve"> </w:t>
      </w:r>
      <w:r w:rsidR="006F5194" w:rsidRPr="00EF3C11">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EF3C11">
        <w:t xml:space="preserve">Zhotovitel se zavazuje </w:t>
      </w:r>
      <w:r w:rsidR="00594538" w:rsidRPr="00594538">
        <w:t xml:space="preserve">zachovávat férové vztahy ke svým poddodavatelům.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0C8CB368" w14:textId="77777777" w:rsidR="006F5194" w:rsidRPr="00EF3C11" w:rsidRDefault="006F5194" w:rsidP="001C2664">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0CCB4206" w14:textId="77777777" w:rsidR="006F5194" w:rsidRPr="00EF3C11" w:rsidRDefault="006F5194" w:rsidP="001C2664">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6CB09E38" w14:textId="77777777"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3 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4EB2B378" w14:textId="77777777" w:rsidR="006F5194" w:rsidRPr="00EF3C11" w:rsidRDefault="006F5194" w:rsidP="008C7110">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389BD670" w14:textId="77777777" w:rsidR="006F5194" w:rsidRPr="004C1FB8" w:rsidRDefault="006F5194" w:rsidP="001C2664">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4D7E6A57" w14:textId="77777777" w:rsidR="006F5194" w:rsidRPr="004C1FB8" w:rsidRDefault="006F5194" w:rsidP="001C2664">
      <w:pPr>
        <w:pStyle w:val="KUsmlouva-3rove"/>
        <w:numPr>
          <w:ilvl w:val="2"/>
          <w:numId w:val="13"/>
        </w:numPr>
        <w:spacing w:before="120" w:after="0"/>
        <w:contextualSpacing/>
        <w:rPr>
          <w:b/>
        </w:rPr>
      </w:pPr>
      <w:r w:rsidRPr="004C1FB8">
        <w:t>U výkresu obsahujícího změnu proti projektu bude přiložen i doklad, ze kterého bude vyplývat projednání změny s osobou vykonávající autorský dozor</w:t>
      </w:r>
      <w:r w:rsidR="003E4C4D" w:rsidRPr="004C1FB8">
        <w:t xml:space="preserve"> (dále jen AD)</w:t>
      </w:r>
      <w:r w:rsidRPr="004C1FB8">
        <w:t xml:space="preserve"> a technickým dozorem stavebníka</w:t>
      </w:r>
      <w:r w:rsidR="000F4D12" w:rsidRPr="004C1FB8">
        <w:t xml:space="preserve"> (dále jen TDS)</w:t>
      </w:r>
      <w:r w:rsidRPr="004C1FB8">
        <w:t xml:space="preserve"> a jejich souhlasné stanovisko. </w:t>
      </w:r>
    </w:p>
    <w:p w14:paraId="05C27BC7"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1113318D"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2860A0CD" w14:textId="77777777" w:rsidR="006F5194" w:rsidRPr="004C1FB8" w:rsidRDefault="006F5194" w:rsidP="001C2664">
      <w:pPr>
        <w:pStyle w:val="KUsmlouva-3rove"/>
        <w:numPr>
          <w:ilvl w:val="2"/>
          <w:numId w:val="13"/>
        </w:numPr>
        <w:spacing w:before="120" w:after="0"/>
        <w:contextualSpacing/>
        <w:rPr>
          <w:b/>
        </w:rPr>
      </w:pPr>
      <w:r w:rsidRPr="004C1FB8">
        <w:lastRenderedPageBreak/>
        <w:t>Takto zpracovanou a zhotovitelem podepsanou projektovou dokumentaci skutečného provedení stavby předá zhotovitel objednateli při předání a převzetí díla.</w:t>
      </w:r>
    </w:p>
    <w:p w14:paraId="1E05A341" w14:textId="77777777" w:rsidR="006F5194" w:rsidRPr="00EF3C11" w:rsidRDefault="006F5194" w:rsidP="001C2664">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geometrického plánu pro zápis stavby</w:t>
      </w:r>
      <w:r w:rsidR="00CC1926" w:rsidRPr="004C1FB8">
        <w:t xml:space="preserve"> </w:t>
      </w:r>
      <w:r w:rsidRPr="004C1FB8">
        <w:t xml:space="preserve">do katastru nemovitostí ve třech vyhotoveních v tištěné formě a 1x v digitální formě </w:t>
      </w:r>
      <w:r w:rsidR="008A18FB">
        <w:t xml:space="preserve">na </w:t>
      </w:r>
      <w:r w:rsidR="004C1FB8">
        <w:t>přenosném úložišti</w:t>
      </w:r>
      <w:r w:rsidRPr="00EF3C11">
        <w:t xml:space="preserve">. Zhotovitel odpovídá za přesné a správné vyměření a vytýčení stavby, poloh, úrovní, rozměrů </w:t>
      </w:r>
      <w:r w:rsidR="000C1745">
        <w:br/>
      </w:r>
      <w:r w:rsidRPr="00EF3C11">
        <w:t>a vzájemné uspořádání všech částí stavby.</w:t>
      </w:r>
    </w:p>
    <w:p w14:paraId="5954B2BA"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215979AA"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009D3E69" w14:textId="77777777"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p>
    <w:p w14:paraId="2B6FF8D8" w14:textId="7D5F69A7"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w:t>
      </w:r>
      <w:r w:rsidR="00A11005">
        <w:fldChar w:fldCharType="begin"/>
      </w:r>
      <w:r w:rsidR="00A11005">
        <w:instrText xml:space="preserve"> REF _Ref183011215 \r \h </w:instrText>
      </w:r>
      <w:r w:rsidR="00A11005">
        <w:fldChar w:fldCharType="separate"/>
      </w:r>
      <w:r w:rsidR="00AB4EFA">
        <w:t>17.11</w:t>
      </w:r>
      <w:r w:rsidR="00A11005">
        <w:fldChar w:fldCharType="end"/>
      </w:r>
      <w:r w:rsidR="00A11005">
        <w:t>.</w:t>
      </w:r>
      <w:r w:rsidRPr="00EF3C11">
        <w:t>této smlouvy.</w:t>
      </w:r>
    </w:p>
    <w:p w14:paraId="01AA40E1" w14:textId="77777777"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FC4910" w:rsidRPr="00EF3C11">
        <w:t xml:space="preserve">kontrolním dni (dále jen </w:t>
      </w:r>
      <w:r w:rsidRPr="00197EBC">
        <w:t>KD</w:t>
      </w:r>
      <w:r w:rsidR="00FC4910" w:rsidRPr="00197EBC">
        <w:t>)</w:t>
      </w:r>
      <w:r w:rsidRPr="004C1FB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7B879E83"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1CD8F494"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4" w:name="_Ref58928503"/>
    </w:p>
    <w:p w14:paraId="4A2B8517" w14:textId="77777777" w:rsidR="00650BEA" w:rsidRPr="00EA071A" w:rsidRDefault="00650BEA" w:rsidP="00650BEA">
      <w:pPr>
        <w:pStyle w:val="KUsmlouva-3rove"/>
        <w:numPr>
          <w:ilvl w:val="0"/>
          <w:numId w:val="0"/>
        </w:numPr>
        <w:spacing w:before="120" w:after="0"/>
        <w:ind w:left="1080"/>
        <w:contextualSpacing/>
        <w:rPr>
          <w:b/>
        </w:rPr>
      </w:pPr>
    </w:p>
    <w:p w14:paraId="029DAD75"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4"/>
    </w:p>
    <w:p w14:paraId="76141CC5"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7CA0A568"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39F670A8"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3E4CA9D5"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1E1C3130"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3A97CBFD" w14:textId="77777777" w:rsidR="00654D89" w:rsidRPr="0075207D" w:rsidRDefault="00654D89" w:rsidP="00654D89">
      <w:pPr>
        <w:pStyle w:val="KUsmlouva-2rove"/>
        <w:numPr>
          <w:ilvl w:val="0"/>
          <w:numId w:val="0"/>
        </w:numPr>
        <w:spacing w:after="0"/>
        <w:ind w:left="567"/>
        <w:contextualSpacing/>
        <w:rPr>
          <w:b/>
        </w:rPr>
      </w:pPr>
    </w:p>
    <w:p w14:paraId="6C7982AC"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0C96F18E"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15BD8BD0"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23A95905"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32C8DFF8"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F450E0D"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7738E435"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5C97BD2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443FD988"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60890CDF"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04BFB862"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4A113442"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110EABB6" w14:textId="77777777" w:rsidR="00FC6AA1" w:rsidRPr="0075207D" w:rsidRDefault="00FC6AA1" w:rsidP="003E6776">
      <w:pPr>
        <w:pStyle w:val="KUsmlouva-3rove"/>
        <w:numPr>
          <w:ilvl w:val="2"/>
          <w:numId w:val="13"/>
        </w:numPr>
        <w:ind w:left="1077"/>
        <w:contextualSpacing/>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sidR="00421A5D">
        <w:rPr>
          <w:rStyle w:val="KUTun"/>
        </w:rPr>
        <w:t>,</w:t>
      </w:r>
      <w:r w:rsidRPr="0075207D">
        <w:rPr>
          <w:rStyle w:val="KUTun"/>
        </w:rPr>
        <w:t xml:space="preserve"> a to zejména z důvodů: </w:t>
      </w:r>
    </w:p>
    <w:p w14:paraId="7ADE0F86" w14:textId="77777777" w:rsidR="00FC6AA1" w:rsidRPr="0075207D" w:rsidRDefault="00FC6AA1" w:rsidP="008307D9">
      <w:pPr>
        <w:pStyle w:val="KUsmlouva-odrkyk3rovni"/>
        <w:numPr>
          <w:ilvl w:val="0"/>
          <w:numId w:val="14"/>
        </w:numPr>
        <w:spacing w:before="120"/>
        <w:ind w:left="2127" w:hanging="426"/>
        <w:contextualSpacing/>
      </w:pPr>
      <w:r w:rsidRPr="0075207D">
        <w:t>neprovedení dohodnutých stavebních prací, dodávek a služeb, které byly obsaženy v zadávacích podmínkách a změnou dojde k zúžení předmětu díla (</w:t>
      </w:r>
      <w:proofErr w:type="spellStart"/>
      <w:r w:rsidRPr="0075207D">
        <w:t>méněpráce</w:t>
      </w:r>
      <w:proofErr w:type="spellEnd"/>
      <w:r w:rsidRPr="0075207D">
        <w:t xml:space="preserve">), </w:t>
      </w:r>
    </w:p>
    <w:p w14:paraId="3406808A" w14:textId="77777777" w:rsidR="00FC6AA1" w:rsidRPr="0056383D"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r w:rsidRPr="0056383D">
        <w:t>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56383D">
        <w:t>,</w:t>
      </w:r>
      <w:r w:rsidRPr="0056383D">
        <w:t xml:space="preserve"> </w:t>
      </w:r>
    </w:p>
    <w:p w14:paraId="787E0785"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15F36DE8" w14:textId="77777777" w:rsidR="00FC6AA1" w:rsidRPr="0056383D" w:rsidRDefault="00FC6AA1" w:rsidP="008307D9">
      <w:pPr>
        <w:pStyle w:val="KUsmlouva-odrkyk3rovni"/>
        <w:numPr>
          <w:ilvl w:val="0"/>
          <w:numId w:val="14"/>
        </w:numPr>
        <w:spacing w:before="120"/>
        <w:ind w:left="2127" w:hanging="426"/>
        <w:contextualSpacing/>
      </w:pPr>
      <w:r w:rsidRPr="0056383D">
        <w:t xml:space="preserve">vady projektové dokumentace, spočívá-li vada projektové dokumentace </w:t>
      </w:r>
      <w:r w:rsidR="008307D9" w:rsidRPr="0056383D">
        <w:br/>
      </w:r>
      <w:r w:rsidRPr="0056383D">
        <w:t xml:space="preserve">v nesprávném stanovení množství měrné jednotky položky soupisu prací, </w:t>
      </w:r>
    </w:p>
    <w:p w14:paraId="36CC2909" w14:textId="77777777" w:rsidR="00FC6AA1" w:rsidRDefault="000F4BCE" w:rsidP="008307D9">
      <w:pPr>
        <w:pStyle w:val="KUsmlouva-odrkyk3rovni"/>
        <w:numPr>
          <w:ilvl w:val="0"/>
          <w:numId w:val="14"/>
        </w:numPr>
        <w:spacing w:before="120"/>
        <w:ind w:left="2127" w:hanging="426"/>
        <w:contextualSpacing/>
      </w:pPr>
      <w:r w:rsidRPr="0056383D">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514F0A3F" w14:textId="77777777" w:rsidR="00421A5D" w:rsidRPr="0056383D" w:rsidRDefault="00421A5D" w:rsidP="00421A5D">
      <w:pPr>
        <w:pStyle w:val="KUsmlouva-odrkyk3rovni"/>
        <w:tabs>
          <w:tab w:val="left" w:pos="5057"/>
        </w:tabs>
        <w:spacing w:before="120"/>
        <w:ind w:left="2127"/>
        <w:contextualSpacing/>
      </w:pPr>
      <w:r>
        <w:tab/>
      </w:r>
    </w:p>
    <w:p w14:paraId="6048F3C4" w14:textId="77777777" w:rsidR="006F5194" w:rsidRPr="0056383D" w:rsidRDefault="006F5194" w:rsidP="003E6776">
      <w:pPr>
        <w:pStyle w:val="KUsmlouva-3rove"/>
        <w:numPr>
          <w:ilvl w:val="2"/>
          <w:numId w:val="13"/>
        </w:numPr>
        <w:spacing w:after="0"/>
        <w:ind w:left="1077"/>
        <w:contextualSpacing/>
        <w:rPr>
          <w:rStyle w:val="KUTun"/>
        </w:rPr>
      </w:pPr>
      <w:r w:rsidRPr="0056383D">
        <w:rPr>
          <w:rStyle w:val="KUTun"/>
        </w:rPr>
        <w:t>Změna zhotovitele v průběhu plnění dle této smlouvy</w:t>
      </w:r>
    </w:p>
    <w:p w14:paraId="69BCA115" w14:textId="77777777" w:rsidR="006F5194" w:rsidRPr="0056383D" w:rsidRDefault="006F5194" w:rsidP="00F710C4">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že smlouva bude ukončena:</w:t>
      </w:r>
    </w:p>
    <w:p w14:paraId="047C9EA4" w14:textId="77777777" w:rsidR="006F5194" w:rsidRPr="0056383D" w:rsidRDefault="006F5194" w:rsidP="001C2664">
      <w:pPr>
        <w:pStyle w:val="KUsmlouva-4rove"/>
        <w:numPr>
          <w:ilvl w:val="3"/>
          <w:numId w:val="13"/>
        </w:numPr>
        <w:spacing w:before="120"/>
        <w:ind w:left="1985"/>
        <w:contextualSpacing/>
      </w:pPr>
      <w:r w:rsidRPr="0056383D">
        <w:t xml:space="preserve">předčasně dohodou smluvních stran z důvodu porušení povinností </w:t>
      </w:r>
      <w:r w:rsidR="00F11C9E" w:rsidRPr="0056383D">
        <w:br/>
      </w:r>
      <w:r w:rsidRPr="0056383D">
        <w:t>či nemožnosti plnění povinností na straně zhotovitele</w:t>
      </w:r>
      <w:r w:rsidR="00CA5138">
        <w:t>,</w:t>
      </w:r>
    </w:p>
    <w:p w14:paraId="3BDE9E4B" w14:textId="77777777" w:rsidR="006F5194" w:rsidRPr="0056383D" w:rsidRDefault="006F5194" w:rsidP="001C2664">
      <w:pPr>
        <w:pStyle w:val="KUsmlouva-4rove"/>
        <w:numPr>
          <w:ilvl w:val="3"/>
          <w:numId w:val="13"/>
        </w:numPr>
        <w:spacing w:before="120"/>
        <w:ind w:left="1985"/>
        <w:contextualSpacing/>
      </w:pPr>
      <w:r w:rsidRPr="0056383D">
        <w:t xml:space="preserve">výpovědí zhotovitele nebo objednatele z důvodu porušení povinností </w:t>
      </w:r>
      <w:r w:rsidR="00F11C9E" w:rsidRPr="0056383D">
        <w:br/>
      </w:r>
      <w:r w:rsidRPr="0056383D">
        <w:t>či nemožnosti plnění povinností na straně zhotovitele</w:t>
      </w:r>
      <w:r w:rsidR="00CA5138">
        <w:t>,</w:t>
      </w:r>
    </w:p>
    <w:p w14:paraId="666B7D3C" w14:textId="77777777" w:rsidR="006F5194" w:rsidRPr="0056383D" w:rsidRDefault="006F5194" w:rsidP="001C2664">
      <w:pPr>
        <w:pStyle w:val="KUsmlouva-4rove"/>
        <w:numPr>
          <w:ilvl w:val="3"/>
          <w:numId w:val="13"/>
        </w:numPr>
        <w:spacing w:before="120"/>
        <w:ind w:left="1985"/>
        <w:contextualSpacing/>
      </w:pPr>
      <w:r w:rsidRPr="0056383D">
        <w:t xml:space="preserve">odstoupením od smlouvy z důvodů dle § 223 </w:t>
      </w:r>
      <w:r w:rsidR="003A41D1" w:rsidRPr="0056383D">
        <w:t>ZZVZ</w:t>
      </w:r>
      <w:r w:rsidR="00CA5138">
        <w:t>,</w:t>
      </w:r>
    </w:p>
    <w:p w14:paraId="44B04668" w14:textId="77777777" w:rsidR="006F5194" w:rsidRPr="0056383D" w:rsidRDefault="006F5194" w:rsidP="001C2664">
      <w:pPr>
        <w:pStyle w:val="KUsmlouva-4rove"/>
        <w:numPr>
          <w:ilvl w:val="3"/>
          <w:numId w:val="13"/>
        </w:numPr>
        <w:spacing w:before="120"/>
        <w:ind w:left="1985"/>
        <w:contextualSpacing/>
      </w:pPr>
      <w:r w:rsidRPr="0056383D">
        <w:t>z důvodu zániku závazku pro následnou nemožnost plnění</w:t>
      </w:r>
      <w:r w:rsidR="00CA5138">
        <w:t>,</w:t>
      </w:r>
    </w:p>
    <w:p w14:paraId="3989D4EE" w14:textId="77777777" w:rsidR="006F5194" w:rsidRPr="0056383D" w:rsidRDefault="006F5194" w:rsidP="001C2664">
      <w:pPr>
        <w:pStyle w:val="KUsmlouva-4rove"/>
        <w:numPr>
          <w:ilvl w:val="3"/>
          <w:numId w:val="13"/>
        </w:numPr>
        <w:spacing w:before="120"/>
        <w:ind w:left="1985"/>
        <w:contextualSpacing/>
      </w:pPr>
      <w:r w:rsidRPr="0056383D">
        <w:t>zánikem právnické osoby bez právního nástupce</w:t>
      </w:r>
      <w:r w:rsidR="00CA5138">
        <w:t>,</w:t>
      </w:r>
    </w:p>
    <w:p w14:paraId="77BA7D6F" w14:textId="77777777" w:rsidR="006F5194" w:rsidRPr="0056383D" w:rsidRDefault="006F5194" w:rsidP="001C2664">
      <w:pPr>
        <w:pStyle w:val="KUsmlouva-4rove"/>
        <w:numPr>
          <w:ilvl w:val="3"/>
          <w:numId w:val="13"/>
        </w:numPr>
        <w:spacing w:before="120"/>
        <w:ind w:left="1985"/>
        <w:contextualSpacing/>
      </w:pPr>
      <w:r w:rsidRPr="0056383D">
        <w:lastRenderedPageBreak/>
        <w:t>v důsledku právního nástupnictví v souvislosti s přeměnou zhotovitele, jeho smrti nebo převodem jeho závodu, popřípadě části závodu</w:t>
      </w:r>
      <w:r w:rsidR="00CA5138">
        <w:t>,</w:t>
      </w:r>
    </w:p>
    <w:p w14:paraId="486AF666" w14:textId="77777777" w:rsidR="006F5194" w:rsidRPr="0056383D" w:rsidRDefault="006F5194" w:rsidP="001C2664">
      <w:pPr>
        <w:pStyle w:val="KUsmlouva-4rove"/>
        <w:numPr>
          <w:ilvl w:val="3"/>
          <w:numId w:val="13"/>
        </w:numPr>
        <w:spacing w:before="120"/>
        <w:ind w:left="1985"/>
        <w:contextualSpacing/>
      </w:pPr>
      <w:r w:rsidRPr="0056383D">
        <w:t>v případě zániku účasti některého z dodavatelů v případě společné účasti dodavatelů dle § 82</w:t>
      </w:r>
      <w:r w:rsidR="003A41D1" w:rsidRPr="0056383D">
        <w:t xml:space="preserve"> ZZVZ</w:t>
      </w:r>
      <w:r w:rsidR="00CA5138">
        <w:t>,</w:t>
      </w:r>
    </w:p>
    <w:p w14:paraId="4A7B7042" w14:textId="77777777" w:rsidR="006F5194" w:rsidRPr="0056383D" w:rsidRDefault="006F5194" w:rsidP="001C2664">
      <w:pPr>
        <w:pStyle w:val="KUsmlouva-4rove"/>
        <w:numPr>
          <w:ilvl w:val="3"/>
          <w:numId w:val="13"/>
        </w:numPr>
        <w:spacing w:before="120"/>
        <w:ind w:left="1985"/>
        <w:contextualSpacing/>
      </w:pPr>
      <w:r w:rsidRPr="0056383D">
        <w:t xml:space="preserve">v případě </w:t>
      </w:r>
      <w:r w:rsidR="00F710C4">
        <w:t>zahájení insolvenčního řízení vůči zhotoviteli</w:t>
      </w:r>
      <w:r w:rsidRPr="0056383D">
        <w:t xml:space="preserve"> na </w:t>
      </w:r>
      <w:r w:rsidR="00F710C4">
        <w:t>návrh z</w:t>
      </w:r>
      <w:r w:rsidRPr="0056383D">
        <w:t xml:space="preserve">hotovitele, vstupu </w:t>
      </w:r>
      <w:r w:rsidR="00F710C4">
        <w:t>z</w:t>
      </w:r>
      <w:r w:rsidRPr="0056383D">
        <w:t xml:space="preserve">hotovitele do likvidace, vydání rozhodnutím o úpadku </w:t>
      </w:r>
      <w:r w:rsidR="00F710C4">
        <w:t>z</w:t>
      </w:r>
      <w:r w:rsidRPr="0056383D">
        <w:t xml:space="preserve">hotovitele, nařízení nucené správy podle jiného právního předpisu na </w:t>
      </w:r>
      <w:r w:rsidR="00F710C4">
        <w:t>z</w:t>
      </w:r>
      <w:r w:rsidRPr="0056383D">
        <w:t>hotovitele</w:t>
      </w:r>
      <w:r w:rsidR="00F710C4">
        <w:t>,</w:t>
      </w:r>
      <w:r w:rsidRPr="0056383D">
        <w:t xml:space="preserve"> nebo nastane-li </w:t>
      </w:r>
      <w:r w:rsidR="00F710C4">
        <w:t xml:space="preserve">u </w:t>
      </w:r>
      <w:r w:rsidR="000C12A2">
        <w:t>z</w:t>
      </w:r>
      <w:r w:rsidRPr="0056383D">
        <w:t>hotovitele obdobná situace podle právního řádu země jeho sídla,</w:t>
      </w:r>
    </w:p>
    <w:p w14:paraId="7C8E7F92" w14:textId="77777777" w:rsidR="006F5194" w:rsidRPr="0056383D" w:rsidRDefault="006F5194" w:rsidP="001C2664">
      <w:pPr>
        <w:pStyle w:val="KUsmlouva-4rove"/>
        <w:numPr>
          <w:ilvl w:val="3"/>
          <w:numId w:val="13"/>
        </w:numPr>
        <w:spacing w:before="120"/>
        <w:ind w:left="1985"/>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 xml:space="preserve">.3.5 a </w:t>
      </w:r>
      <w:r w:rsidR="00D61045" w:rsidRPr="0056383D">
        <w:t>4</w:t>
      </w:r>
      <w:r w:rsidRPr="0056383D">
        <w:t xml:space="preserve">.3.6. smlouvy a za předpokladu, </w:t>
      </w:r>
      <w:r w:rsidR="00CA5138">
        <w:br/>
      </w:r>
      <w:r w:rsidRPr="0056383D">
        <w:t xml:space="preserve">že s touto změnou bude nový dodavatel souhlasit a vstoupí do práv </w:t>
      </w:r>
      <w:r w:rsidR="00CA5138">
        <w:br/>
      </w:r>
      <w:r w:rsidRPr="0056383D">
        <w:t xml:space="preserve">a povinností plynoucích ze smlouvy s původním </w:t>
      </w:r>
      <w:r w:rsidR="003E2DEA">
        <w:t>zhotovitelem</w:t>
      </w:r>
      <w:r w:rsidRPr="0056383D">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t>.</w:t>
      </w:r>
    </w:p>
    <w:p w14:paraId="01C0FDF4"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63DB1B22"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67ACC89C" w14:textId="77777777" w:rsidR="000B782D" w:rsidRPr="0056383D" w:rsidRDefault="000B782D" w:rsidP="00654D89">
      <w:pPr>
        <w:pStyle w:val="KUsmlouva-3rove"/>
        <w:numPr>
          <w:ilvl w:val="0"/>
          <w:numId w:val="0"/>
        </w:numPr>
        <w:spacing w:before="120" w:after="0"/>
        <w:ind w:left="1080"/>
        <w:contextualSpacing/>
        <w:rPr>
          <w:rStyle w:val="KUTun"/>
        </w:rPr>
      </w:pPr>
    </w:p>
    <w:p w14:paraId="6A98F0AC"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dodavatele v ostatních případech</w:t>
      </w:r>
    </w:p>
    <w:p w14:paraId="0855D4D3"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nabídky tohoto účastníka lze stanovit její 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5FD24A10" w14:textId="77777777" w:rsidR="00E07CB6" w:rsidRPr="0056383D" w:rsidRDefault="00E07CB6" w:rsidP="00654D89">
      <w:pPr>
        <w:pStyle w:val="KUsmlouva-3rove"/>
        <w:numPr>
          <w:ilvl w:val="0"/>
          <w:numId w:val="0"/>
        </w:numPr>
        <w:spacing w:before="120" w:after="0"/>
        <w:ind w:left="1361"/>
        <w:contextualSpacing/>
        <w:rPr>
          <w:color w:val="FF0000"/>
        </w:rPr>
      </w:pPr>
    </w:p>
    <w:p w14:paraId="2170367C" w14:textId="77777777" w:rsidR="006F5194" w:rsidRPr="0056383D" w:rsidRDefault="006F5194" w:rsidP="001C2664">
      <w:pPr>
        <w:pStyle w:val="KUsmlouva-2rove"/>
        <w:numPr>
          <w:ilvl w:val="1"/>
          <w:numId w:val="13"/>
        </w:numPr>
        <w:spacing w:after="0"/>
        <w:ind w:left="567" w:hanging="578"/>
        <w:contextualSpacing/>
      </w:pPr>
      <w:r w:rsidRPr="0056383D">
        <w:t xml:space="preserve">Postup podle čl. </w:t>
      </w:r>
      <w:r w:rsidR="0073725E" w:rsidRPr="0056383D">
        <w:t>4</w:t>
      </w:r>
      <w:r w:rsidRPr="0056383D">
        <w:t>.3.2</w:t>
      </w:r>
      <w:r w:rsidR="00693B88">
        <w:t>.</w:t>
      </w:r>
      <w:r w:rsidRPr="0056383D">
        <w:t xml:space="preserve"> až </w:t>
      </w:r>
      <w:r w:rsidR="0073725E" w:rsidRPr="0056383D">
        <w:t>4</w:t>
      </w:r>
      <w:r w:rsidRPr="0056383D">
        <w:t>.3.</w:t>
      </w:r>
      <w:r w:rsidR="00DF1EF5" w:rsidRPr="0056383D">
        <w:t>6</w:t>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68E6F163" w14:textId="77777777" w:rsidR="006F5194" w:rsidRPr="0075207D" w:rsidRDefault="006F5194" w:rsidP="001C2664">
      <w:pPr>
        <w:pStyle w:val="KUsmlouva-2rove"/>
        <w:numPr>
          <w:ilvl w:val="1"/>
          <w:numId w:val="13"/>
        </w:numPr>
        <w:spacing w:after="0"/>
        <w:ind w:left="567" w:hanging="578"/>
        <w:contextualSpacing/>
      </w:pPr>
      <w:bookmarkStart w:id="5" w:name="_Ref164157886"/>
      <w:r w:rsidRPr="0056383D">
        <w:t xml:space="preserve">Původní zhotovitel díla je v případě, že nastane změna dodavatele za podmínek odst. </w:t>
      </w:r>
      <w:r w:rsidR="0073725E" w:rsidRPr="0056383D">
        <w:t>4</w:t>
      </w:r>
      <w:r w:rsidRPr="0056383D">
        <w:t>.3.</w:t>
      </w:r>
      <w:r w:rsidR="002916E0" w:rsidRPr="0056383D">
        <w:t>4</w:t>
      </w:r>
      <w:r w:rsidR="00A71CBF">
        <w:t>. této smlouvy</w:t>
      </w:r>
      <w:r w:rsidRPr="0056383D">
        <w:t xml:space="preserve">, </w:t>
      </w:r>
      <w:r w:rsidRPr="0075207D">
        <w:t>povinen poskytnout objednateli a novému zhotoviteli nezbytnou součinnost při předávání již provedeného plnění.</w:t>
      </w:r>
      <w:bookmarkEnd w:id="5"/>
    </w:p>
    <w:p w14:paraId="7EC74199"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3D2C743B" w14:textId="77777777" w:rsidR="006F5194" w:rsidRPr="0056383D" w:rsidRDefault="006F5194" w:rsidP="000F2CAB">
      <w:pPr>
        <w:pStyle w:val="KUsmlouva-2rove"/>
        <w:numPr>
          <w:ilvl w:val="1"/>
          <w:numId w:val="13"/>
        </w:numPr>
        <w:spacing w:after="0"/>
        <w:ind w:left="567" w:hanging="578"/>
        <w:contextualSpacing/>
      </w:pPr>
      <w:r w:rsidRPr="0056383D">
        <w:lastRenderedPageBreak/>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xml:space="preserve">, nedohodnou-li se smluvní strany na KD jinak nebo nejde-li o vyhrazené změny uvedené v odst. </w:t>
      </w:r>
      <w:r w:rsidR="0073725E" w:rsidRPr="0056383D">
        <w:t>4</w:t>
      </w:r>
      <w:r w:rsidRPr="0056383D">
        <w:t>.3. této smlouvy.</w:t>
      </w:r>
    </w:p>
    <w:p w14:paraId="6D73D9C4"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w:t>
      </w:r>
      <w:proofErr w:type="spellStart"/>
      <w:r w:rsidRPr="0056383D">
        <w:rPr>
          <w:b/>
        </w:rPr>
        <w:t>méněpráce</w:t>
      </w:r>
      <w:proofErr w:type="spellEnd"/>
      <w:r w:rsidRPr="0056383D">
        <w:rPr>
          <w:b/>
        </w:rPr>
        <w:t xml:space="preserve">), </w:t>
      </w:r>
      <w:r w:rsidRPr="0056383D">
        <w:t xml:space="preserve">předloží neprodleně návrh změnového listu nejpozději na nejbližším KD k projednání. </w:t>
      </w:r>
    </w:p>
    <w:p w14:paraId="10762858" w14:textId="77777777" w:rsidR="00654D89" w:rsidRPr="0056383D" w:rsidRDefault="00654D89" w:rsidP="00654D89">
      <w:pPr>
        <w:pStyle w:val="KUsmlouva-2rove"/>
        <w:numPr>
          <w:ilvl w:val="0"/>
          <w:numId w:val="0"/>
        </w:numPr>
        <w:spacing w:after="0"/>
        <w:ind w:left="567"/>
        <w:contextualSpacing/>
        <w:rPr>
          <w:rStyle w:val="KUTun"/>
        </w:rPr>
      </w:pPr>
    </w:p>
    <w:p w14:paraId="1FF6806D" w14:textId="77777777"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4EA9A1E0" w14:textId="77777777"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AD.</w:t>
      </w:r>
    </w:p>
    <w:p w14:paraId="5CB3E4C4" w14:textId="77777777"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zhotoviteli. Za úplnost </w:t>
      </w:r>
      <w:r w:rsidR="00AA2783" w:rsidRPr="0056383D">
        <w:br/>
      </w:r>
      <w:r w:rsidRPr="0056383D">
        <w:t>a evidenci schválených a číslovaných změnových listů díla odpovídá zhotovitel.</w:t>
      </w:r>
    </w:p>
    <w:p w14:paraId="7C5C1D99"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74E87416"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 xml:space="preserve">Ocenění víceprací a </w:t>
      </w:r>
      <w:proofErr w:type="spellStart"/>
      <w:r w:rsidRPr="0056383D">
        <w:rPr>
          <w:rStyle w:val="KUTun"/>
        </w:rPr>
        <w:t>méněprací</w:t>
      </w:r>
      <w:proofErr w:type="spellEnd"/>
    </w:p>
    <w:p w14:paraId="14BA536D" w14:textId="77777777" w:rsidR="006F5194" w:rsidRPr="0056383D" w:rsidRDefault="006F5194" w:rsidP="001C2664">
      <w:pPr>
        <w:pStyle w:val="KUsmlouva-3rove"/>
        <w:numPr>
          <w:ilvl w:val="2"/>
          <w:numId w:val="13"/>
        </w:numPr>
        <w:spacing w:before="120" w:after="0"/>
        <w:contextualSpacing/>
      </w:pPr>
      <w:r w:rsidRPr="0056383D">
        <w:t xml:space="preserve">Ocenění víceprací a </w:t>
      </w:r>
      <w:proofErr w:type="spellStart"/>
      <w:r w:rsidRPr="0056383D">
        <w:t>méněprací</w:t>
      </w:r>
      <w:proofErr w:type="spellEnd"/>
      <w:r w:rsidRPr="0056383D">
        <w:t xml:space="preserve"> (prací, dodávek a služeb) bude provedeno s použitím položkových cen oceněného soupisu prací (příloha č. </w:t>
      </w:r>
      <w:r w:rsidR="00D66985" w:rsidRPr="0056383D">
        <w:t>1</w:t>
      </w:r>
      <w:r w:rsidRPr="0056383D">
        <w:t xml:space="preserve"> této smlouvy).</w:t>
      </w:r>
    </w:p>
    <w:p w14:paraId="4B1F3192" w14:textId="77777777" w:rsidR="006F5194" w:rsidRPr="0056383D" w:rsidRDefault="006F5194" w:rsidP="001C2664">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 platném znění, tzn. mj., může odkazovat pouze na jednu cenovou soustavu pro období, ve kterém mají být vícepráce (</w:t>
      </w:r>
      <w:proofErr w:type="spellStart"/>
      <w:r w:rsidRPr="0056383D">
        <w:t>méněpráce</w:t>
      </w:r>
      <w:proofErr w:type="spellEnd"/>
      <w:r w:rsidRPr="0056383D">
        <w:t xml:space="preserve">) realizovány, </w:t>
      </w:r>
      <w:r w:rsidR="00AA2783" w:rsidRPr="0056383D">
        <w:br/>
      </w:r>
      <w:r w:rsidRPr="0056383D">
        <w:t>a to na takovou cenovou soustavu, která byla použita v zadávací dokumentaci. Výběr cenové soustavy pro ocenění soupisu prací musí být odsouhlasen objednatelem.</w:t>
      </w:r>
    </w:p>
    <w:p w14:paraId="06BD97FE" w14:textId="77777777" w:rsidR="006F5194" w:rsidRPr="0075207D" w:rsidRDefault="006F5194" w:rsidP="001C2664">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r w:rsidR="00DF1EF5" w:rsidRPr="0056383D">
        <w:t>.</w:t>
      </w:r>
    </w:p>
    <w:p w14:paraId="327C989B" w14:textId="77777777" w:rsidR="006F5194" w:rsidRPr="0075207D" w:rsidRDefault="006F5194" w:rsidP="001C2664">
      <w:pPr>
        <w:pStyle w:val="KUsmlouva-3rove"/>
        <w:numPr>
          <w:ilvl w:val="2"/>
          <w:numId w:val="13"/>
        </w:numPr>
        <w:spacing w:before="120" w:after="0"/>
        <w:contextualSpacing/>
      </w:pPr>
      <w:r w:rsidRPr="0075207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70F74806" w14:textId="77777777" w:rsidR="00654D89" w:rsidRDefault="006F5194" w:rsidP="00EA071A">
      <w:pPr>
        <w:pStyle w:val="KUsmlouva-3rove"/>
        <w:numPr>
          <w:ilvl w:val="2"/>
          <w:numId w:val="13"/>
        </w:numPr>
        <w:spacing w:before="120" w:after="0"/>
        <w:contextualSpacing/>
      </w:pPr>
      <w:r w:rsidRPr="0056383D">
        <w:t>K celkovým nákladům pak bude dopočtena DPH podle předpisů platných v době vzniku zdanitelného plnění.</w:t>
      </w:r>
    </w:p>
    <w:p w14:paraId="59930697" w14:textId="77777777" w:rsidR="00650BEA" w:rsidRPr="00EA071A" w:rsidRDefault="00650BEA" w:rsidP="00650BEA">
      <w:pPr>
        <w:pStyle w:val="KUsmlouva-3rove"/>
        <w:numPr>
          <w:ilvl w:val="0"/>
          <w:numId w:val="0"/>
        </w:numPr>
        <w:spacing w:before="120" w:after="0"/>
        <w:ind w:left="1080"/>
        <w:contextualSpacing/>
      </w:pPr>
    </w:p>
    <w:p w14:paraId="7870A4CC"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146F0D10" w14:textId="77777777" w:rsidR="00654D89" w:rsidRPr="008F7D01"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5D3150" w:rsidRPr="008F7D01">
        <w:t xml:space="preserve">veřejné zakázky </w:t>
      </w:r>
      <w:r w:rsidRPr="008F7D01">
        <w:t>je</w:t>
      </w:r>
      <w:r w:rsidR="00526B1E" w:rsidRPr="008F7D01">
        <w:t xml:space="preserve"> </w:t>
      </w:r>
      <w:r w:rsidR="00D10726" w:rsidRPr="00AD03BC">
        <w:rPr>
          <w:b/>
          <w:bCs/>
        </w:rPr>
        <w:t>12 měsíců od předání staveniště</w:t>
      </w:r>
      <w:r w:rsidR="00D10726">
        <w:t>.</w:t>
      </w:r>
    </w:p>
    <w:p w14:paraId="0354E879" w14:textId="77777777" w:rsidR="00500161" w:rsidRPr="008F7D01" w:rsidRDefault="00500161" w:rsidP="001C2664">
      <w:pPr>
        <w:pStyle w:val="KUsmlouva-2rove"/>
        <w:numPr>
          <w:ilvl w:val="1"/>
          <w:numId w:val="13"/>
        </w:numPr>
        <w:spacing w:after="0"/>
        <w:ind w:left="567" w:hanging="567"/>
        <w:contextualSpacing/>
      </w:pPr>
      <w:r w:rsidRPr="008F7D01">
        <w:t xml:space="preserve">Předpokládaný termín zahájení doby plnění (stavby) </w:t>
      </w:r>
      <w:r w:rsidR="00D10726">
        <w:t>03</w:t>
      </w:r>
      <w:r w:rsidRPr="008F7D01">
        <w:t>/202</w:t>
      </w:r>
      <w:r w:rsidR="003F56B3" w:rsidRPr="008F7D01">
        <w:t>5</w:t>
      </w:r>
      <w:r w:rsidR="006C210E">
        <w:t>.</w:t>
      </w:r>
    </w:p>
    <w:p w14:paraId="6B670C46"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6B4EBA9D" w14:textId="77777777" w:rsidR="006F5194" w:rsidRPr="00281E32"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a převzetí staveniště.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281E32">
        <w:t>Součástí protokolu</w:t>
      </w:r>
      <w:r w:rsidR="007060A7" w:rsidRPr="00281E32">
        <w:t xml:space="preserve"> </w:t>
      </w:r>
      <w:r w:rsidRPr="00281E32">
        <w:t>o převzetí staveniště bude potvrzení povinnosti ze strany zhotovitele předložit originál bankovní záruky a originál</w:t>
      </w:r>
      <w:r w:rsidR="00E50145" w:rsidRPr="00281E32">
        <w:t>ů</w:t>
      </w:r>
      <w:r w:rsidRPr="00281E32">
        <w:t xml:space="preserve"> doklad</w:t>
      </w:r>
      <w:r w:rsidR="00E50145" w:rsidRPr="00281E32">
        <w:t>ů</w:t>
      </w:r>
      <w:r w:rsidR="00624518" w:rsidRPr="00281E32">
        <w:t xml:space="preserve"> </w:t>
      </w:r>
      <w:r w:rsidRPr="00281E32">
        <w:t>o pojištění, a to včetně termínu, kdy zhotovitel tyto dokumenty o bankovní záruce a pojištění předložil.</w:t>
      </w:r>
    </w:p>
    <w:p w14:paraId="4659FA11" w14:textId="5C1D2EAF" w:rsidR="006F5194" w:rsidRPr="00281E32" w:rsidRDefault="006F5194" w:rsidP="001C2664">
      <w:pPr>
        <w:pStyle w:val="KUsmlouva-2rove"/>
        <w:numPr>
          <w:ilvl w:val="1"/>
          <w:numId w:val="13"/>
        </w:numPr>
        <w:spacing w:after="0"/>
        <w:ind w:left="567" w:hanging="567"/>
        <w:contextualSpacing/>
      </w:pPr>
      <w:bookmarkStart w:id="6" w:name="_Ref26971151"/>
      <w:r w:rsidRPr="00281E32">
        <w:t xml:space="preserve">K protokolárnímu převzetí a předání staveniště dojde na základě výzvy k převzetí staveniště ze strany objednatele, a to </w:t>
      </w:r>
      <w:bookmarkStart w:id="7" w:name="_Hlk98346128"/>
      <w:r w:rsidRPr="00281E32">
        <w:t xml:space="preserve">nejpozději do </w:t>
      </w:r>
      <w:r w:rsidR="00052330" w:rsidRPr="00281E32">
        <w:rPr>
          <w:b/>
        </w:rPr>
        <w:t>3</w:t>
      </w:r>
      <w:r w:rsidRPr="00281E32">
        <w:t xml:space="preserve"> dnů od doručení této výzvy objednatele zhotoviteli </w:t>
      </w:r>
      <w:r w:rsidR="004F703D" w:rsidRPr="00281E32">
        <w:br/>
      </w:r>
      <w:r w:rsidRPr="00281E32">
        <w:t>k předání a převzetí staveniště</w:t>
      </w:r>
      <w:bookmarkEnd w:id="7"/>
      <w:r w:rsidRPr="00281E32">
        <w:t xml:space="preserve">. Výzvu zasílá zástupce objednatele ve věcech technických. </w:t>
      </w:r>
      <w:r w:rsidR="00D25BE0" w:rsidRPr="00281E32">
        <w:t xml:space="preserve">Tato výzva bude dodavatelem písemně objednateli potvrzena, a to nejpozději následující pracovní den po doručení výzvy </w:t>
      </w:r>
      <w:r w:rsidR="00776C9C" w:rsidRPr="00281E32">
        <w:t>zhotoviteli</w:t>
      </w:r>
      <w:r w:rsidR="00D25BE0" w:rsidRPr="00281E32">
        <w:t xml:space="preserve">. Dodavatel potvrdí výzvu e-mailem na adresu: </w:t>
      </w:r>
      <w:r w:rsidR="00271005" w:rsidRPr="00271005">
        <w:t>xxx</w:t>
      </w:r>
      <w:r w:rsidR="00D25BE0" w:rsidRPr="00281E32">
        <w:t xml:space="preserve">. </w:t>
      </w:r>
      <w:r w:rsidR="00A75816" w:rsidRPr="00281E32">
        <w:t>V případě, že nebude zhotoviteli zaslána výzva k převzetí staveniště ze strany objednatele do </w:t>
      </w:r>
      <w:r w:rsidR="00A75816" w:rsidRPr="00281E32">
        <w:rPr>
          <w:b/>
          <w:bCs/>
        </w:rPr>
        <w:t>3</w:t>
      </w:r>
      <w:r w:rsidR="00D10726">
        <w:rPr>
          <w:b/>
          <w:bCs/>
        </w:rPr>
        <w:t>1</w:t>
      </w:r>
      <w:r w:rsidR="00A75816" w:rsidRPr="00281E32">
        <w:rPr>
          <w:b/>
          <w:bCs/>
        </w:rPr>
        <w:t>.</w:t>
      </w:r>
      <w:r w:rsidR="00B271A9" w:rsidRPr="00281E32">
        <w:rPr>
          <w:b/>
          <w:bCs/>
        </w:rPr>
        <w:t xml:space="preserve"> </w:t>
      </w:r>
      <w:r w:rsidR="00D10726">
        <w:rPr>
          <w:b/>
          <w:bCs/>
        </w:rPr>
        <w:t>05</w:t>
      </w:r>
      <w:r w:rsidR="00A75816" w:rsidRPr="00281E32">
        <w:rPr>
          <w:b/>
          <w:bCs/>
        </w:rPr>
        <w:t>.</w:t>
      </w:r>
      <w:r w:rsidR="00B271A9" w:rsidRPr="00281E32">
        <w:rPr>
          <w:b/>
          <w:bCs/>
        </w:rPr>
        <w:t xml:space="preserve"> </w:t>
      </w:r>
      <w:r w:rsidR="00A75816" w:rsidRPr="00281E32">
        <w:rPr>
          <w:b/>
          <w:bCs/>
        </w:rPr>
        <w:t>202</w:t>
      </w:r>
      <w:r w:rsidR="00D10726">
        <w:rPr>
          <w:b/>
          <w:bCs/>
        </w:rPr>
        <w:t>5</w:t>
      </w:r>
      <w:r w:rsidR="00A75816" w:rsidRPr="00281E32">
        <w:t>, vyhrazuje 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6"/>
    </w:p>
    <w:p w14:paraId="04DB40B6" w14:textId="77777777" w:rsidR="00A75816" w:rsidRPr="0056383D" w:rsidRDefault="00A75816" w:rsidP="00A75816">
      <w:pPr>
        <w:pStyle w:val="KUsmlouva-2rove"/>
        <w:numPr>
          <w:ilvl w:val="1"/>
          <w:numId w:val="13"/>
        </w:numPr>
        <w:spacing w:after="0"/>
        <w:ind w:left="567" w:hanging="567"/>
        <w:contextualSpacing/>
      </w:pPr>
      <w:r w:rsidRPr="0056383D">
        <w:lastRenderedPageBreak/>
        <w:t>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6A4E341F"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55327755" w14:textId="77777777" w:rsidR="00B36834" w:rsidRPr="0075207D" w:rsidRDefault="005B0937" w:rsidP="001C2664">
      <w:pPr>
        <w:pStyle w:val="KUsmlouva-3rove"/>
        <w:numPr>
          <w:ilvl w:val="2"/>
          <w:numId w:val="13"/>
        </w:numPr>
        <w:spacing w:before="120" w:after="0"/>
        <w:contextualSpacing/>
      </w:pPr>
      <w:r w:rsidRPr="008B40AE">
        <w:t>zhotovitel zpracuje a předá objednateli Harmonogram stavby do 7 dnů od předání staveniště</w:t>
      </w:r>
      <w:r w:rsidR="00CA5138">
        <w:t>,</w:t>
      </w:r>
    </w:p>
    <w:p w14:paraId="0C18CB34" w14:textId="77777777" w:rsidR="006F5194" w:rsidRPr="0056383D" w:rsidRDefault="006F5194" w:rsidP="001C2664">
      <w:pPr>
        <w:pStyle w:val="KUsmlouva-3rove"/>
        <w:numPr>
          <w:ilvl w:val="2"/>
          <w:numId w:val="13"/>
        </w:numPr>
        <w:spacing w:before="120" w:after="0"/>
        <w:contextualSpacing/>
      </w:pPr>
      <w:r w:rsidRPr="0075207D">
        <w:t xml:space="preserve">harmonogram </w:t>
      </w:r>
      <w:r w:rsidRPr="0075207D">
        <w:rPr>
          <w:b/>
        </w:rPr>
        <w:t>začíná</w:t>
      </w:r>
      <w:r w:rsidRPr="0056383D">
        <w:t xml:space="preserve"> termínem zahájení doby plnění (předání a </w:t>
      </w:r>
      <w:r w:rsidRPr="0056383D">
        <w:rPr>
          <w:b/>
        </w:rPr>
        <w:t>převzetí staveniště)</w:t>
      </w:r>
      <w:r w:rsidRPr="0056383D">
        <w:t xml:space="preserve"> a </w:t>
      </w:r>
      <w:r w:rsidRPr="0056383D">
        <w:rPr>
          <w:b/>
        </w:rPr>
        <w:t>končí</w:t>
      </w:r>
      <w:r w:rsidRPr="0056383D">
        <w:t xml:space="preserve"> termínem předání a </w:t>
      </w:r>
      <w:r w:rsidRPr="0056383D">
        <w:rPr>
          <w:b/>
        </w:rPr>
        <w:t>převzetí</w:t>
      </w:r>
      <w:r w:rsidRPr="0056383D">
        <w:t xml:space="preserve"> díla včetně lhůty pro vyklizení staveniště,</w:t>
      </w:r>
    </w:p>
    <w:p w14:paraId="2E383CC5" w14:textId="77777777" w:rsidR="006F5194" w:rsidRPr="0056383D" w:rsidRDefault="006F5194" w:rsidP="001C2664">
      <w:pPr>
        <w:pStyle w:val="KUsmlouva-3rove"/>
        <w:numPr>
          <w:ilvl w:val="2"/>
          <w:numId w:val="13"/>
        </w:numPr>
        <w:spacing w:before="120" w:after="0"/>
        <w:contextualSpacing/>
        <w:rPr>
          <w:b/>
        </w:rPr>
      </w:pPr>
      <w:r w:rsidRPr="0056383D">
        <w:rPr>
          <w:bCs/>
        </w:rPr>
        <w:t xml:space="preserve">harmonogram bude </w:t>
      </w:r>
      <w:r w:rsidR="004938A3">
        <w:rPr>
          <w:bCs/>
        </w:rPr>
        <w:t xml:space="preserve">členěn na kalendářní týdny, </w:t>
      </w:r>
      <w:r w:rsidRPr="0056383D">
        <w:rPr>
          <w:b/>
        </w:rPr>
        <w:t xml:space="preserve">dle </w:t>
      </w:r>
      <w:r w:rsidR="0073725E" w:rsidRPr="0056383D">
        <w:rPr>
          <w:b/>
        </w:rPr>
        <w:t>stavebních</w:t>
      </w:r>
      <w:r w:rsidR="004F703D" w:rsidRPr="0056383D">
        <w:rPr>
          <w:b/>
        </w:rPr>
        <w:t xml:space="preserve"> a inženýrských</w:t>
      </w:r>
      <w:r w:rsidR="0073725E" w:rsidRPr="0056383D">
        <w:rPr>
          <w:b/>
        </w:rPr>
        <w:t xml:space="preserve"> objektů</w:t>
      </w:r>
      <w:r w:rsidRPr="0056383D">
        <w:rPr>
          <w:b/>
        </w:rPr>
        <w:t>; v případě požadavku objednatele</w:t>
      </w:r>
      <w:r w:rsidRPr="0056383D">
        <w:t xml:space="preserve"> bude harmonogram dále rozpracován na </w:t>
      </w:r>
      <w:r w:rsidRPr="0056383D">
        <w:rPr>
          <w:b/>
        </w:rPr>
        <w:t>dílčí části a profese</w:t>
      </w:r>
      <w:r w:rsidRPr="0056383D">
        <w:t xml:space="preserve"> s vyznačením termínů montáží a zkoušek, popř. bude dále rozpracován do větších podrobností a bude zahrnovat i související technické a provozní návaznosti, </w:t>
      </w:r>
    </w:p>
    <w:p w14:paraId="3E8011DB" w14:textId="77777777" w:rsidR="006E27EA" w:rsidRPr="006E27EA" w:rsidRDefault="006E27EA" w:rsidP="001C2664">
      <w:pPr>
        <w:pStyle w:val="KUsmlouva-3rove"/>
        <w:numPr>
          <w:ilvl w:val="2"/>
          <w:numId w:val="13"/>
        </w:numPr>
        <w:spacing w:before="120" w:after="0"/>
        <w:contextualSpacing/>
        <w:rPr>
          <w:b/>
        </w:rPr>
      </w:pPr>
      <w:r>
        <w:rPr>
          <w:b/>
        </w:rPr>
        <w:t xml:space="preserve">harmonogram bude zahrnovat </w:t>
      </w:r>
      <w:r w:rsidR="00617D8F">
        <w:rPr>
          <w:b/>
        </w:rPr>
        <w:t>členění na etapy ve vztahu k přístupu do</w:t>
      </w:r>
      <w:r w:rsidR="00617D8F" w:rsidRPr="00617D8F">
        <w:rPr>
          <w:b/>
        </w:rPr>
        <w:t xml:space="preserve"> knihovny pro klienty </w:t>
      </w:r>
      <w:r w:rsidR="00617D8F">
        <w:rPr>
          <w:b/>
        </w:rPr>
        <w:t>a</w:t>
      </w:r>
      <w:r w:rsidR="00617D8F" w:rsidRPr="00617D8F">
        <w:rPr>
          <w:b/>
        </w:rPr>
        <w:t xml:space="preserve"> zaměstnance</w:t>
      </w:r>
      <w:r w:rsidR="00617D8F">
        <w:rPr>
          <w:b/>
        </w:rPr>
        <w:t xml:space="preserve">, ze kterého bude vyplývat, který ze vstupů do knihovny </w:t>
      </w:r>
      <w:proofErr w:type="gramStart"/>
      <w:r w:rsidR="00AD03BC">
        <w:rPr>
          <w:b/>
        </w:rPr>
        <w:t>bude</w:t>
      </w:r>
      <w:proofErr w:type="gramEnd"/>
      <w:r w:rsidR="00617D8F">
        <w:rPr>
          <w:b/>
        </w:rPr>
        <w:t xml:space="preserve"> v jakém období přístupný; po celou dobu provádění díla musí být přístupný alespoň jeden bezpečný vstup do knihovny. Na základě tohoto harmonogramu bude objednatel ve spolupráci se zhotovitelem informovat veřejnost o přístupu do knihovny. Zhotovitel je povinen </w:t>
      </w:r>
      <w:r w:rsidR="00617D8F" w:rsidRPr="00617D8F">
        <w:rPr>
          <w:b/>
        </w:rPr>
        <w:t xml:space="preserve">na vhodném místě u vstupu na staveniště bezprostředně po zahájení </w:t>
      </w:r>
      <w:r w:rsidR="00617D8F">
        <w:rPr>
          <w:b/>
        </w:rPr>
        <w:t xml:space="preserve">provádění díla </w:t>
      </w:r>
      <w:r w:rsidR="00617D8F" w:rsidRPr="00617D8F">
        <w:rPr>
          <w:b/>
        </w:rPr>
        <w:t>umístit informační</w:t>
      </w:r>
      <w:r w:rsidR="00617D8F">
        <w:rPr>
          <w:b/>
        </w:rPr>
        <w:t xml:space="preserve"> plán s vyznačeným přístupem do knihovny, a tento průběžně aktualizovat při každé změně přístupu do knihovny.</w:t>
      </w:r>
    </w:p>
    <w:p w14:paraId="5239D28D"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0F4F5CD1" w14:textId="77777777"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p>
    <w:p w14:paraId="72A87F7C" w14:textId="77777777" w:rsidR="00654D89" w:rsidRPr="00EA071A" w:rsidRDefault="006F5194" w:rsidP="00EA071A">
      <w:pPr>
        <w:pStyle w:val="KUsmlouva-2rove"/>
        <w:numPr>
          <w:ilvl w:val="1"/>
          <w:numId w:val="13"/>
        </w:numPr>
        <w:ind w:left="567" w:hanging="579"/>
        <w:contextualSpacing/>
      </w:pPr>
      <w:r w:rsidRPr="008B40AE">
        <w:t xml:space="preserve">Místem plnění </w:t>
      </w:r>
      <w:r w:rsidR="00EA6FF0">
        <w:t xml:space="preserve">je k. </w:t>
      </w:r>
      <w:proofErr w:type="spellStart"/>
      <w:r w:rsidR="00EA6FF0">
        <w:t>ú.</w:t>
      </w:r>
      <w:proofErr w:type="spellEnd"/>
      <w:r w:rsidR="00EA6FF0">
        <w:t xml:space="preserve"> Kroměříž, </w:t>
      </w:r>
      <w:proofErr w:type="spellStart"/>
      <w:r w:rsidR="00EA6FF0">
        <w:t>parc</w:t>
      </w:r>
      <w:proofErr w:type="spellEnd"/>
      <w:r w:rsidR="00EA6FF0">
        <w:t xml:space="preserve">. č. st. 6226/1; p. č. 3659/3, 979/45, 979/44, 979/42, 979/43, 979/1, 979/12, 981/4; Slovanské nám. 3920, 767 01 Kroměříž. </w:t>
      </w:r>
    </w:p>
    <w:p w14:paraId="452FB5C7"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525D6557" w14:textId="77777777" w:rsidR="006F5194" w:rsidRPr="008B40AE" w:rsidRDefault="006F5194" w:rsidP="001C2664">
      <w:pPr>
        <w:pStyle w:val="KUsmlouva-2rove"/>
        <w:numPr>
          <w:ilvl w:val="1"/>
          <w:numId w:val="13"/>
        </w:numPr>
        <w:spacing w:after="0"/>
        <w:ind w:left="567" w:hanging="567"/>
        <w:contextualSpacing/>
      </w:pPr>
      <w:bookmarkStart w:id="8"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8"/>
    </w:p>
    <w:p w14:paraId="64059079" w14:textId="77777777" w:rsidR="006F5194" w:rsidRPr="008B40AE" w:rsidRDefault="006F5194" w:rsidP="001C2664">
      <w:pPr>
        <w:pStyle w:val="KUsmlouva-2rove"/>
        <w:numPr>
          <w:ilvl w:val="1"/>
          <w:numId w:val="13"/>
        </w:numPr>
        <w:spacing w:after="0"/>
        <w:ind w:left="567" w:hanging="567"/>
        <w:contextualSpacing/>
        <w:rPr>
          <w:b/>
        </w:rPr>
      </w:pPr>
      <w:bookmarkStart w:id="9"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9"/>
    </w:p>
    <w:p w14:paraId="448451F1" w14:textId="77777777" w:rsidR="006F5194" w:rsidRPr="00595A34" w:rsidRDefault="00403C8A" w:rsidP="00654D89">
      <w:pPr>
        <w:spacing w:before="120"/>
        <w:ind w:left="709" w:firstLine="709"/>
        <w:contextualSpacing/>
        <w:rPr>
          <w:rStyle w:val="KUTun"/>
          <w:rFonts w:ascii="Arial" w:hAnsi="Arial" w:cs="Arial"/>
          <w:sz w:val="22"/>
        </w:rPr>
      </w:pPr>
      <w:r w:rsidRPr="00595A34">
        <w:rPr>
          <w:rStyle w:val="KUTun"/>
          <w:rFonts w:ascii="Arial" w:hAnsi="Arial" w:cs="Arial"/>
          <w:sz w:val="22"/>
        </w:rPr>
        <w:t>18.390.000</w:t>
      </w:r>
      <w:r w:rsidR="006F5194" w:rsidRPr="00595A34">
        <w:rPr>
          <w:rStyle w:val="KUTun"/>
          <w:rFonts w:ascii="Arial" w:hAnsi="Arial" w:cs="Arial"/>
          <w:sz w:val="22"/>
        </w:rPr>
        <w:t>,- Kč (bez DPH)</w:t>
      </w:r>
    </w:p>
    <w:p w14:paraId="2348582E" w14:textId="77777777" w:rsidR="00E172EB" w:rsidRPr="00595A34" w:rsidRDefault="006F5194" w:rsidP="00403C8A">
      <w:pPr>
        <w:spacing w:before="120"/>
        <w:ind w:left="709" w:firstLine="709"/>
        <w:contextualSpacing/>
        <w:rPr>
          <w:rStyle w:val="KUTun"/>
          <w:rFonts w:ascii="Arial" w:hAnsi="Arial" w:cs="Arial"/>
        </w:rPr>
      </w:pPr>
      <w:r w:rsidRPr="00595A34">
        <w:rPr>
          <w:rStyle w:val="KUTun"/>
          <w:rFonts w:ascii="Arial" w:hAnsi="Arial" w:cs="Arial"/>
        </w:rPr>
        <w:t xml:space="preserve">(slovy: </w:t>
      </w:r>
      <w:r w:rsidR="00403C8A" w:rsidRPr="00595A34">
        <w:rPr>
          <w:rStyle w:val="KUTun"/>
          <w:rFonts w:ascii="Arial" w:hAnsi="Arial" w:cs="Arial"/>
        </w:rPr>
        <w:t xml:space="preserve">osmnáct miliónů tři sta devadesát tisíc </w:t>
      </w:r>
      <w:r w:rsidRPr="00595A34">
        <w:rPr>
          <w:rStyle w:val="KUTun"/>
          <w:rFonts w:ascii="Arial" w:hAnsi="Arial" w:cs="Arial"/>
        </w:rPr>
        <w:t>korun českých)</w:t>
      </w:r>
    </w:p>
    <w:p w14:paraId="296B9715" w14:textId="77777777" w:rsidR="004B59FF" w:rsidRPr="00595A34" w:rsidRDefault="004B59FF" w:rsidP="006C3EFA">
      <w:pPr>
        <w:spacing w:before="120"/>
        <w:ind w:left="1418"/>
        <w:contextualSpacing/>
        <w:rPr>
          <w:rStyle w:val="KUTun"/>
          <w:rFonts w:ascii="Arial" w:hAnsi="Arial" w:cs="Arial"/>
          <w:sz w:val="22"/>
        </w:rPr>
      </w:pPr>
    </w:p>
    <w:p w14:paraId="1F8FC737" w14:textId="77777777" w:rsidR="006C3EFA" w:rsidRPr="00595A34" w:rsidRDefault="00403C8A" w:rsidP="00403C8A">
      <w:pPr>
        <w:spacing w:before="120"/>
        <w:ind w:left="1418"/>
        <w:contextualSpacing/>
        <w:rPr>
          <w:rStyle w:val="KUTun"/>
          <w:rFonts w:ascii="Arial" w:hAnsi="Arial" w:cs="Arial"/>
          <w:sz w:val="22"/>
        </w:rPr>
      </w:pPr>
      <w:r w:rsidRPr="00595A34">
        <w:rPr>
          <w:rStyle w:val="KUTun"/>
          <w:rFonts w:ascii="Arial" w:hAnsi="Arial" w:cs="Arial"/>
          <w:sz w:val="22"/>
        </w:rPr>
        <w:t>3.861.900</w:t>
      </w:r>
      <w:r w:rsidR="006C3EFA" w:rsidRPr="00595A34">
        <w:rPr>
          <w:rStyle w:val="KUTun"/>
          <w:rFonts w:ascii="Arial" w:hAnsi="Arial" w:cs="Arial"/>
          <w:sz w:val="22"/>
        </w:rPr>
        <w:t>,- Kč DPH 21 %</w:t>
      </w:r>
    </w:p>
    <w:p w14:paraId="69DA4080" w14:textId="77777777" w:rsidR="00E172EB" w:rsidRPr="00595A34" w:rsidRDefault="00E172EB" w:rsidP="00654D89">
      <w:pPr>
        <w:spacing w:before="120"/>
        <w:ind w:left="709" w:firstLine="709"/>
        <w:contextualSpacing/>
        <w:rPr>
          <w:rStyle w:val="KUTun"/>
          <w:rFonts w:ascii="Arial" w:hAnsi="Arial" w:cs="Arial"/>
          <w:sz w:val="22"/>
        </w:rPr>
      </w:pPr>
    </w:p>
    <w:p w14:paraId="74E95F30" w14:textId="77777777" w:rsidR="006F5194" w:rsidRPr="00595A34" w:rsidRDefault="00403C8A" w:rsidP="00654D89">
      <w:pPr>
        <w:spacing w:before="120"/>
        <w:ind w:left="709" w:firstLine="709"/>
        <w:contextualSpacing/>
        <w:rPr>
          <w:rStyle w:val="KUTun"/>
          <w:rFonts w:ascii="Arial" w:hAnsi="Arial" w:cs="Arial"/>
          <w:sz w:val="22"/>
        </w:rPr>
      </w:pPr>
      <w:r w:rsidRPr="00595A34">
        <w:rPr>
          <w:rStyle w:val="KUTun"/>
          <w:rFonts w:ascii="Arial" w:hAnsi="Arial" w:cs="Arial"/>
          <w:sz w:val="22"/>
        </w:rPr>
        <w:t>22.251.900</w:t>
      </w:r>
      <w:r w:rsidR="006F5194" w:rsidRPr="00595A34">
        <w:rPr>
          <w:rStyle w:val="KUTun"/>
          <w:rFonts w:ascii="Arial" w:hAnsi="Arial" w:cs="Arial"/>
          <w:sz w:val="22"/>
        </w:rPr>
        <w:t>,- Kč (včetně DPH)</w:t>
      </w:r>
    </w:p>
    <w:p w14:paraId="37F5BBD5" w14:textId="77777777" w:rsidR="006F5194" w:rsidRPr="00595A34" w:rsidRDefault="006F5194" w:rsidP="00654D89">
      <w:pPr>
        <w:spacing w:before="120"/>
        <w:ind w:left="709" w:firstLine="709"/>
        <w:contextualSpacing/>
        <w:rPr>
          <w:rStyle w:val="KUTun"/>
          <w:rFonts w:ascii="Arial" w:hAnsi="Arial"/>
        </w:rPr>
      </w:pPr>
      <w:r w:rsidRPr="00595A34">
        <w:rPr>
          <w:rStyle w:val="KUTun"/>
          <w:rFonts w:ascii="Arial" w:hAnsi="Arial" w:cs="Arial"/>
        </w:rPr>
        <w:t>(slovy: </w:t>
      </w:r>
      <w:r w:rsidR="00595A34" w:rsidRPr="00595A34">
        <w:rPr>
          <w:rStyle w:val="KUTun"/>
          <w:rFonts w:ascii="Arial" w:hAnsi="Arial" w:cs="Arial"/>
        </w:rPr>
        <w:t>dvacet dva miliónů dvě stě padesát jedna tisíc devět set</w:t>
      </w:r>
      <w:r w:rsidRPr="00595A34">
        <w:rPr>
          <w:rStyle w:val="KUTun"/>
          <w:rFonts w:ascii="Arial" w:hAnsi="Arial" w:cs="Arial"/>
        </w:rPr>
        <w:t xml:space="preserve"> korun českých)</w:t>
      </w:r>
    </w:p>
    <w:p w14:paraId="6933BCE8" w14:textId="77777777" w:rsidR="006F5194" w:rsidRPr="00C673CD" w:rsidRDefault="006F5194" w:rsidP="00654D89">
      <w:pPr>
        <w:pStyle w:val="Textvbloku"/>
        <w:spacing w:before="120" w:after="0"/>
        <w:ind w:right="-91"/>
        <w:contextualSpacing/>
        <w:jc w:val="center"/>
        <w:rPr>
          <w:rFonts w:cs="Arial"/>
          <w:sz w:val="18"/>
        </w:rPr>
      </w:pPr>
    </w:p>
    <w:p w14:paraId="00E30B05"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w:t>
      </w:r>
      <w:r w:rsidRPr="008B40AE">
        <w:lastRenderedPageBreak/>
        <w:t xml:space="preserve">přičitatelné zhotoviteli, nemají vliv na smluvní cenu díla, na rozsah díla ani na další ujednání smluvních stran v této smlouvě. </w:t>
      </w:r>
    </w:p>
    <w:p w14:paraId="212A6029"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71B7D837"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34EE9AB9"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40B27A4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1A0901A8"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66914F0A" w14:textId="77777777" w:rsidR="00650BEA" w:rsidRPr="00EA071A" w:rsidRDefault="00650BEA" w:rsidP="00650BEA">
      <w:pPr>
        <w:pStyle w:val="KUsmlouva-2rove"/>
        <w:numPr>
          <w:ilvl w:val="0"/>
          <w:numId w:val="0"/>
        </w:numPr>
        <w:spacing w:before="0" w:after="0"/>
        <w:ind w:left="567"/>
        <w:contextualSpacing/>
      </w:pPr>
    </w:p>
    <w:p w14:paraId="6F9217A2"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52A19C5C"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1CF84EAA" w14:textId="77777777"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Pr="008B40AE">
        <w:t xml:space="preserve">č. 235/2004 Sb., o dani z přidané hodnoty, </w:t>
      </w:r>
      <w:r w:rsidR="007060A7">
        <w:br/>
      </w:r>
      <w:r w:rsidRPr="008B40AE">
        <w:t>ve znění pozdějších předpisů (dále jen „zákon o DPH“), na hrazení ceny za dílo postupně (dílč</w:t>
      </w:r>
      <w:r w:rsidR="000C6357">
        <w:t xml:space="preserve">í </w:t>
      </w:r>
      <w:r w:rsidRPr="008B40AE">
        <w:t>plnění) na základě dílčích daňových dokladů (faktur).</w:t>
      </w:r>
    </w:p>
    <w:p w14:paraId="7CEE900B" w14:textId="77777777"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6718F05A" w14:textId="77777777" w:rsidR="00CA18F9" w:rsidRPr="003E0BBA" w:rsidRDefault="003950F2" w:rsidP="00003EF8">
      <w:pPr>
        <w:pStyle w:val="KUsmlouva-2rove"/>
        <w:numPr>
          <w:ilvl w:val="1"/>
          <w:numId w:val="13"/>
        </w:numPr>
        <w:spacing w:after="0"/>
        <w:ind w:left="567" w:hanging="567"/>
        <w:contextualSpacing/>
      </w:pPr>
      <w:r w:rsidRPr="003E0BBA">
        <w:t xml:space="preserve">Soupis provedených stavebních prací, dodávek a služeb bude dokládán </w:t>
      </w:r>
      <w:r w:rsidR="003F56B3" w:rsidRPr="003E0BBA">
        <w:t xml:space="preserve">v součinnosti s objednatelem </w:t>
      </w:r>
      <w:r w:rsidRPr="003E0BBA">
        <w:t xml:space="preserve">v členění dle předloženého položkového rozpočtu v souladu s podmínkami dotačního programu </w:t>
      </w:r>
      <w:r w:rsidR="00765F67" w:rsidRPr="003E0BBA">
        <w:t xml:space="preserve">Integrovaného regionálního operačního programu </w:t>
      </w:r>
      <w:r w:rsidR="00EA071A" w:rsidRPr="003E0BBA">
        <w:t>2021–2027</w:t>
      </w:r>
      <w:r w:rsidR="00765F67" w:rsidRPr="003E0BBA">
        <w:t xml:space="preserve">, </w:t>
      </w:r>
      <w:r w:rsidR="00EA6FF0">
        <w:t>63</w:t>
      </w:r>
      <w:r w:rsidR="00765F67" w:rsidRPr="003E0BBA">
        <w:t xml:space="preserve">. výzva IROP </w:t>
      </w:r>
      <w:r w:rsidR="00EA6FF0">
        <w:t>–</w:t>
      </w:r>
      <w:r w:rsidR="00765F67" w:rsidRPr="003E0BBA">
        <w:t xml:space="preserve"> </w:t>
      </w:r>
      <w:proofErr w:type="gramStart"/>
      <w:r w:rsidR="00EA6FF0">
        <w:t>Zelená</w:t>
      </w:r>
      <w:proofErr w:type="gramEnd"/>
      <w:r w:rsidR="00EA6FF0">
        <w:t xml:space="preserve"> infrastruktura – SC 2.2</w:t>
      </w:r>
      <w:r w:rsidR="00765F67" w:rsidRPr="003E0BBA">
        <w:t xml:space="preserve"> (MRR)</w:t>
      </w:r>
      <w:r w:rsidR="003E0BBA">
        <w:t xml:space="preserve">. </w:t>
      </w:r>
      <w:r w:rsidR="003E0BBA" w:rsidRPr="003E0BBA">
        <w:t xml:space="preserve">Objednatel má právo požadovat po </w:t>
      </w:r>
      <w:r w:rsidR="003E0BBA">
        <w:t>z</w:t>
      </w:r>
      <w:r w:rsidR="003E0BBA" w:rsidRPr="003E0BBA">
        <w:t xml:space="preserve">hotoviteli fakturaci některých výdajů oddělenou fakturou, nebo jejich odlišení na jedné faktuře, z důvodu rozlišení </w:t>
      </w:r>
      <w:r w:rsidR="003E0BBA" w:rsidRPr="00C127F2">
        <w:t>způsobilých a nezpůsobilých</w:t>
      </w:r>
      <w:r w:rsidR="003E0BBA" w:rsidRPr="003E0BBA">
        <w:t xml:space="preserve"> výdajů projektu, rozdělení ceny díla na části z důvodu financování, nebo jiných relevantních důvodů, a to nejpozději při schvalování měsíčního vyúčtování</w:t>
      </w:r>
      <w:r w:rsidR="00787889">
        <w:t>.</w:t>
      </w:r>
    </w:p>
    <w:p w14:paraId="42C99E5D" w14:textId="77777777" w:rsidR="006F5194" w:rsidRPr="00CA5138" w:rsidRDefault="006F5194" w:rsidP="001C2664">
      <w:pPr>
        <w:pStyle w:val="KUsmlouva-2rove"/>
        <w:numPr>
          <w:ilvl w:val="1"/>
          <w:numId w:val="13"/>
        </w:numPr>
        <w:spacing w:after="0"/>
        <w:ind w:left="567" w:hanging="567"/>
        <w:contextualSpacing/>
      </w:pPr>
      <w:r w:rsidRPr="00CA5138">
        <w:t>Datem zdanitelného plnění je poslední den příslušného měsíce.</w:t>
      </w:r>
    </w:p>
    <w:p w14:paraId="4BCD1E51" w14:textId="77777777" w:rsidR="006F5194" w:rsidRPr="008E6EC0" w:rsidRDefault="006F5194" w:rsidP="00003EF8">
      <w:pPr>
        <w:pStyle w:val="KUsmlouva-2rove"/>
        <w:numPr>
          <w:ilvl w:val="1"/>
          <w:numId w:val="13"/>
        </w:numPr>
        <w:spacing w:after="0"/>
        <w:ind w:left="567" w:hanging="567"/>
        <w:contextualSpacing/>
      </w:pPr>
      <w:r w:rsidRPr="008E6EC0">
        <w:t>Faktura musí mít náležitosti daňového dokladu podle zákona o DPH</w:t>
      </w:r>
      <w:r w:rsidR="00990164" w:rsidRPr="008E6EC0">
        <w:t xml:space="preserve"> a každá vystavená faktura musí být označena </w:t>
      </w:r>
      <w:r w:rsidR="003950F2" w:rsidRPr="008E6EC0">
        <w:t>číslem a názvem projektu: „</w:t>
      </w:r>
      <w:r w:rsidR="008E6EC0" w:rsidRPr="008E6EC0">
        <w:rPr>
          <w:b/>
        </w:rPr>
        <w:t xml:space="preserve">Úprava </w:t>
      </w:r>
      <w:proofErr w:type="spellStart"/>
      <w:r w:rsidR="008E6EC0" w:rsidRPr="008E6EC0">
        <w:rPr>
          <w:b/>
        </w:rPr>
        <w:t>předprostoru</w:t>
      </w:r>
      <w:proofErr w:type="spellEnd"/>
      <w:r w:rsidR="008E6EC0" w:rsidRPr="008E6EC0">
        <w:rPr>
          <w:b/>
        </w:rPr>
        <w:t xml:space="preserve"> Knihovny Kroměřížska</w:t>
      </w:r>
      <w:r w:rsidR="008E6EC0" w:rsidRPr="008E6EC0">
        <w:t xml:space="preserve">“, </w:t>
      </w:r>
      <w:proofErr w:type="spellStart"/>
      <w:r w:rsidR="008E6EC0" w:rsidRPr="008E6EC0">
        <w:t>reg</w:t>
      </w:r>
      <w:proofErr w:type="spellEnd"/>
      <w:r w:rsidR="008E6EC0" w:rsidRPr="008E6EC0">
        <w:t>. č. CZ.06.02.02/00/22_063/0003992</w:t>
      </w:r>
      <w:r w:rsidR="003950F2" w:rsidRPr="008E6EC0">
        <w:t>).</w:t>
      </w:r>
    </w:p>
    <w:p w14:paraId="1710DCAD" w14:textId="77777777" w:rsidR="008E6EC0" w:rsidRDefault="00760054" w:rsidP="00150E18">
      <w:pPr>
        <w:pStyle w:val="KUsmlouva-2rove"/>
        <w:numPr>
          <w:ilvl w:val="1"/>
          <w:numId w:val="13"/>
        </w:numPr>
        <w:spacing w:after="0"/>
        <w:ind w:left="567" w:hanging="567"/>
        <w:contextualSpacing/>
      </w:pPr>
      <w:r>
        <w:t xml:space="preserve">Faktura včetně všech příloh bude vyhotovena ve 2 vyhotoveních s platností originálu. </w:t>
      </w:r>
    </w:p>
    <w:p w14:paraId="7CEE84C1" w14:textId="77777777"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6567CAE2" w14:textId="77777777" w:rsidR="006F5194" w:rsidRPr="008B40AE" w:rsidRDefault="006F5194" w:rsidP="001C2664">
      <w:pPr>
        <w:pStyle w:val="KUsmlouva-3rove"/>
        <w:numPr>
          <w:ilvl w:val="2"/>
          <w:numId w:val="13"/>
        </w:numPr>
        <w:spacing w:before="120" w:after="0"/>
        <w:contextualSpacing/>
        <w:rPr>
          <w:b/>
        </w:rPr>
      </w:pPr>
      <w:r w:rsidRPr="008B40AE">
        <w:t xml:space="preserve">Přílohou faktury musí být odsouhlasený soupis provedených stavebních prací, dodávek a služeb podepsaný TDS a zjišťovací protokol, u závěrečné faktury pak i protokol </w:t>
      </w:r>
      <w:r w:rsidR="00C200B8" w:rsidRPr="008B40AE">
        <w:t>stavbyvedoucí</w:t>
      </w:r>
      <w:r w:rsidR="008C7110" w:rsidRPr="008B40AE">
        <w:t>h</w:t>
      </w:r>
      <w:r w:rsidRPr="008B40AE">
        <w:t>o</w:t>
      </w:r>
      <w:r w:rsidR="008C7110" w:rsidRPr="008B40AE">
        <w:t xml:space="preserve"> o</w:t>
      </w:r>
      <w:r w:rsidRPr="008B40AE">
        <w:t> předání a převzetí díla a seznam všech dosud vystavených faktur. Faktury budou před jejich úhradou odsouhlaseny TDS.</w:t>
      </w:r>
    </w:p>
    <w:p w14:paraId="59DF3A29" w14:textId="77777777"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63C70C9C" w14:textId="77777777"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 xml:space="preserve">s touto </w:t>
      </w:r>
      <w:r w:rsidR="009C1D00">
        <w:lastRenderedPageBreak/>
        <w:t>smlouvou</w:t>
      </w:r>
      <w:r w:rsidR="00DC4249" w:rsidRPr="00DC4249">
        <w:t>, považuje se soupis za odsouhlasený ze strany objednatele a zhotovitel je oprávněn v soupisu uvedené práce vyfakturovat.</w:t>
      </w:r>
    </w:p>
    <w:p w14:paraId="663BB514" w14:textId="77777777"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1B9EBC80" w14:textId="77777777"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33B2341F"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568656E3" w14:textId="5211F59F"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fldChar w:fldCharType="begin"/>
      </w:r>
      <w:r w:rsidR="00A11005">
        <w:instrText xml:space="preserve"> REF _Ref319914761 \r \h </w:instrText>
      </w:r>
      <w:r w:rsidR="00A11005">
        <w:fldChar w:fldCharType="separate"/>
      </w:r>
      <w:r w:rsidR="00AB4EFA">
        <w:t>19</w:t>
      </w:r>
      <w:r w:rsidR="00A11005">
        <w:fldChar w:fldCharType="end"/>
      </w:r>
      <w:r w:rsidRPr="003D75BD">
        <w:t xml:space="preserve"> této smlouvy.</w:t>
      </w:r>
    </w:p>
    <w:p w14:paraId="7AC02332"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 je součástí faktury. Bez tohoto soupisu je faktura neúplná.</w:t>
      </w:r>
    </w:p>
    <w:p w14:paraId="3813221C"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51106A35"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3D75BD">
        <w:rPr>
          <w:b/>
        </w:rPr>
        <w:t>1</w:t>
      </w:r>
      <w:r w:rsidR="00D40150" w:rsidRPr="003D75BD">
        <w:rPr>
          <w:b/>
        </w:rPr>
        <w:t>3</w:t>
      </w:r>
      <w:r w:rsidRPr="003D75BD">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7DC74B84" w14:textId="77777777" w:rsidR="006F5194" w:rsidRPr="008B40AE" w:rsidRDefault="006F5194" w:rsidP="001C2664">
      <w:pPr>
        <w:pStyle w:val="KUsmlouva-3rove"/>
        <w:numPr>
          <w:ilvl w:val="2"/>
          <w:numId w:val="13"/>
        </w:numPr>
        <w:spacing w:before="120" w:after="0"/>
        <w:contextualSpacing/>
        <w:rPr>
          <w:b/>
        </w:rPr>
      </w:pPr>
      <w:bookmarkStart w:id="10" w:name="_Ref319915947"/>
      <w:r w:rsidRPr="003D75BD">
        <w:t xml:space="preserve">Splatnost faktur je </w:t>
      </w:r>
      <w:r w:rsidRPr="003D75BD">
        <w:rPr>
          <w:b/>
        </w:rPr>
        <w:t>30 dnů</w:t>
      </w:r>
      <w:r w:rsidRPr="003D75BD">
        <w:t xml:space="preserve"> ode dne jejich prokazatelného doručení do sídla objednatele.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10"/>
      <w:r w:rsidRPr="008B40AE">
        <w:rPr>
          <w:bCs/>
        </w:rPr>
        <w:t xml:space="preserve"> </w:t>
      </w:r>
    </w:p>
    <w:p w14:paraId="61A9061B" w14:textId="6398230F"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odst. </w:t>
      </w:r>
      <w:r w:rsidRPr="008B40AE">
        <w:fldChar w:fldCharType="begin"/>
      </w:r>
      <w:r w:rsidRPr="003D75BD">
        <w:instrText xml:space="preserve"> REF _Ref319915947 \r \h  \* MERGEFORMAT </w:instrText>
      </w:r>
      <w:r w:rsidRPr="008B40AE">
        <w:fldChar w:fldCharType="separate"/>
      </w:r>
      <w:r w:rsidR="00AB4EFA">
        <w:t>7.10.2</w:t>
      </w:r>
      <w:r w:rsidRPr="008B40AE">
        <w:fldChar w:fldCharType="end"/>
      </w:r>
      <w:bookmarkStart w:id="11" w:name="_Toc527338581"/>
      <w:r w:rsidRPr="008B40AE">
        <w:t>. Zhotovitel bere na vědomí, že v případě oprávněného vrácení faktury nemá nárok na úrok z prodlení dle čl.</w:t>
      </w:r>
      <w:bookmarkEnd w:id="11"/>
      <w:r w:rsidR="00A11005">
        <w:fldChar w:fldCharType="begin"/>
      </w:r>
      <w:r w:rsidR="00A11005">
        <w:instrText xml:space="preserve"> REF _Ref372283607 \r \h </w:instrText>
      </w:r>
      <w:r w:rsidR="00A11005">
        <w:fldChar w:fldCharType="separate"/>
      </w:r>
      <w:r w:rsidR="00AB4EFA">
        <w:t>17</w:t>
      </w:r>
      <w:r w:rsidR="00A11005">
        <w:fldChar w:fldCharType="end"/>
      </w:r>
      <w:r w:rsidR="00655C19">
        <w:t>.</w:t>
      </w:r>
      <w:r w:rsidRPr="008B40AE">
        <w:t xml:space="preserve"> této smlouvy.</w:t>
      </w:r>
    </w:p>
    <w:p w14:paraId="2C5C1D1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64D4C8AE"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5223A66F"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3CB4C764" w14:textId="77777777" w:rsidR="006F5194" w:rsidRPr="003D75BD"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díla.</w:t>
      </w:r>
    </w:p>
    <w:p w14:paraId="7E5223B6" w14:textId="77777777" w:rsidR="006F5194" w:rsidRPr="003D75BD" w:rsidRDefault="006F5194" w:rsidP="00FB2C12">
      <w:pPr>
        <w:pStyle w:val="KUsmlouva-2rove"/>
        <w:numPr>
          <w:ilvl w:val="1"/>
          <w:numId w:val="13"/>
        </w:numPr>
        <w:spacing w:after="0"/>
        <w:ind w:left="567" w:hanging="567"/>
        <w:contextualSpacing/>
        <w:rPr>
          <w:rStyle w:val="KUTun"/>
        </w:rPr>
      </w:pPr>
      <w:bookmarkStart w:id="12" w:name="_Ref372784714"/>
      <w:r w:rsidRPr="003D75BD">
        <w:rPr>
          <w:rStyle w:val="KUTun"/>
        </w:rPr>
        <w:t>Bankovní záruky:</w:t>
      </w:r>
      <w:bookmarkEnd w:id="12"/>
    </w:p>
    <w:p w14:paraId="3030FBE6" w14:textId="77777777" w:rsidR="006F5194" w:rsidRPr="00B271A9" w:rsidRDefault="006F5194" w:rsidP="001C2664">
      <w:pPr>
        <w:pStyle w:val="KUsmlouva-3rove"/>
        <w:numPr>
          <w:ilvl w:val="2"/>
          <w:numId w:val="13"/>
        </w:numPr>
        <w:spacing w:before="120" w:after="0"/>
        <w:contextualSpacing/>
      </w:pPr>
      <w:bookmarkStart w:id="13" w:name="_Ref26966017"/>
      <w:r w:rsidRPr="003D75BD">
        <w:t xml:space="preserve">Objednatel požaduje a zhotovitel je povinen nejpozději </w:t>
      </w:r>
      <w:r w:rsidR="008B11B3">
        <w:t>ke dni protokolárního převzetí staveniště</w:t>
      </w:r>
      <w:r w:rsidRPr="003D75BD">
        <w:t xml:space="preserve"> předložit bankovní záruku ve smyslu § 2029 a n. občanského zákoníku originál záruční listiny vystavený bankovním ústavem se sídlem nebo pobočkou v </w:t>
      </w:r>
      <w:r w:rsidR="00FA53EC" w:rsidRPr="003D75BD">
        <w:t>ČR – ve</w:t>
      </w:r>
      <w:r w:rsidRPr="003D75BD">
        <w:t xml:space="preserve"> výši </w:t>
      </w:r>
      <w:r w:rsidRPr="00411B78">
        <w:t>min. </w:t>
      </w:r>
      <w:r w:rsidR="00AD03BC" w:rsidRPr="00411B78">
        <w:rPr>
          <w:b/>
        </w:rPr>
        <w:t>1</w:t>
      </w:r>
      <w:r w:rsidR="009502DC" w:rsidRPr="00411B78">
        <w:rPr>
          <w:b/>
        </w:rPr>
        <w:t>.</w:t>
      </w:r>
      <w:r w:rsidR="00AD03BC" w:rsidRPr="00411B78">
        <w:rPr>
          <w:b/>
        </w:rPr>
        <w:t>500</w:t>
      </w:r>
      <w:r w:rsidR="00FB2C12" w:rsidRPr="00411B78">
        <w:rPr>
          <w:b/>
        </w:rPr>
        <w:t>.000,- K</w:t>
      </w:r>
      <w:r w:rsidRPr="00411B78">
        <w:rPr>
          <w:b/>
        </w:rPr>
        <w:t>č.</w:t>
      </w:r>
      <w:r w:rsidRPr="003D75BD">
        <w:t xml:space="preserve"> Bankovní záruka bude krýt finanční nároky objednatele za zhotovitelem, které vzniknou objednateli </w:t>
      </w:r>
      <w:r w:rsidRPr="003D75BD">
        <w:rPr>
          <w:b/>
        </w:rPr>
        <w:t>z důvodu porušení povinností zhotovitele týkajících se řádného provádění díla v předepsané kvalitě a smluvené době plnění,</w:t>
      </w:r>
      <w:r w:rsidRPr="003D75BD">
        <w:t xml:space="preserve"> které zhotovitel nesplnil ani po předchozí výzvě objednatele. </w:t>
      </w:r>
      <w:r w:rsidRPr="003D75BD">
        <w:rPr>
          <w:snapToGrid w:val="0"/>
        </w:rPr>
        <w:t xml:space="preserve">Z této bankovní záruky musí vyplývat právo objednatele čerpat finanční prostředky v případě porušení povinností </w:t>
      </w:r>
      <w:r w:rsidRPr="003D75BD">
        <w:rPr>
          <w:snapToGrid w:val="0"/>
        </w:rPr>
        <w:lastRenderedPageBreak/>
        <w:t>zhotovitele v průběhu</w:t>
      </w:r>
      <w:r w:rsidRPr="003D75BD">
        <w:t xml:space="preserve"> provádění díla. Bankovní záruka musí být účinná do termínu dokončení (předání a převzetí) díla</w:t>
      </w:r>
      <w:r w:rsidRPr="003D75BD">
        <w:rPr>
          <w:snapToGrid w:val="0"/>
        </w:rPr>
        <w:t xml:space="preserve"> a bude z</w:t>
      </w:r>
      <w:r w:rsidRPr="003D75BD">
        <w:t>hotoviteli vrácena (uvolněna) po podpisu protokolu o převzetí oběma smluvními stranami a současně po předložení bankovní záruky za splnění povinností zhotovitelem ze záruky za jakost. Bankovní záruka musí být neodvolatelná, bezpodmínečná, vyplatitelná na první požadavek objednatele bez toho, aby banka zkoumala důvody požadovaného čerpání.</w:t>
      </w:r>
      <w:r w:rsidRPr="003D75BD">
        <w:rPr>
          <w:i/>
        </w:rPr>
        <w:t xml:space="preserve"> </w:t>
      </w:r>
      <w:r w:rsidRPr="003D75BD">
        <w:rPr>
          <w:snapToGrid w:val="0"/>
        </w:rPr>
        <w:t>Pokud zhotovitel tuto bankovní záruku ve sjednané výši a ve sjednané lhůtě nepředloží, bude to považováno za podstatné porušení smlouvy a objednatel má právo od této smlouvy o dílo odstoupit.</w:t>
      </w:r>
      <w:bookmarkEnd w:id="13"/>
    </w:p>
    <w:p w14:paraId="623C66EB" w14:textId="500747DF" w:rsidR="00FE6032" w:rsidRPr="003D75BD" w:rsidRDefault="004D36B3" w:rsidP="001C2664">
      <w:pPr>
        <w:pStyle w:val="KUsmlouva-3rove"/>
        <w:numPr>
          <w:ilvl w:val="2"/>
          <w:numId w:val="13"/>
        </w:numPr>
        <w:spacing w:before="120" w:after="0"/>
        <w:contextualSpacing/>
      </w:pPr>
      <w:r>
        <w:t xml:space="preserve">Objednatel požaduje a zhotovitel je povinen </w:t>
      </w:r>
      <w:r w:rsidR="00B47577">
        <w:t xml:space="preserve">nejpozději </w:t>
      </w:r>
      <w:r>
        <w:t xml:space="preserve">před podpisem smlouvy předložit originál závazného příslibu banky k poskytnutí bankovní záruky specifikované v čl. </w:t>
      </w:r>
      <w:r>
        <w:fldChar w:fldCharType="begin"/>
      </w:r>
      <w:r>
        <w:instrText xml:space="preserve"> REF _Ref26966017 \r \h </w:instrText>
      </w:r>
      <w:r>
        <w:fldChar w:fldCharType="separate"/>
      </w:r>
      <w:r w:rsidR="00AB4EFA">
        <w:t>7.12.1</w:t>
      </w:r>
      <w:r>
        <w:fldChar w:fldCharType="end"/>
      </w:r>
      <w:r>
        <w:t>.</w:t>
      </w:r>
      <w:r w:rsidR="00D4421B" w:rsidRPr="00D4421B">
        <w:t xml:space="preserve"> </w:t>
      </w:r>
      <w:r w:rsidR="00D4421B" w:rsidRPr="000049A5">
        <w:t>nebo přímo originál bankovní záruky specifikované v předchozím odstavci této smlouvy</w:t>
      </w:r>
      <w:r w:rsidR="00C8669F" w:rsidRPr="000049A5">
        <w:t>.</w:t>
      </w:r>
    </w:p>
    <w:p w14:paraId="42452056" w14:textId="77777777" w:rsidR="006F5194" w:rsidRPr="003D75BD" w:rsidRDefault="006F5194" w:rsidP="001C2664">
      <w:pPr>
        <w:pStyle w:val="KUsmlouva-3rove"/>
        <w:numPr>
          <w:ilvl w:val="2"/>
          <w:numId w:val="13"/>
        </w:numPr>
        <w:spacing w:before="120" w:after="0"/>
        <w:contextualSpacing/>
        <w:rPr>
          <w:b/>
        </w:rPr>
      </w:pPr>
      <w:bookmarkStart w:id="14" w:name="_Ref61604798"/>
      <w:r w:rsidRPr="003D75BD">
        <w:rPr>
          <w:snapToGrid w:val="0"/>
        </w:rPr>
        <w:t xml:space="preserve">K zajištění splnění závazků zhotovitele vyplývajících z poskytnuté záruky za jakost zhotovitel předá objednateli bankovní záruku ve smyslu § 2029 a n. občanského zákoníku ve </w:t>
      </w:r>
      <w:r w:rsidRPr="00411B78">
        <w:rPr>
          <w:snapToGrid w:val="0"/>
        </w:rPr>
        <w:t>výši </w:t>
      </w:r>
      <w:r w:rsidR="00AD03BC" w:rsidRPr="00411B78">
        <w:rPr>
          <w:b/>
          <w:snapToGrid w:val="0"/>
        </w:rPr>
        <w:t>1</w:t>
      </w:r>
      <w:r w:rsidR="000830AB" w:rsidRPr="00411B78">
        <w:rPr>
          <w:b/>
        </w:rPr>
        <w:t>.</w:t>
      </w:r>
      <w:r w:rsidR="00AD03BC" w:rsidRPr="00411B78">
        <w:rPr>
          <w:b/>
        </w:rPr>
        <w:t>500</w:t>
      </w:r>
      <w:r w:rsidR="00FB2C12" w:rsidRPr="00411B78">
        <w:rPr>
          <w:b/>
        </w:rPr>
        <w:t>.000,-</w:t>
      </w:r>
      <w:r w:rsidRPr="00411B78">
        <w:rPr>
          <w:b/>
        </w:rPr>
        <w:t xml:space="preserve"> Kč</w:t>
      </w:r>
      <w:r w:rsidRPr="00411B78">
        <w:rPr>
          <w:snapToGrid w:val="0"/>
        </w:rPr>
        <w:t xml:space="preserve"> platnou </w:t>
      </w:r>
      <w:r w:rsidRPr="00411B78">
        <w:rPr>
          <w:b/>
          <w:snapToGrid w:val="0"/>
        </w:rPr>
        <w:t xml:space="preserve">po celou dobu </w:t>
      </w:r>
      <w:r w:rsidRPr="00411B78">
        <w:rPr>
          <w:b/>
        </w:rPr>
        <w:t>běhu záruční doby</w:t>
      </w:r>
      <w:r w:rsidRPr="00411B78">
        <w:rPr>
          <w:b/>
          <w:snapToGrid w:val="0"/>
        </w:rPr>
        <w:t>.</w:t>
      </w:r>
      <w:r w:rsidRPr="00411B78">
        <w:rPr>
          <w:snapToGrid w:val="0"/>
        </w:rPr>
        <w:t xml:space="preserve"> Z této bankovní záruky musí vyplývat právo objednatele</w:t>
      </w:r>
      <w:r w:rsidRPr="003D75BD">
        <w:rPr>
          <w:snapToGrid w:val="0"/>
        </w:rPr>
        <w:t xml:space="preserve"> čerpat finanční prostředky v případě porušení povinností zhotovitele v průběhu záruční doby. Bankovní záruku předloží zhotovitel objednateli v originále listiny nejpozději </w:t>
      </w:r>
      <w:r w:rsidR="008403F5">
        <w:rPr>
          <w:snapToGrid w:val="0"/>
        </w:rPr>
        <w:t>ke dni protokolárního předání a převzetí díla</w:t>
      </w:r>
      <w:r w:rsidRPr="003D75BD">
        <w:rPr>
          <w:snapToGrid w:val="0"/>
        </w:rPr>
        <w:t xml:space="preserve">, o čemž bude učiněn zápis v protokole o převzetí včetně uvedení data předložení této záruky. </w:t>
      </w:r>
      <w:r w:rsidRPr="003D75BD">
        <w:t>Bankovní záruka musí být neodvolatelná, bezpodmínečná, vyplatitelná na první požadavek objednatele bez toho, aby banka zkoumala důvody požadovaného čerpání.</w:t>
      </w:r>
      <w:bookmarkEnd w:id="14"/>
    </w:p>
    <w:p w14:paraId="70F64A59"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338F20A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nemá v úmyslu nezaplatit daň z přidané hodnoty u zdanitelného plnění podle této smlouvy,</w:t>
      </w:r>
    </w:p>
    <w:p w14:paraId="14E3BAB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7F7E2251"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nezkrátí daň nebo nevyláká daňovou výhodu</w:t>
      </w:r>
      <w:r w:rsidR="00946519" w:rsidRPr="003D75BD">
        <w:rPr>
          <w:snapToGrid w:val="0"/>
        </w:rPr>
        <w:t>,</w:t>
      </w:r>
    </w:p>
    <w:p w14:paraId="24F76D98"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433436E9"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52B688E"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2D56D63F"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765ED60"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1C506873" w14:textId="77777777" w:rsidR="00256296" w:rsidRPr="00EA071A" w:rsidRDefault="00256296" w:rsidP="00256296">
      <w:pPr>
        <w:pStyle w:val="KUsmlouva-3rove"/>
        <w:numPr>
          <w:ilvl w:val="0"/>
          <w:numId w:val="0"/>
        </w:numPr>
        <w:spacing w:before="120" w:after="0"/>
        <w:ind w:left="1080"/>
        <w:contextualSpacing/>
        <w:rPr>
          <w:snapToGrid w:val="0"/>
        </w:rPr>
      </w:pPr>
    </w:p>
    <w:p w14:paraId="53C3BEE5"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177F3D19"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07579CC3" w14:textId="77777777" w:rsidR="006F5194" w:rsidRPr="003D75BD" w:rsidRDefault="006F5194" w:rsidP="00FC6A1E">
      <w:pPr>
        <w:pStyle w:val="KUsmlouva-3rove"/>
        <w:numPr>
          <w:ilvl w:val="2"/>
          <w:numId w:val="13"/>
        </w:numPr>
        <w:spacing w:before="120"/>
        <w:contextualSpacing/>
      </w:pPr>
      <w:r w:rsidRPr="003D75BD">
        <w:t xml:space="preserve">projektovou dokumentaci pro </w:t>
      </w:r>
      <w:r w:rsidR="00946519" w:rsidRPr="003D75BD">
        <w:t>p</w:t>
      </w:r>
      <w:r w:rsidR="00140AA7">
        <w:t>r</w:t>
      </w:r>
      <w:r w:rsidR="00946519" w:rsidRPr="003D75BD">
        <w:t>ovolení</w:t>
      </w:r>
      <w:r w:rsidRPr="003D75BD">
        <w:t xml:space="preserve"> stavby</w:t>
      </w:r>
      <w:r w:rsidRPr="00FC6A1E">
        <w:rPr>
          <w:b/>
        </w:rPr>
        <w:t> </w:t>
      </w:r>
      <w:r w:rsidR="005E3960" w:rsidRPr="00FA44E6">
        <w:t>2</w:t>
      </w:r>
      <w:r w:rsidR="005F427F" w:rsidRPr="00FA44E6">
        <w:t xml:space="preserve"> </w:t>
      </w:r>
      <w:r w:rsidRPr="00FA44E6">
        <w:t>x tištěná forma</w:t>
      </w:r>
      <w:r w:rsidRPr="003D75BD">
        <w:t xml:space="preserve">, zpracovanou </w:t>
      </w:r>
      <w:r w:rsidR="009502DC">
        <w:t xml:space="preserve">FAKO spol. s. r. o., </w:t>
      </w:r>
      <w:proofErr w:type="spellStart"/>
      <w:r w:rsidR="009502DC">
        <w:t>Kotojedská</w:t>
      </w:r>
      <w:proofErr w:type="spellEnd"/>
      <w:r w:rsidR="009502DC">
        <w:t xml:space="preserve"> 2588, 767 01 Kroměříž, IČO: 18188711</w:t>
      </w:r>
      <w:r w:rsidR="00256296">
        <w:t>,</w:t>
      </w:r>
    </w:p>
    <w:p w14:paraId="47258C8D" w14:textId="77777777" w:rsidR="006F5194" w:rsidRPr="00C673CD" w:rsidRDefault="006F5194" w:rsidP="004C1B1C">
      <w:pPr>
        <w:pStyle w:val="KUsmlouva-3rove"/>
        <w:numPr>
          <w:ilvl w:val="2"/>
          <w:numId w:val="13"/>
        </w:numPr>
        <w:spacing w:before="120" w:after="0"/>
        <w:contextualSpacing/>
      </w:pPr>
      <w:r w:rsidRPr="003D75BD">
        <w:t xml:space="preserve">kopii </w:t>
      </w:r>
      <w:r w:rsidR="00140AA7">
        <w:t xml:space="preserve">Rozhodnutí o schválení stavebního záměru ze dne 10. 10. 2023., </w:t>
      </w:r>
      <w:r w:rsidR="00BD14CD">
        <w:t>č</w:t>
      </w:r>
      <w:r w:rsidR="00140AA7">
        <w:t xml:space="preserve">. j. </w:t>
      </w:r>
      <w:proofErr w:type="spellStart"/>
      <w:r w:rsidR="00140AA7">
        <w:t>MeUKM</w:t>
      </w:r>
      <w:proofErr w:type="spellEnd"/>
      <w:r w:rsidR="00BD14CD">
        <w:t>/</w:t>
      </w:r>
      <w:r w:rsidR="00140AA7">
        <w:t>080115/2023</w:t>
      </w:r>
      <w:r w:rsidRPr="00C673CD">
        <w:t>,</w:t>
      </w:r>
    </w:p>
    <w:p w14:paraId="068DE168" w14:textId="77777777" w:rsidR="006F5194" w:rsidRDefault="006F5194" w:rsidP="001C2664">
      <w:pPr>
        <w:pStyle w:val="KUsmlouva-3rove"/>
        <w:numPr>
          <w:ilvl w:val="2"/>
          <w:numId w:val="13"/>
        </w:numPr>
        <w:spacing w:before="120" w:after="0"/>
        <w:contextualSpacing/>
      </w:pPr>
      <w:r w:rsidRPr="00C673CD">
        <w:t>výsledky projednání s dotčenými orgány a vlastníky v rámci územního rozhodnutí a stavebního řízení v digitální formě,</w:t>
      </w:r>
    </w:p>
    <w:p w14:paraId="0C0D00A4" w14:textId="77777777" w:rsidR="006F5194" w:rsidRPr="003D75BD" w:rsidRDefault="006F5194" w:rsidP="00003EF8">
      <w:pPr>
        <w:pStyle w:val="KUsmlouva-3rove"/>
        <w:numPr>
          <w:ilvl w:val="2"/>
          <w:numId w:val="13"/>
        </w:numPr>
        <w:spacing w:before="120" w:after="0"/>
        <w:contextualSpacing/>
      </w:pPr>
      <w:r w:rsidRPr="003D75BD">
        <w:t xml:space="preserve">jméno TDS a koordinátora </w:t>
      </w:r>
      <w:r w:rsidR="00B901BB" w:rsidRPr="003D75BD">
        <w:t>BOZP – personální</w:t>
      </w:r>
      <w:r w:rsidRPr="003D75BD">
        <w:t xml:space="preserve"> zastoupení a oprávnění,</w:t>
      </w:r>
    </w:p>
    <w:p w14:paraId="69DE4D58" w14:textId="77777777" w:rsidR="006F5194" w:rsidRPr="003D75BD" w:rsidRDefault="006F5194" w:rsidP="001C2664">
      <w:pPr>
        <w:pStyle w:val="KUsmlouva-3rove"/>
        <w:numPr>
          <w:ilvl w:val="2"/>
          <w:numId w:val="13"/>
        </w:numPr>
        <w:spacing w:before="120" w:after="0"/>
        <w:contextualSpacing/>
      </w:pPr>
      <w:bookmarkStart w:id="15" w:name="_Ref371945153"/>
      <w:r w:rsidRPr="003D75BD">
        <w:t>vzor změnového listu,</w:t>
      </w:r>
      <w:bookmarkEnd w:id="15"/>
    </w:p>
    <w:p w14:paraId="104A2AE6" w14:textId="77777777" w:rsidR="007F2E36" w:rsidRPr="003D75BD" w:rsidRDefault="007F2E36" w:rsidP="001C2664">
      <w:pPr>
        <w:pStyle w:val="KUsmlouva-3rove"/>
        <w:numPr>
          <w:ilvl w:val="2"/>
          <w:numId w:val="13"/>
        </w:numPr>
        <w:spacing w:before="120" w:after="0"/>
        <w:contextualSpacing/>
      </w:pPr>
      <w:r w:rsidRPr="003D75BD">
        <w:t>vzor informační tabule, pamětní desky anebo billboardu pro označení staveniště</w:t>
      </w:r>
      <w:r w:rsidR="00EE410D" w:rsidRPr="003D75BD">
        <w:t xml:space="preserve"> </w:t>
      </w:r>
      <w:r w:rsidRPr="003D75BD">
        <w:t>a pro identifikační údaje stavby a dotačního programu</w:t>
      </w:r>
      <w:r w:rsidR="00EE410D" w:rsidRPr="003D75BD">
        <w:t>.</w:t>
      </w:r>
    </w:p>
    <w:p w14:paraId="085C6BAF" w14:textId="77777777" w:rsidR="006F5194" w:rsidRPr="00C673CD" w:rsidRDefault="006F5194" w:rsidP="001C2664">
      <w:pPr>
        <w:pStyle w:val="KUsmlouva-3rove"/>
        <w:numPr>
          <w:ilvl w:val="1"/>
          <w:numId w:val="13"/>
        </w:numPr>
        <w:spacing w:before="120" w:after="0"/>
        <w:ind w:left="567" w:hanging="567"/>
        <w:contextualSpacing/>
      </w:pPr>
      <w:r w:rsidRPr="003D75BD">
        <w:t>Objednatel</w:t>
      </w:r>
      <w:r w:rsidRPr="00C673CD">
        <w:t xml:space="preserve"> je dále v rámci svého spolupůsobení povinen zhotoviteli předat:</w:t>
      </w:r>
    </w:p>
    <w:p w14:paraId="5C9BDFE8"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62E99E1F" w14:textId="77777777" w:rsidR="006F5194" w:rsidRPr="00AC2ADF" w:rsidRDefault="006F5194" w:rsidP="00624518">
      <w:pPr>
        <w:pStyle w:val="KUsmlouva-2rove"/>
        <w:numPr>
          <w:ilvl w:val="1"/>
          <w:numId w:val="13"/>
        </w:numPr>
        <w:spacing w:before="0" w:after="0"/>
        <w:ind w:left="567" w:hanging="567"/>
        <w:contextualSpacing/>
        <w:rPr>
          <w:b/>
        </w:rPr>
      </w:pPr>
      <w:r w:rsidRPr="00C673CD">
        <w:lastRenderedPageBreak/>
        <w:t>Objednatel odpovídá za to, že doklady, které zhotoviteli předal nebo předá, jsou bez právních vad a neporušují práva třetích osob. Objednatel odpovídá za správnost a úplnost projektových dokumentací.</w:t>
      </w:r>
    </w:p>
    <w:p w14:paraId="3763F91C" w14:textId="77777777" w:rsidR="001114A5" w:rsidRPr="00C673CD" w:rsidRDefault="001114A5" w:rsidP="00AC2ADF">
      <w:pPr>
        <w:pStyle w:val="KUsmlouva-2rove"/>
        <w:numPr>
          <w:ilvl w:val="0"/>
          <w:numId w:val="0"/>
        </w:numPr>
        <w:spacing w:before="0" w:after="0"/>
        <w:ind w:left="567"/>
        <w:contextualSpacing/>
        <w:rPr>
          <w:b/>
        </w:rPr>
      </w:pPr>
    </w:p>
    <w:p w14:paraId="11586597" w14:textId="77777777"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073E1119" w14:textId="7777777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322AB3E"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14106E73"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569EE3E"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5BE5B0C4" w14:textId="77777777" w:rsidR="006F5194" w:rsidRPr="003D75BD" w:rsidRDefault="006F5194" w:rsidP="001C2664">
      <w:pPr>
        <w:pStyle w:val="KUsmlouva-3rove"/>
        <w:numPr>
          <w:ilvl w:val="2"/>
          <w:numId w:val="13"/>
        </w:numPr>
        <w:spacing w:before="120" w:after="0"/>
        <w:contextualSpacing/>
      </w:pPr>
      <w:r w:rsidRPr="003D75BD">
        <w:t>zřídit a následně pak odstranit zařízení staveniště včetně napojení na technickou infrastrukturu a dodržování „Zásad organizace výroby“ a souvisejících dokladů a předpisů</w:t>
      </w:r>
      <w:r w:rsidR="001114A5">
        <w:t>,</w:t>
      </w:r>
    </w:p>
    <w:p w14:paraId="15BB2CCB" w14:textId="77777777" w:rsidR="006F5194" w:rsidRPr="003D75BD" w:rsidRDefault="006F5194" w:rsidP="001C2664">
      <w:pPr>
        <w:pStyle w:val="KUsmlouva-3rove"/>
        <w:numPr>
          <w:ilvl w:val="2"/>
          <w:numId w:val="13"/>
        </w:numPr>
        <w:spacing w:before="120" w:after="0"/>
        <w:contextualSpacing/>
      </w:pPr>
      <w:r w:rsidRPr="003D75BD">
        <w:t>zajistit důsledný úklid všech prostor stavby, staveniště a jeho okolí v průběhu i po dokončení stavby</w:t>
      </w:r>
      <w:r w:rsidR="00C86625" w:rsidRPr="003D75BD">
        <w:t>.</w:t>
      </w:r>
    </w:p>
    <w:p w14:paraId="48B21634" w14:textId="77777777" w:rsidR="0060092A" w:rsidRPr="00AF1DB3" w:rsidRDefault="006F5194" w:rsidP="001C2664">
      <w:pPr>
        <w:pStyle w:val="KUsmlouva-2rove"/>
        <w:numPr>
          <w:ilvl w:val="1"/>
          <w:numId w:val="13"/>
        </w:numPr>
        <w:spacing w:after="0"/>
        <w:ind w:left="567" w:hanging="567"/>
        <w:contextualSpacing/>
      </w:pPr>
      <w:bookmarkStart w:id="16" w:name="_Ref356221692"/>
      <w:r w:rsidRPr="003D75BD">
        <w:t xml:space="preserve">Zhotovitel je povinen na vhodném místě u vstupu na staveniště bezprostředně po zahájení realizace umístit </w:t>
      </w:r>
      <w:bookmarkEnd w:id="16"/>
      <w:r w:rsidR="0060092A" w:rsidRPr="00AF1DB3">
        <w:t>informační (tabuli, billboard, pamětní desku):</w:t>
      </w:r>
    </w:p>
    <w:p w14:paraId="730A940A" w14:textId="77777777" w:rsidR="006F5194" w:rsidRDefault="0060092A" w:rsidP="00003EF8">
      <w:pPr>
        <w:pStyle w:val="KUsmlouva-2rove"/>
        <w:numPr>
          <w:ilvl w:val="2"/>
          <w:numId w:val="13"/>
        </w:numPr>
        <w:spacing w:after="0"/>
        <w:contextualSpacing/>
      </w:pPr>
      <w:r w:rsidRPr="00050AF2">
        <w:t>Tabuli s identifikačními údaji stavby dle vzoru předaného objednatelem. Zhotovitel zajistí tabuli na své náklady.</w:t>
      </w:r>
      <w:r w:rsidRPr="00D257B3">
        <w:t xml:space="preserve"> </w:t>
      </w:r>
    </w:p>
    <w:p w14:paraId="77DE4AF3" w14:textId="77777777" w:rsidR="000C693D" w:rsidRPr="00D257B3" w:rsidRDefault="000C693D" w:rsidP="00003EF8">
      <w:pPr>
        <w:pStyle w:val="KUsmlouva-2rove"/>
        <w:numPr>
          <w:ilvl w:val="2"/>
          <w:numId w:val="13"/>
        </w:numPr>
        <w:spacing w:after="0"/>
        <w:contextualSpacing/>
      </w:pPr>
      <w:r>
        <w:t>Dočasný billboard</w:t>
      </w:r>
      <w:r w:rsidR="00AB09A6">
        <w:t xml:space="preserve"> o minimální velikosti </w:t>
      </w:r>
      <w:r w:rsidR="00AB09A6" w:rsidRPr="00AB09A6">
        <w:t>2100x2200 mm</w:t>
      </w:r>
      <w:r w:rsidR="00AB09A6">
        <w:t xml:space="preserve">, nejlépe však o rozměru </w:t>
      </w:r>
      <w:r w:rsidR="00AB09A6" w:rsidRPr="00AB09A6">
        <w:t>5100x2400 mm</w:t>
      </w:r>
      <w:r w:rsidR="00AB09A6">
        <w:t xml:space="preserve"> v případě, že předmět plnění bude spolufinancován z operačního programu Integrovaný regionální operační program </w:t>
      </w:r>
      <w:r w:rsidR="00BD14CD">
        <w:t>2021–2027</w:t>
      </w:r>
      <w:r w:rsidR="00AB09A6">
        <w:t xml:space="preserve">. </w:t>
      </w:r>
    </w:p>
    <w:p w14:paraId="25EE4E48" w14:textId="77777777" w:rsidR="00282AA0" w:rsidRPr="00AF1DB3" w:rsidRDefault="00282AA0" w:rsidP="00AF3462">
      <w:pPr>
        <w:pStyle w:val="KUsmlouva-2rove"/>
        <w:numPr>
          <w:ilvl w:val="2"/>
          <w:numId w:val="13"/>
        </w:numPr>
        <w:spacing w:after="0"/>
        <w:contextualSpacing/>
      </w:pPr>
      <w:r w:rsidRPr="00AF1DB3">
        <w:t>Pamětní desku</w:t>
      </w:r>
      <w:r w:rsidR="00AB09A6">
        <w:t xml:space="preserve"> o rozměrech </w:t>
      </w:r>
      <w:r w:rsidR="00AB09A6" w:rsidRPr="00AB09A6">
        <w:t>400x300 mm</w:t>
      </w:r>
      <w:r w:rsidR="00AB09A6">
        <w:t xml:space="preserve"> (na šířku)</w:t>
      </w:r>
      <w:r w:rsidRPr="00AF1DB3">
        <w:t>, a to v případě, že předmět plnění bude spolufinancován z</w:t>
      </w:r>
      <w:r w:rsidR="00D257B3" w:rsidRPr="00AF1DB3">
        <w:t> </w:t>
      </w:r>
      <w:r w:rsidRPr="00AF1DB3">
        <w:t>programu</w:t>
      </w:r>
      <w:r w:rsidR="00D257B3" w:rsidRPr="00AF1DB3">
        <w:t xml:space="preserve"> </w:t>
      </w:r>
      <w:r w:rsidR="00FC6A1E">
        <w:t>Integrovan</w:t>
      </w:r>
      <w:r w:rsidR="00AB09A6">
        <w:t>ý</w:t>
      </w:r>
      <w:r w:rsidR="00FC6A1E">
        <w:t xml:space="preserve"> regionální operační program </w:t>
      </w:r>
      <w:r w:rsidR="00BD14CD">
        <w:t>2021–2027</w:t>
      </w:r>
      <w:r w:rsidR="00AB7B71" w:rsidRPr="00AF1DB3">
        <w:t>,</w:t>
      </w:r>
      <w:r w:rsidRPr="00AF1DB3">
        <w:t xml:space="preserve"> postačí umístit až před dokončením stavby, nikoliv bezprostředně po zahájení realizace stavby. Pamětní deska bude obsahovat identifikační údaje dotačního programu a další související informace, a to </w:t>
      </w:r>
      <w:r w:rsidRPr="00AF3462">
        <w:t>dle vzoru předaného objednatelem</w:t>
      </w:r>
      <w:r w:rsidRPr="00AF1DB3">
        <w:t>.</w:t>
      </w:r>
      <w:r w:rsidR="00691C37" w:rsidRPr="00AF1DB3">
        <w:t xml:space="preserve"> Zhotovitel zajistí pamětní desku na své náklady.</w:t>
      </w:r>
    </w:p>
    <w:p w14:paraId="423DD954" w14:textId="77777777" w:rsidR="0012332A" w:rsidRPr="00AF1DB3" w:rsidRDefault="00691C37" w:rsidP="00AF3462">
      <w:pPr>
        <w:pStyle w:val="KUsmlouva-2rove"/>
        <w:numPr>
          <w:ilvl w:val="2"/>
          <w:numId w:val="13"/>
        </w:numPr>
        <w:spacing w:after="0"/>
        <w:contextualSpacing/>
      </w:pPr>
      <w:r w:rsidRPr="00AF1DB3">
        <w:t xml:space="preserve">Zhotovitel je povinen návrhy </w:t>
      </w:r>
      <w:r w:rsidRPr="00AF3462">
        <w:t>tabule,</w:t>
      </w:r>
      <w:r w:rsidRPr="00AF1DB3">
        <w:t xml:space="preserve"> billboardu, pamětní desky včetně jejich velikostí </w:t>
      </w:r>
      <w:r w:rsidR="001114A5">
        <w:br/>
      </w:r>
      <w:r w:rsidRPr="00AF1DB3">
        <w:t xml:space="preserve">a umístění předem projednat s objednatelem. V opačném případě má právo objednatel </w:t>
      </w:r>
      <w:r w:rsidR="0012332A" w:rsidRPr="00AF1DB3">
        <w:t>trvat na odstranění nebo výměnu těchto předmětů.</w:t>
      </w:r>
    </w:p>
    <w:p w14:paraId="59C735B2" w14:textId="77777777" w:rsidR="0012332A" w:rsidRPr="00AF1DB3" w:rsidRDefault="0012332A" w:rsidP="00AF3462">
      <w:pPr>
        <w:pStyle w:val="KUsmlouva-2rove"/>
        <w:numPr>
          <w:ilvl w:val="2"/>
          <w:numId w:val="13"/>
        </w:numPr>
        <w:spacing w:after="0"/>
        <w:contextualSpacing/>
      </w:pPr>
      <w:r w:rsidRPr="00AF1DB3">
        <w:t>Zhotovitel se zavazuje informační tabule, billboard, pamětní desku udržovat až do předání díla v aktuálním a dobrém (čitelném) stavu.</w:t>
      </w:r>
    </w:p>
    <w:p w14:paraId="4A63C0C2" w14:textId="77777777"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p>
    <w:p w14:paraId="6FE6BD2C" w14:textId="77777777" w:rsidR="006F5194" w:rsidRPr="00AF1DB3" w:rsidRDefault="006F5194" w:rsidP="001C2664">
      <w:pPr>
        <w:pStyle w:val="KUsmlouva-3rove"/>
        <w:numPr>
          <w:ilvl w:val="2"/>
          <w:numId w:val="13"/>
        </w:numPr>
        <w:spacing w:before="120" w:after="0"/>
        <w:contextualSpacing/>
        <w:rPr>
          <w:b/>
        </w:rPr>
      </w:pPr>
      <w:r w:rsidRPr="00AF1DB3">
        <w:t>řádnou ochranu všech prostor staveniště, kterého součástí jsou také:</w:t>
      </w:r>
    </w:p>
    <w:p w14:paraId="01F43401" w14:textId="77777777"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107BB6F3"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75263EAD"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573F5EBE" w14:textId="77777777"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č. 309/2006 Sb., </w:t>
      </w:r>
      <w:r w:rsidR="00C86625" w:rsidRPr="00AF1DB3">
        <w:br/>
      </w:r>
      <w:r w:rsidRPr="00AF1DB3">
        <w:lastRenderedPageBreak/>
        <w:t>a nařízením vlády č. 591/2006 Sb.). Prostor staveniště bude využíván výhradně pro účely související s realizací díla</w:t>
      </w:r>
      <w:r w:rsidR="0012332A" w:rsidRPr="00AF1DB3">
        <w:t>. Staveniště musí být oploceno</w:t>
      </w:r>
      <w:r w:rsidR="006156E3" w:rsidRPr="00AF1DB3">
        <w:t>,</w:t>
      </w:r>
      <w:r w:rsidRPr="00AF1DB3">
        <w:t xml:space="preserve"> </w:t>
      </w:r>
    </w:p>
    <w:p w14:paraId="35228E71" w14:textId="77777777" w:rsidR="006F5194" w:rsidRPr="00FA44E6" w:rsidRDefault="006F5194" w:rsidP="001C2664">
      <w:pPr>
        <w:pStyle w:val="KUsmlouva-3rove"/>
        <w:numPr>
          <w:ilvl w:val="2"/>
          <w:numId w:val="13"/>
        </w:numPr>
        <w:spacing w:before="120" w:after="0"/>
        <w:contextualSpacing/>
        <w:rPr>
          <w:b/>
        </w:rPr>
      </w:pPr>
      <w:r w:rsidRPr="00FA44E6">
        <w:t>poskytnout vytápěné, osvětlené, vybavené kancelářským nábytkem, elektrickou přípojkou a sociálním zařízením</w:t>
      </w:r>
      <w:r w:rsidR="00F74A3D" w:rsidRPr="00FA44E6">
        <w:t xml:space="preserve"> </w:t>
      </w:r>
      <w:r w:rsidRPr="00FA44E6">
        <w:t>prostory pro pořádání KD</w:t>
      </w:r>
      <w:r w:rsidR="006156E3" w:rsidRPr="00FA44E6">
        <w:t>,</w:t>
      </w:r>
    </w:p>
    <w:p w14:paraId="09BF62B7"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0E3ABBE8"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7E477A4F"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172C3066"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15496ABC" w14:textId="77777777" w:rsidR="007839F7" w:rsidRPr="00AF1DB3" w:rsidRDefault="006F5194" w:rsidP="007839F7">
      <w:pPr>
        <w:pStyle w:val="KUsmlouva-2rove"/>
        <w:numPr>
          <w:ilvl w:val="1"/>
          <w:numId w:val="13"/>
        </w:numPr>
        <w:spacing w:after="0"/>
        <w:ind w:left="567" w:hanging="567"/>
        <w:contextualSpacing/>
      </w:pPr>
      <w:r w:rsidRPr="00AF1DB3">
        <w:t>Zhotovitel zajistí, aby se vznikajícími odpady bylo nakládáno způsobem, který je v souladu s ustanoveními zákona č. 541/2020 Sb., o odpadech, v platném znění, vč. jeho platných prováděcích předpisů.</w:t>
      </w:r>
    </w:p>
    <w:p w14:paraId="3C90722F" w14:textId="77777777" w:rsidR="00F62145" w:rsidRDefault="00181A1E" w:rsidP="00003EF8">
      <w:pPr>
        <w:pStyle w:val="KUsmlouva-2rove"/>
        <w:numPr>
          <w:ilvl w:val="1"/>
          <w:numId w:val="13"/>
        </w:numPr>
        <w:spacing w:after="0"/>
        <w:ind w:left="567" w:hanging="567"/>
        <w:contextualSpacing/>
      </w:pPr>
      <w:r>
        <w:t>Zhotovitel zajistí dodržování principu DNSH (zásady udržitelného rozvoje a významně nepoškozovat) v souladu se Specifickými pravidly pro žadatele a příjemce IROP 2021-2027.</w:t>
      </w:r>
      <w:r w:rsidR="00140AA7">
        <w:t xml:space="preserve"> </w:t>
      </w:r>
      <w:r w:rsidR="00F62145" w:rsidRPr="00181A1E">
        <w:t xml:space="preserve">Zhotovitel doloží doklady o zajištění likvidace odpadů dle zákona č. 541/2020 Sb., </w:t>
      </w:r>
      <w:r w:rsidR="0035053F" w:rsidRPr="00181A1E">
        <w:br/>
      </w:r>
      <w:r w:rsidR="00F62145" w:rsidRPr="00181A1E">
        <w:t>o odpadech, v platném znění, a jeho prováděcích předpisů</w:t>
      </w:r>
      <w:r>
        <w:t>. Zhotovitel zajistí, aby m</w:t>
      </w:r>
      <w:r w:rsidR="00F62145" w:rsidRPr="00181A1E">
        <w:t>inimálně 70 % stavebního</w:t>
      </w:r>
      <w:r>
        <w:t xml:space="preserve"> </w:t>
      </w:r>
      <w:r w:rsidR="00F62145" w:rsidRPr="00181A1E">
        <w:t>a demoličního odpadu (nikoliv nebezpečného, mimo kategorii 17 05 04) vzniklého na staveništi, bylo použito k opětovnému použití, recyklaci nebo jinému materiálovému využití</w:t>
      </w:r>
      <w:r>
        <w:t xml:space="preserve">; o splnění této povinnosti předloží zhotovitel objednateli relevantní doklady </w:t>
      </w:r>
      <w:r w:rsidRPr="00181A1E">
        <w:t>(např. kopi</w:t>
      </w:r>
      <w:r>
        <w:t>i</w:t>
      </w:r>
      <w:r w:rsidRPr="00181A1E">
        <w:t xml:space="preserve"> smlouvy o zajištění předání produkovaných stavebních a demoličních odpadů k opětovnému použití, recyklaci nebo jiným druhům materiálového využití do zařízení určeného pro nakládání s daným druhem a kategorií odpadu</w:t>
      </w:r>
      <w:r>
        <w:t>, nebo jiný relevantní doklad)</w:t>
      </w:r>
      <w:r w:rsidR="00F62145" w:rsidRPr="00181A1E">
        <w:t>.</w:t>
      </w:r>
    </w:p>
    <w:p w14:paraId="0C793E48" w14:textId="77777777" w:rsidR="00E371B0" w:rsidRDefault="00E371B0" w:rsidP="00E371B0">
      <w:pPr>
        <w:pStyle w:val="KUsmlouva-2rove"/>
        <w:numPr>
          <w:ilvl w:val="2"/>
          <w:numId w:val="13"/>
        </w:numPr>
        <w:spacing w:after="0"/>
        <w:contextualSpacing/>
      </w:pPr>
      <w:r w:rsidRPr="00E371B0">
        <w:t xml:space="preserve">v souvislosti s nakládáním se stavebními a demoličními odpady se </w:t>
      </w:r>
      <w:r>
        <w:t>z</w:t>
      </w:r>
      <w:r w:rsidRPr="00E371B0">
        <w:t xml:space="preserve">hotovitel zavazuje poskytnout </w:t>
      </w:r>
      <w:r>
        <w:t>o</w:t>
      </w:r>
      <w:r w:rsidRPr="00E371B0">
        <w:t>bjednateli na jeho výzvu součinnost při předkládání: zpřesněného odhadu celkového množství odpadu na stavbě (z toho odpadu klasifikovaného jako nebezpečný) + % odpadu připraveného k opětovnému použití nebo recyklaci; dokladů prokazujících, kolik odpadu neklasifikovaného jako nebezpečný bylo znovu použito, připraveno k opětovnému použití, recyklováno nebo zlikvidováno způsobem šetrným k životnímu prostředí v souladu s hierarchií nakládání s odpady a Protokolem EU o nakládání se stavebními a demoličními odpady; dokladů, jak bylo naloženo s odpadem klasifikovaným jako nebezpečný.</w:t>
      </w:r>
    </w:p>
    <w:p w14:paraId="22571564" w14:textId="77777777" w:rsidR="006E7B3E" w:rsidRDefault="006E7B3E" w:rsidP="00E17C92">
      <w:pPr>
        <w:pStyle w:val="KUsmlouva-2rove"/>
        <w:numPr>
          <w:ilvl w:val="0"/>
          <w:numId w:val="0"/>
        </w:numPr>
        <w:ind w:left="567"/>
        <w:contextualSpacing/>
      </w:pPr>
    </w:p>
    <w:p w14:paraId="01DC70E1"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00E30929"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20E31DD3"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3FBED68"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2CF7999" w14:textId="77777777" w:rsidR="00650BEA" w:rsidRPr="00EA071A" w:rsidRDefault="00650BEA" w:rsidP="00650BEA">
      <w:pPr>
        <w:pStyle w:val="KUsmlouva-2rove"/>
        <w:numPr>
          <w:ilvl w:val="0"/>
          <w:numId w:val="0"/>
        </w:numPr>
        <w:spacing w:after="0"/>
        <w:ind w:left="567"/>
        <w:contextualSpacing/>
      </w:pPr>
    </w:p>
    <w:p w14:paraId="5C78B766"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1E20B593" w14:textId="77777777" w:rsidR="000915D8" w:rsidRPr="00AF1DB3" w:rsidRDefault="000915D8" w:rsidP="001C2664">
      <w:pPr>
        <w:pStyle w:val="KUsmlouva-2rove"/>
        <w:numPr>
          <w:ilvl w:val="1"/>
          <w:numId w:val="13"/>
        </w:numPr>
        <w:spacing w:after="0"/>
        <w:ind w:left="567" w:hanging="567"/>
        <w:contextualSpacing/>
        <w:rPr>
          <w:b/>
        </w:rPr>
      </w:pPr>
      <w:bookmarkStart w:id="17" w:name="_Ref164168594"/>
      <w:r w:rsidRPr="00AF1DB3">
        <w:t>Zhotovitel je povinen do 7 dnů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w:t>
      </w:r>
      <w:r w:rsidR="00624518" w:rsidRPr="00AF1DB3">
        <w:br/>
      </w:r>
      <w:r w:rsidRPr="00AF1DB3">
        <w:t xml:space="preserve">a tyto aktualizace předkládat osobě vykonávající </w:t>
      </w:r>
      <w:r w:rsidR="003E4C4D" w:rsidRPr="00AF1DB3">
        <w:t>TDS</w:t>
      </w:r>
      <w:r w:rsidRPr="00AF1DB3">
        <w:t xml:space="preserve"> a současně také objednateli, a to do 7 dnů od zjištění předmětné nesrovnalosti. Součástí aktualizovaného harmonogramu bude vždy původní harmonogram s vyznačením změn.</w:t>
      </w:r>
      <w:bookmarkEnd w:id="17"/>
    </w:p>
    <w:p w14:paraId="67E282FF" w14:textId="77777777" w:rsidR="006F5194" w:rsidRPr="00AF1DB3" w:rsidRDefault="006F5194" w:rsidP="001C2664">
      <w:pPr>
        <w:pStyle w:val="KUsmlouva-2rove"/>
        <w:numPr>
          <w:ilvl w:val="1"/>
          <w:numId w:val="13"/>
        </w:numPr>
        <w:spacing w:after="0"/>
        <w:ind w:left="567" w:hanging="567"/>
        <w:contextualSpacing/>
        <w:rPr>
          <w:b/>
        </w:rPr>
      </w:pPr>
      <w:r w:rsidRPr="00AF1DB3">
        <w:lastRenderedPageBreak/>
        <w:t xml:space="preserve">Objednatel po uzavření této smlouvy seznámí zhotovitele s osobou pověřenou výkonem funkce autorského dozoru, TDS a koordinátora BOZP dle zákona č. 309/2006 Sb., kterým se upravují další požadavky bezpečnosti a ochrany zdraví při práci v pracovněprávních vztazích </w:t>
      </w:r>
      <w:r w:rsidR="00624518" w:rsidRPr="00AF1DB3">
        <w:br/>
      </w:r>
      <w:r w:rsidRPr="00AF1DB3">
        <w:t>a o zajištění bezpečnosti a ochrany zdraví při činnosti nebo poskytování služeb mimo pracovněprávní vztahy, v platném znění (dále jen „zákon č.</w:t>
      </w:r>
      <w:r w:rsidR="00F74A3D" w:rsidRPr="00AF1DB3">
        <w:t xml:space="preserve"> </w:t>
      </w:r>
      <w:r w:rsidRPr="00AF1DB3">
        <w:t>309/2006 Sb.“). Pokud v průběhu stavby dojde ke změně této osoby je objednatel povinen na toto zhotovitele písemně upozornit.</w:t>
      </w:r>
    </w:p>
    <w:p w14:paraId="77C84C1F" w14:textId="77777777" w:rsidR="006F5194" w:rsidRPr="00AF1DB3" w:rsidRDefault="006F5194" w:rsidP="001C2664">
      <w:pPr>
        <w:pStyle w:val="KUsmlouva-2rove"/>
        <w:numPr>
          <w:ilvl w:val="1"/>
          <w:numId w:val="13"/>
        </w:numPr>
        <w:spacing w:after="0"/>
        <w:ind w:left="567" w:hanging="567"/>
        <w:contextualSpacing/>
      </w:pPr>
      <w:r w:rsidRPr="00AF1DB3">
        <w:t>Zhotovitel je povinen umožnit výkon TDS, autorského dozoru a koordinátora BOZP.</w:t>
      </w:r>
    </w:p>
    <w:p w14:paraId="5A1D3925" w14:textId="77777777"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a </w:t>
      </w:r>
      <w:r w:rsidRPr="00EF698C">
        <w:t xml:space="preserve">n. zákona č. 90/2012 Sb., zákon </w:t>
      </w:r>
      <w:r w:rsidR="007060A7">
        <w:br/>
      </w:r>
      <w:r w:rsidRPr="00EF698C">
        <w:t>o obchodních korporacích, v platném znění, vykonávat na stavbě funkci TDS.</w:t>
      </w:r>
    </w:p>
    <w:p w14:paraId="2E263242" w14:textId="77777777"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14:paraId="0A62E47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0EE2B46C"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2A303FE5" w14:textId="77777777"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mít sídlo na staveništi a musí být přítomen na stavbě denně po celou dobu výstavby</w:t>
      </w:r>
      <w:r w:rsidRPr="009A5AF8">
        <w:t xml:space="preserve"> až do odstranění vad a nedodělků zjištěných v rámci přejímacího řízení. </w:t>
      </w:r>
    </w:p>
    <w:p w14:paraId="180FF18F" w14:textId="77777777"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36B2CBB9"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043E4AB5" w14:textId="77777777" w:rsidR="006F5194" w:rsidRPr="009A5AF8" w:rsidRDefault="006F5194" w:rsidP="001C2664">
      <w:pPr>
        <w:pStyle w:val="KUsmlouva-2rove"/>
        <w:numPr>
          <w:ilvl w:val="1"/>
          <w:numId w:val="13"/>
        </w:numPr>
        <w:spacing w:after="0"/>
        <w:ind w:left="567" w:hanging="567"/>
        <w:contextualSpacing/>
      </w:pPr>
      <w:bookmarkStart w:id="18" w:name="_Ref356221972"/>
      <w:r w:rsidRPr="009A5AF8">
        <w:t>Stavební deník (dále jen SD):</w:t>
      </w:r>
      <w:bookmarkEnd w:id="18"/>
    </w:p>
    <w:p w14:paraId="64C4B4B4"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69554B02"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82B81F8"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0825AC56"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8511D49"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4ADD3C48" w14:textId="77777777" w:rsidR="006F5194" w:rsidRPr="009A5AF8" w:rsidRDefault="006F5194" w:rsidP="001C2664">
      <w:pPr>
        <w:pStyle w:val="KUsmlouva-3rove"/>
        <w:numPr>
          <w:ilvl w:val="2"/>
          <w:numId w:val="13"/>
        </w:numPr>
        <w:spacing w:before="120" w:after="0"/>
        <w:ind w:left="1134" w:hanging="850"/>
        <w:contextualSpacing/>
        <w:rPr>
          <w:b/>
        </w:rPr>
      </w:pPr>
      <w:r w:rsidRPr="009A5AF8">
        <w:t xml:space="preserve">Zhotovitel je povinen vždy písemně vyzvat TDS stavby minimálně 3 dny předem (zápisem do SD, nebo na KD) k prověření všech prací, které budou v dalším pracovním postupu zakryty nebo se stanou nepřístupnými (izolace proti vodě, armatury, základové konstrukce </w:t>
      </w:r>
      <w:r w:rsidRPr="009A5AF8">
        <w:lastRenderedPageBreak/>
        <w:t xml:space="preserve">apod.). Jestliže se </w:t>
      </w:r>
      <w:r w:rsidR="009144FA" w:rsidRPr="009A5AF8">
        <w:t>TDS</w:t>
      </w:r>
      <w:r w:rsidRPr="009A5AF8">
        <w:t xml:space="preserve"> stavebníka k prověření prací nedostaví do </w:t>
      </w:r>
      <w:r w:rsidRPr="009A5AF8">
        <w:rPr>
          <w:b/>
        </w:rPr>
        <w:t>3 dnů,</w:t>
      </w:r>
      <w:r w:rsidRPr="009A5AF8">
        <w:t xml:space="preserve"> ačkoliv byl k tomu řádně vyzván, je povinen hradit náklady dodatečného odkrytí. Zjistí-li se však, že práce byly provedeny vadně, nese náklady dodatečného odkrytí zhotovitel.</w:t>
      </w:r>
    </w:p>
    <w:p w14:paraId="245E69EE" w14:textId="77777777" w:rsidR="006F5194" w:rsidRPr="009A5AF8" w:rsidRDefault="006F5194" w:rsidP="002C2356">
      <w:pPr>
        <w:pStyle w:val="KUsmlouva-2rove"/>
        <w:numPr>
          <w:ilvl w:val="1"/>
          <w:numId w:val="13"/>
        </w:numPr>
        <w:spacing w:after="0"/>
        <w:ind w:left="567" w:hanging="567"/>
        <w:contextualSpacing/>
      </w:pPr>
      <w:bookmarkStart w:id="19" w:name="_Ref356222075"/>
      <w:r w:rsidRPr="009A5AF8">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9"/>
    </w:p>
    <w:p w14:paraId="551285C8"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42A33DF2"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0B8C4329" w14:textId="77777777" w:rsidR="006F5194" w:rsidRPr="009A5AF8" w:rsidRDefault="006F5194" w:rsidP="001C2664">
      <w:pPr>
        <w:pStyle w:val="KUsmlouva-3rove"/>
        <w:numPr>
          <w:ilvl w:val="2"/>
          <w:numId w:val="13"/>
        </w:numPr>
        <w:spacing w:before="120" w:after="0"/>
        <w:contextualSpacing/>
        <w:rPr>
          <w:b/>
        </w:rPr>
      </w:pPr>
      <w:r w:rsidRPr="009A5AF8">
        <w:t>výkresy:</w:t>
      </w:r>
    </w:p>
    <w:p w14:paraId="1EF931FF"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58FFBCA8" w14:textId="77777777" w:rsidR="006F5194" w:rsidRPr="009A5AF8" w:rsidRDefault="006F5194" w:rsidP="001C2664">
      <w:pPr>
        <w:pStyle w:val="KUsmlouva-3rove"/>
        <w:numPr>
          <w:ilvl w:val="2"/>
          <w:numId w:val="13"/>
        </w:numPr>
        <w:spacing w:before="120" w:after="0"/>
        <w:contextualSpacing/>
        <w:rPr>
          <w:b/>
        </w:rPr>
      </w:pPr>
      <w:r w:rsidRPr="009A5AF8">
        <w:t>vzorky:</w:t>
      </w:r>
    </w:p>
    <w:p w14:paraId="65F55BA3" w14:textId="77777777"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10C9578E"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1730A62D" w14:textId="77777777" w:rsidR="006F5194" w:rsidRPr="009A5AF8"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Zhotovitel je povinen předložit nový nebo upravený vzorek a objednatel se k němu opětovně vyjádří do 14 dní, pokud se strany nedohodly jinak. Tento postup se opakuje až do doby odsouhlasení vzorků zástupcem objednatele.</w:t>
      </w:r>
    </w:p>
    <w:p w14:paraId="4063B9AE" w14:textId="77777777" w:rsidR="006F5194" w:rsidRPr="009A5AF8" w:rsidRDefault="006F5194" w:rsidP="002C2356">
      <w:pPr>
        <w:pStyle w:val="KUsmlouva-4rove"/>
        <w:numPr>
          <w:ilvl w:val="3"/>
          <w:numId w:val="13"/>
        </w:numPr>
        <w:spacing w:before="120"/>
        <w:ind w:left="2410"/>
        <w:contextualSpacing/>
      </w:pPr>
      <w:r w:rsidRPr="009A5AF8">
        <w:t>Zhotovitel předloží minimálně tyto vzorky materiálů:</w:t>
      </w:r>
    </w:p>
    <w:p w14:paraId="4CD71DEE" w14:textId="77777777" w:rsidR="00B66D73" w:rsidRDefault="008442CD" w:rsidP="009A5AF8">
      <w:pPr>
        <w:pStyle w:val="KUsmlouva-4rove"/>
        <w:numPr>
          <w:ilvl w:val="0"/>
          <w:numId w:val="17"/>
        </w:numPr>
        <w:spacing w:before="120"/>
        <w:ind w:left="3119" w:hanging="709"/>
        <w:contextualSpacing/>
      </w:pPr>
      <w:r>
        <w:t xml:space="preserve">viditelné </w:t>
      </w:r>
      <w:r w:rsidR="006F0619">
        <w:t xml:space="preserve">prvky </w:t>
      </w:r>
      <w:r>
        <w:t>exteriéru, které mají vliv na výsledný vzhled exteriéru díla</w:t>
      </w:r>
      <w:r w:rsidR="00411B78">
        <w:t xml:space="preserve"> (dlažby, svítidla, zábradlí, krycí desky, obruby)</w:t>
      </w:r>
      <w:r>
        <w:t xml:space="preserve"> </w:t>
      </w:r>
    </w:p>
    <w:p w14:paraId="73A40581" w14:textId="77777777" w:rsidR="00234057" w:rsidRPr="00A20B6E" w:rsidRDefault="00234057" w:rsidP="00411B78">
      <w:pPr>
        <w:pStyle w:val="KUsmlouva-4rove"/>
        <w:numPr>
          <w:ilvl w:val="0"/>
          <w:numId w:val="17"/>
        </w:numPr>
        <w:spacing w:before="120"/>
        <w:ind w:left="3119" w:hanging="709"/>
        <w:contextualSpacing/>
      </w:pPr>
      <w:r>
        <w:t xml:space="preserve">technický list </w:t>
      </w:r>
      <w:r w:rsidR="00140AA7">
        <w:t>–</w:t>
      </w:r>
      <w:r w:rsidR="00A75816">
        <w:t xml:space="preserve"> </w:t>
      </w:r>
      <w:r w:rsidR="00140AA7">
        <w:t>retenční nádrž</w:t>
      </w:r>
      <w:r w:rsidR="00411B78">
        <w:t>, akumulační nádrž, odlučovač lehkých kapalin, kanalizační prvky</w:t>
      </w:r>
      <w:r w:rsidR="00140AA7">
        <w:t>.</w:t>
      </w:r>
      <w:r>
        <w:t xml:space="preserve"> </w:t>
      </w:r>
    </w:p>
    <w:p w14:paraId="76742217" w14:textId="77777777" w:rsidR="006F5194" w:rsidRPr="009A5AF8" w:rsidRDefault="006F5194" w:rsidP="00A20B6E">
      <w:pPr>
        <w:pStyle w:val="KUsmlouva-3rove"/>
        <w:numPr>
          <w:ilvl w:val="2"/>
          <w:numId w:val="13"/>
        </w:numPr>
        <w:spacing w:before="120" w:after="0"/>
        <w:ind w:left="1418" w:hanging="992"/>
        <w:contextualSpacing/>
      </w:pPr>
      <w:r w:rsidRPr="009A5AF8">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br/>
      </w:r>
      <w:r w:rsidRPr="009A5AF8">
        <w:t xml:space="preserve">se uvádějí, pokud jsou aplikovatelné). </w:t>
      </w:r>
    </w:p>
    <w:p w14:paraId="604CD2DA" w14:textId="77777777" w:rsidR="006F5194" w:rsidRPr="009A5AF8" w:rsidRDefault="006F5194" w:rsidP="00A20B6E">
      <w:pPr>
        <w:pStyle w:val="KUsmlouva-3rove"/>
        <w:numPr>
          <w:ilvl w:val="2"/>
          <w:numId w:val="13"/>
        </w:numPr>
        <w:spacing w:before="120" w:after="0"/>
        <w:ind w:left="1418" w:hanging="992"/>
        <w:contextualSpacing/>
      </w:pPr>
      <w:r w:rsidRPr="009A5AF8">
        <w:t>Materiály a zařízení zabudované do díla musí být shodné s odsouhlasenými vzorky.</w:t>
      </w:r>
    </w:p>
    <w:p w14:paraId="7E41D0D4" w14:textId="77777777" w:rsidR="006F5194" w:rsidRPr="009A5AF8" w:rsidRDefault="006F5194" w:rsidP="00A20B6E">
      <w:pPr>
        <w:pStyle w:val="KUsmlouva-3rove"/>
        <w:numPr>
          <w:ilvl w:val="2"/>
          <w:numId w:val="13"/>
        </w:numPr>
        <w:spacing w:before="120" w:after="0"/>
        <w:ind w:left="1418" w:hanging="992"/>
        <w:contextualSpacing/>
      </w:pPr>
      <w:r w:rsidRPr="009A5AF8">
        <w:lastRenderedPageBreak/>
        <w:t xml:space="preserve">Předložené vzorky budou po jejich odsouhlasení předány do skladu vzorků </w:t>
      </w:r>
      <w:r w:rsidR="008442CD" w:rsidRPr="009A5AF8">
        <w:br/>
      </w:r>
      <w:r w:rsidRPr="009A5AF8">
        <w:t xml:space="preserve">a v případě potřeby budou za účasti TDS zabudovány do stavby. Smluvní strany </w:t>
      </w:r>
      <w:r w:rsidR="001114A5">
        <w:br/>
      </w:r>
      <w:r w:rsidRPr="009A5AF8">
        <w:t>se shodly, že vzorky nezabudované do stavby se stávají majetkem objednatele.</w:t>
      </w:r>
    </w:p>
    <w:p w14:paraId="3DF55AD7" w14:textId="77777777" w:rsidR="006F5194" w:rsidRPr="009A5AF8" w:rsidRDefault="006F5194" w:rsidP="000C6A06">
      <w:pPr>
        <w:pStyle w:val="KUsmlouva-2rove"/>
        <w:numPr>
          <w:ilvl w:val="1"/>
          <w:numId w:val="13"/>
        </w:numPr>
        <w:spacing w:after="0"/>
        <w:ind w:left="567" w:hanging="567"/>
        <w:contextualSpacing/>
      </w:pPr>
      <w:r w:rsidRPr="009A5AF8">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08AAAD78"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16CD9363" w14:textId="77777777"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679BF8AE" w14:textId="77777777" w:rsidR="00256296" w:rsidRDefault="00256296" w:rsidP="00256296">
      <w:pPr>
        <w:pStyle w:val="KUsmlouva-2rove"/>
        <w:numPr>
          <w:ilvl w:val="0"/>
          <w:numId w:val="0"/>
        </w:numPr>
        <w:spacing w:after="0"/>
        <w:ind w:left="567"/>
        <w:contextualSpacing/>
      </w:pPr>
    </w:p>
    <w:p w14:paraId="65A0227F"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4B584292" w14:textId="77777777"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autorským dozorem.</w:t>
      </w:r>
    </w:p>
    <w:p w14:paraId="13FEAC1D" w14:textId="77777777"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66D73" w:rsidRPr="009A5AF8">
        <w:t>14</w:t>
      </w:r>
      <w:r w:rsidRPr="009A5AF8">
        <w:t xml:space="preserve"> 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2C1D9C8B"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070B4955"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5708E445"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0B2A1338"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68301140"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1712B026"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42FC6ADC"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689C5795" w14:textId="77777777"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41744E" w:rsidRPr="009A5AF8">
        <w:rPr>
          <w:rStyle w:val="KUTun"/>
          <w:b w:val="0"/>
        </w:rPr>
        <w:br/>
      </w:r>
      <w:r w:rsidRPr="009A5AF8">
        <w:rPr>
          <w:rStyle w:val="KUTun"/>
          <w:b w:val="0"/>
        </w:rPr>
        <w:t>č. 309/2006 Sb.) a jeho platnými prováděcími předpisy, dále pak platnými hygienickými předpisy a bezpečnostními opatřeními na ochranu lidí a majetku, zejména pak:</w:t>
      </w:r>
    </w:p>
    <w:p w14:paraId="50D8CAEA" w14:textId="77777777" w:rsidR="006F5194" w:rsidRPr="009A5AF8" w:rsidRDefault="006F5194" w:rsidP="001C2664">
      <w:pPr>
        <w:pStyle w:val="KUsmlouva-3rove"/>
        <w:numPr>
          <w:ilvl w:val="2"/>
          <w:numId w:val="13"/>
        </w:numPr>
        <w:spacing w:before="120" w:after="0"/>
        <w:contextualSpacing/>
        <w:rPr>
          <w:b/>
        </w:rPr>
      </w:pPr>
      <w:r w:rsidRPr="009A5AF8">
        <w:t>Splnění povinnosti dle § 16 písm. a) zákona č. 309/2006 Sb.</w:t>
      </w:r>
      <w:r w:rsidR="00E228AA">
        <w:t>,</w:t>
      </w:r>
    </w:p>
    <w:p w14:paraId="27ED6068" w14:textId="77777777"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 xml:space="preserve">oskytnout v souladu s § 16 písm. b) zákona č. 309/2006 Sb.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lastRenderedPageBreak/>
        <w:t>a neprodleně poskytnout jakoukoli informaci související s výkonem funkce koordinátora BOZP,</w:t>
      </w:r>
    </w:p>
    <w:p w14:paraId="589830C0"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1930DB7"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618208C2" w14:textId="77777777"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zákona a zákona č. 309/2006 Sb. Pro výkon této kontroly bude k nahlédnutí v kanceláři osoby pověřené vedením stavby (stavbyvedoucí) zejména:</w:t>
      </w:r>
    </w:p>
    <w:p w14:paraId="5496EE2A" w14:textId="77777777" w:rsidR="006F5194" w:rsidRPr="009A5AF8" w:rsidRDefault="006F5194" w:rsidP="001C2664">
      <w:pPr>
        <w:pStyle w:val="KUsmlouva-4rove"/>
        <w:numPr>
          <w:ilvl w:val="3"/>
          <w:numId w:val="13"/>
        </w:numPr>
        <w:spacing w:before="120"/>
        <w:contextualSpacing/>
      </w:pPr>
      <w:r w:rsidRPr="009A5AF8">
        <w:t>stavební deník,</w:t>
      </w:r>
    </w:p>
    <w:p w14:paraId="3D3BAC7B" w14:textId="77777777" w:rsidR="006F5194" w:rsidRPr="009A5AF8" w:rsidRDefault="006F5194" w:rsidP="001C2664">
      <w:pPr>
        <w:pStyle w:val="KUsmlouva-4rove"/>
        <w:numPr>
          <w:ilvl w:val="3"/>
          <w:numId w:val="13"/>
        </w:numPr>
        <w:spacing w:before="120"/>
        <w:contextualSpacing/>
      </w:pPr>
      <w:r w:rsidRPr="009A5AF8">
        <w:t>doklady dle zákona č. 309/2006 Sb. vztahující se ke stavbě,</w:t>
      </w:r>
    </w:p>
    <w:p w14:paraId="3554C1C0"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0F99BF2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18467A22"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62C82AB7" w14:textId="77777777" w:rsidR="00EA071A" w:rsidRPr="00EA071A" w:rsidRDefault="00EA071A" w:rsidP="00EA071A">
      <w:pPr>
        <w:pStyle w:val="KUsmlouva-4rove"/>
        <w:numPr>
          <w:ilvl w:val="0"/>
          <w:numId w:val="0"/>
        </w:numPr>
        <w:spacing w:before="120"/>
        <w:ind w:left="2325"/>
        <w:contextualSpacing/>
        <w:rPr>
          <w:color w:val="FF0000"/>
        </w:rPr>
      </w:pPr>
    </w:p>
    <w:p w14:paraId="341B8972" w14:textId="77777777" w:rsidR="002426FC" w:rsidRPr="007C559F" w:rsidRDefault="002426FC" w:rsidP="002426FC">
      <w:pPr>
        <w:numPr>
          <w:ilvl w:val="0"/>
          <w:numId w:val="13"/>
        </w:numPr>
        <w:spacing w:before="120"/>
        <w:ind w:left="567" w:hanging="567"/>
        <w:contextualSpacing/>
        <w:jc w:val="both"/>
        <w:rPr>
          <w:rFonts w:ascii="Arial" w:hAnsi="Arial" w:cs="Arial"/>
          <w:b/>
          <w:sz w:val="28"/>
          <w:szCs w:val="22"/>
        </w:rPr>
      </w:pPr>
      <w:r w:rsidRPr="007C559F">
        <w:rPr>
          <w:rFonts w:ascii="Arial" w:hAnsi="Arial" w:cs="Arial"/>
          <w:b/>
          <w:sz w:val="28"/>
          <w:szCs w:val="22"/>
        </w:rPr>
        <w:t xml:space="preserve">VLIV NA PROVOZ </w:t>
      </w:r>
      <w:r w:rsidR="004815DA" w:rsidRPr="007C559F">
        <w:rPr>
          <w:rFonts w:ascii="Arial" w:hAnsi="Arial" w:cs="Arial"/>
          <w:b/>
          <w:sz w:val="28"/>
          <w:szCs w:val="22"/>
        </w:rPr>
        <w:t>KNIHOVNY KROMĚŘÍŽSKA – PŘÍSPĚVKOVÉ ORGANIZACE</w:t>
      </w:r>
    </w:p>
    <w:p w14:paraId="1F74A186" w14:textId="77777777" w:rsidR="002426FC" w:rsidRPr="007C559F" w:rsidRDefault="002426FC" w:rsidP="002426FC">
      <w:pPr>
        <w:spacing w:before="120"/>
        <w:ind w:left="567" w:hanging="567"/>
        <w:contextualSpacing/>
        <w:jc w:val="both"/>
        <w:rPr>
          <w:rFonts w:ascii="Arial" w:hAnsi="Arial" w:cs="Arial"/>
          <w:szCs w:val="22"/>
        </w:rPr>
      </w:pPr>
    </w:p>
    <w:p w14:paraId="5865539E" w14:textId="77777777" w:rsidR="002426FC" w:rsidRPr="007C559F" w:rsidRDefault="002426FC" w:rsidP="002426FC">
      <w:pPr>
        <w:numPr>
          <w:ilvl w:val="1"/>
          <w:numId w:val="13"/>
        </w:numPr>
        <w:spacing w:before="120"/>
        <w:ind w:left="567" w:hanging="567"/>
        <w:contextualSpacing/>
        <w:jc w:val="both"/>
        <w:rPr>
          <w:rFonts w:ascii="Arial" w:hAnsi="Arial" w:cs="Arial"/>
          <w:szCs w:val="22"/>
        </w:rPr>
      </w:pPr>
      <w:bookmarkStart w:id="20" w:name="_Hlk98347237"/>
      <w:r w:rsidRPr="007C559F">
        <w:rPr>
          <w:rFonts w:ascii="Arial" w:hAnsi="Arial" w:cs="Arial"/>
          <w:szCs w:val="22"/>
        </w:rPr>
        <w:t xml:space="preserve">Zhotovitel bere na vědomí, že stavba bude probíhat za plného provozu </w:t>
      </w:r>
      <w:r w:rsidR="004815DA" w:rsidRPr="007C559F">
        <w:rPr>
          <w:rFonts w:ascii="Arial" w:hAnsi="Arial" w:cs="Arial"/>
          <w:szCs w:val="22"/>
        </w:rPr>
        <w:t>Knihovny Kroměřížska – příspěvkové organizace (dále jen „knihovny“)</w:t>
      </w:r>
      <w:r w:rsidRPr="007C559F">
        <w:rPr>
          <w:rFonts w:ascii="Arial" w:hAnsi="Arial" w:cs="Arial"/>
          <w:szCs w:val="22"/>
        </w:rPr>
        <w:t xml:space="preserve">. Zhotovitel přijme taková organizační opatření, aby provoz </w:t>
      </w:r>
      <w:r w:rsidR="004815DA" w:rsidRPr="007C559F">
        <w:rPr>
          <w:rFonts w:ascii="Arial" w:hAnsi="Arial" w:cs="Arial"/>
          <w:szCs w:val="22"/>
        </w:rPr>
        <w:t>knihovny</w:t>
      </w:r>
      <w:r w:rsidRPr="007C559F">
        <w:rPr>
          <w:rFonts w:ascii="Arial" w:hAnsi="Arial" w:cs="Arial"/>
          <w:szCs w:val="22"/>
        </w:rPr>
        <w:t xml:space="preserve"> nebyl v průběhu stavby zásadně rušen nebo omezen nad nezbytně nutnou míru. Zhotovitel přijme taková bezpečnostní organizační opatření, aby nedošlo k ohrožení života a zdraví klientů a zaměstnanců </w:t>
      </w:r>
      <w:r w:rsidR="004815DA" w:rsidRPr="007C559F">
        <w:rPr>
          <w:rFonts w:ascii="Arial" w:hAnsi="Arial" w:cs="Arial"/>
          <w:szCs w:val="22"/>
        </w:rPr>
        <w:t>knihovny</w:t>
      </w:r>
      <w:r w:rsidRPr="007C559F">
        <w:rPr>
          <w:rFonts w:ascii="Arial" w:hAnsi="Arial" w:cs="Arial"/>
          <w:szCs w:val="22"/>
        </w:rPr>
        <w:t xml:space="preserve"> a byl zamezen vstup nepovolaných osob do prostor, kde budou prováděny stavební práce nebo bude skladován materiál pro stavbu. </w:t>
      </w:r>
    </w:p>
    <w:p w14:paraId="4245A83E" w14:textId="77777777" w:rsidR="002426FC" w:rsidRPr="007C559F" w:rsidRDefault="002426FC" w:rsidP="002426FC">
      <w:pPr>
        <w:numPr>
          <w:ilvl w:val="1"/>
          <w:numId w:val="13"/>
        </w:numPr>
        <w:spacing w:before="120"/>
        <w:ind w:left="567" w:hanging="567"/>
        <w:contextualSpacing/>
        <w:jc w:val="both"/>
        <w:rPr>
          <w:rFonts w:ascii="Arial" w:hAnsi="Arial" w:cs="Arial"/>
          <w:szCs w:val="22"/>
        </w:rPr>
      </w:pPr>
      <w:r w:rsidRPr="007C559F">
        <w:rPr>
          <w:rFonts w:ascii="Arial" w:hAnsi="Arial" w:cs="Arial"/>
          <w:szCs w:val="22"/>
        </w:rPr>
        <w:t>Zhotovitel bude provádět stavební práce současně vždy</w:t>
      </w:r>
      <w:r w:rsidR="004815DA" w:rsidRPr="007C559F">
        <w:rPr>
          <w:rFonts w:ascii="Arial" w:hAnsi="Arial" w:cs="Arial"/>
          <w:szCs w:val="22"/>
        </w:rPr>
        <w:t xml:space="preserve"> tak, aby byl pro klienty i zaměstnance zajištění bezpečný vstup do knihovny</w:t>
      </w:r>
      <w:r w:rsidRPr="007C559F">
        <w:rPr>
          <w:rFonts w:ascii="Arial" w:hAnsi="Arial" w:cs="Arial"/>
          <w:szCs w:val="22"/>
        </w:rPr>
        <w:t>.</w:t>
      </w:r>
    </w:p>
    <w:p w14:paraId="0554362F" w14:textId="77777777" w:rsidR="002426FC" w:rsidRPr="007C559F" w:rsidRDefault="002426FC" w:rsidP="002426FC">
      <w:pPr>
        <w:numPr>
          <w:ilvl w:val="1"/>
          <w:numId w:val="13"/>
        </w:numPr>
        <w:spacing w:before="120"/>
        <w:ind w:left="567" w:hanging="567"/>
        <w:contextualSpacing/>
        <w:jc w:val="both"/>
        <w:rPr>
          <w:rFonts w:ascii="Arial" w:hAnsi="Arial" w:cs="Arial"/>
          <w:szCs w:val="22"/>
        </w:rPr>
      </w:pPr>
      <w:r w:rsidRPr="007C559F">
        <w:rPr>
          <w:rFonts w:ascii="Arial" w:hAnsi="Arial" w:cs="Arial"/>
          <w:szCs w:val="22"/>
        </w:rPr>
        <w:t xml:space="preserve">Zhotovitel bude v průběhu stavby předem informovat </w:t>
      </w:r>
      <w:r w:rsidR="00A11005" w:rsidRPr="007C559F">
        <w:rPr>
          <w:rFonts w:ascii="Arial" w:hAnsi="Arial" w:cs="Arial"/>
          <w:szCs w:val="22"/>
        </w:rPr>
        <w:t>ředitelku knihovny</w:t>
      </w:r>
      <w:r w:rsidRPr="007C559F">
        <w:rPr>
          <w:rFonts w:ascii="Arial" w:hAnsi="Arial" w:cs="Arial"/>
          <w:szCs w:val="22"/>
        </w:rPr>
        <w:t xml:space="preserve"> o plánovaných činnostech na stavbě v rámci stanovených kontrolních dnů, zejména o činnostech, při nichž vzniká zvýšený hluk a prašnost, a bude s</w:t>
      </w:r>
      <w:r w:rsidR="00A11005" w:rsidRPr="007C559F">
        <w:rPr>
          <w:rFonts w:ascii="Arial" w:hAnsi="Arial" w:cs="Arial"/>
          <w:szCs w:val="22"/>
        </w:rPr>
        <w:t> ředitelkou knihovny</w:t>
      </w:r>
      <w:r w:rsidRPr="007C559F">
        <w:rPr>
          <w:rFonts w:ascii="Arial" w:hAnsi="Arial" w:cs="Arial"/>
          <w:szCs w:val="22"/>
        </w:rPr>
        <w:t xml:space="preserve"> koordinovat opatření ke snížení prašnosti a hlučnosti stavby a k zajištění bezpečnosti klientů a zaměstnanců </w:t>
      </w:r>
      <w:r w:rsidR="00A11005" w:rsidRPr="007C559F">
        <w:rPr>
          <w:rFonts w:ascii="Arial" w:hAnsi="Arial" w:cs="Arial"/>
          <w:szCs w:val="22"/>
        </w:rPr>
        <w:t>knihovny</w:t>
      </w:r>
      <w:r w:rsidRPr="007C559F">
        <w:rPr>
          <w:rFonts w:ascii="Arial" w:hAnsi="Arial" w:cs="Arial"/>
          <w:szCs w:val="22"/>
        </w:rPr>
        <w:t>. </w:t>
      </w:r>
    </w:p>
    <w:p w14:paraId="0AAF4C85" w14:textId="77777777" w:rsidR="002426FC" w:rsidRDefault="002426FC" w:rsidP="00BD14CD">
      <w:pPr>
        <w:numPr>
          <w:ilvl w:val="1"/>
          <w:numId w:val="13"/>
        </w:numPr>
        <w:spacing w:before="120"/>
        <w:ind w:left="567" w:hanging="567"/>
        <w:contextualSpacing/>
        <w:jc w:val="both"/>
        <w:rPr>
          <w:rFonts w:ascii="Arial" w:hAnsi="Arial" w:cs="Arial"/>
          <w:szCs w:val="22"/>
        </w:rPr>
      </w:pPr>
      <w:r w:rsidRPr="007C559F">
        <w:rPr>
          <w:rFonts w:ascii="Arial" w:hAnsi="Arial" w:cs="Arial"/>
          <w:szCs w:val="22"/>
        </w:rPr>
        <w:t>Případné přerušení dodávky elektřiny, vody nebo plynu, nutné pro provedení stavebních prací, provede zhotovitel pouze po předchozí dohodě s</w:t>
      </w:r>
      <w:r w:rsidR="00A11005" w:rsidRPr="007C559F">
        <w:rPr>
          <w:rFonts w:ascii="Arial" w:hAnsi="Arial" w:cs="Arial"/>
          <w:szCs w:val="22"/>
        </w:rPr>
        <w:t> ředitelkou knihovny</w:t>
      </w:r>
      <w:r w:rsidRPr="007C559F">
        <w:rPr>
          <w:rFonts w:ascii="Arial" w:hAnsi="Arial" w:cs="Arial"/>
          <w:szCs w:val="22"/>
        </w:rPr>
        <w:t>.</w:t>
      </w:r>
      <w:bookmarkEnd w:id="20"/>
    </w:p>
    <w:p w14:paraId="02173A93" w14:textId="77777777" w:rsidR="00650BEA" w:rsidRPr="007C559F" w:rsidRDefault="00650BEA" w:rsidP="00650BEA">
      <w:pPr>
        <w:spacing w:before="120"/>
        <w:ind w:left="567"/>
        <w:contextualSpacing/>
        <w:jc w:val="both"/>
        <w:rPr>
          <w:rFonts w:ascii="Arial" w:hAnsi="Arial" w:cs="Arial"/>
          <w:szCs w:val="22"/>
        </w:rPr>
      </w:pPr>
    </w:p>
    <w:p w14:paraId="502ECBFA"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2E5426F7"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6D67A6D9"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Místem předání je místo, kde je stavba prováděna. Předání a převzetí se povinně účastní zástupci objednatele, TDS a AD. Zhotovitel může vyzvat k účasti na předání a převzetí díla své poddodavatele, zejména technologické části stavby.</w:t>
      </w:r>
    </w:p>
    <w:p w14:paraId="3C78B9DC"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7E7EFD77"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lastRenderedPageBreak/>
        <w:t>Přejímací řízení:</w:t>
      </w:r>
    </w:p>
    <w:p w14:paraId="68CEC88C" w14:textId="77777777"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minimálně </w:t>
      </w:r>
      <w:r w:rsidRPr="009A5AF8">
        <w:rPr>
          <w:b/>
        </w:rPr>
        <w:t xml:space="preserve">10 pracovních dnů před koncem lhůty plnění </w:t>
      </w:r>
      <w:r w:rsidRPr="009A5AF8">
        <w:t xml:space="preserve">písemně oznámí datum dokončení díla a současně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5FF088AF" w14:textId="77777777" w:rsidR="006F5194" w:rsidRPr="009A5AF8" w:rsidRDefault="006F5194" w:rsidP="001C2664">
      <w:pPr>
        <w:pStyle w:val="KUsmlouva-3rove"/>
        <w:numPr>
          <w:ilvl w:val="2"/>
          <w:numId w:val="13"/>
        </w:numPr>
        <w:spacing w:before="120" w:after="0"/>
        <w:contextualSpacing/>
        <w:rPr>
          <w:b/>
        </w:rPr>
      </w:pPr>
      <w:r w:rsidRPr="009A5AF8">
        <w:t>Seznam se zaznamenanými vadami a nedodělky bude uložen na staveništi v kanceláři stavbyvedoucího. Seznam bude předán objednateli po odstranění všech vad a nedodělků.</w:t>
      </w:r>
    </w:p>
    <w:p w14:paraId="29B89C02" w14:textId="77777777" w:rsidR="006F5194" w:rsidRPr="00411B7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w:t>
      </w:r>
      <w:r w:rsidRPr="00411B78">
        <w:rPr>
          <w:b/>
        </w:rPr>
        <w:t>termíny odstranění</w:t>
      </w:r>
      <w:r w:rsidRPr="00411B78">
        <w:t xml:space="preserve">. Dílo, které není řádně dokončeno, </w:t>
      </w:r>
      <w:r w:rsidRPr="00411B78">
        <w:rPr>
          <w:b/>
        </w:rPr>
        <w:t>není objednatel povinen převzít</w:t>
      </w:r>
      <w:r w:rsidRPr="00411B78">
        <w:t>. Za nedokončené dílo se považuje dílo i v případě, že dosažené výsledky nebudou odpovídat hodnotám a kritériím uvedeným v projektové dokumentaci, platným právním předpisům včetně technických norem a této smlouvě.</w:t>
      </w:r>
    </w:p>
    <w:p w14:paraId="2A45CAED" w14:textId="77777777" w:rsidR="006F5194" w:rsidRPr="00411B78" w:rsidRDefault="006F5194" w:rsidP="001C2664">
      <w:pPr>
        <w:pStyle w:val="KUsmlouva-3rove"/>
        <w:numPr>
          <w:ilvl w:val="2"/>
          <w:numId w:val="13"/>
        </w:numPr>
        <w:spacing w:before="120" w:after="0"/>
        <w:contextualSpacing/>
      </w:pPr>
      <w:r w:rsidRPr="00411B78">
        <w:t xml:space="preserve">K přejímce díla je zhotovitel povinen objednateli předložit následující </w:t>
      </w:r>
      <w:r w:rsidRPr="00411B78">
        <w:rPr>
          <w:b/>
        </w:rPr>
        <w:t>doklady v</w:t>
      </w:r>
      <w:r w:rsidR="00036E60" w:rsidRPr="00411B78">
        <w:rPr>
          <w:b/>
        </w:rPr>
        <w:t>e</w:t>
      </w:r>
      <w:r w:rsidRPr="00411B78">
        <w:rPr>
          <w:b/>
        </w:rPr>
        <w:t> </w:t>
      </w:r>
      <w:r w:rsidR="00FD104A" w:rsidRPr="00411B78">
        <w:rPr>
          <w:b/>
        </w:rPr>
        <w:t>3</w:t>
      </w:r>
      <w:r w:rsidRPr="00411B78">
        <w:rPr>
          <w:b/>
        </w:rPr>
        <w:t xml:space="preserve"> vyhotoveních</w:t>
      </w:r>
      <w:r w:rsidRPr="00411B78">
        <w:t>:</w:t>
      </w:r>
    </w:p>
    <w:p w14:paraId="5286A38A" w14:textId="77777777" w:rsidR="002D2BD5" w:rsidRPr="00411B78" w:rsidRDefault="006F5194" w:rsidP="002D2BD5">
      <w:pPr>
        <w:pStyle w:val="KUsmlouva-4rove"/>
        <w:numPr>
          <w:ilvl w:val="3"/>
          <w:numId w:val="13"/>
        </w:numPr>
        <w:spacing w:before="120"/>
        <w:contextualSpacing/>
      </w:pPr>
      <w:r w:rsidRPr="00411B78">
        <w:t>projektovou dokumentaci skutečného provedení stavby vč. geodetického zaměření stavby a geometrického plánu</w:t>
      </w:r>
      <w:r w:rsidR="002D2BD5" w:rsidRPr="00411B78">
        <w:t xml:space="preserve"> (zahrnující i nově zbudovanou technickou infrastrukturu)</w:t>
      </w:r>
      <w:r w:rsidR="00E228AA" w:rsidRPr="00411B78">
        <w:t>,</w:t>
      </w:r>
    </w:p>
    <w:p w14:paraId="123CBCE1" w14:textId="77777777" w:rsidR="006F5194" w:rsidRPr="009A5AF8" w:rsidRDefault="00FD20AC" w:rsidP="001C2664">
      <w:pPr>
        <w:pStyle w:val="KUsmlouva-4rove"/>
        <w:numPr>
          <w:ilvl w:val="3"/>
          <w:numId w:val="13"/>
        </w:numPr>
        <w:spacing w:before="120"/>
        <w:contextualSpacing/>
      </w:pPr>
      <w:r w:rsidRPr="00411B78">
        <w:t>protokol o předání podkladů pro technickou mapu</w:t>
      </w:r>
      <w:r w:rsidR="00B271A9" w:rsidRPr="00411B78">
        <w:t xml:space="preserve"> </w:t>
      </w:r>
      <w:r w:rsidR="00486F22" w:rsidRPr="00411B78">
        <w:t>-</w:t>
      </w:r>
      <w:r w:rsidR="006E3596" w:rsidRPr="00411B78">
        <w:t xml:space="preserve"> </w:t>
      </w:r>
      <w:r w:rsidR="00B271A9" w:rsidRPr="00411B78">
        <w:t>s</w:t>
      </w:r>
      <w:r w:rsidR="006E3596" w:rsidRPr="00411B78">
        <w:t>tavebník se zavazuje před kolaudací objektů umístěných na pozem</w:t>
      </w:r>
      <w:r w:rsidR="00486F22" w:rsidRPr="00411B78">
        <w:t>cích</w:t>
      </w:r>
      <w:r w:rsidR="006E3596" w:rsidRPr="00411B78">
        <w:t xml:space="preserve"> </w:t>
      </w:r>
      <w:r w:rsidR="004E1E8D" w:rsidRPr="00411B78">
        <w:t>objednatele</w:t>
      </w:r>
      <w:r w:rsidR="006E3596" w:rsidRPr="00411B78">
        <w:t xml:space="preserve"> předat geodetickou dokumentaci stavby</w:t>
      </w:r>
      <w:r w:rsidR="006E3596" w:rsidRPr="006E3596">
        <w:t>/dokumentaci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r w:rsidR="00E228AA">
        <w:t>,</w:t>
      </w:r>
    </w:p>
    <w:p w14:paraId="3F26ABC0" w14:textId="77777777" w:rsidR="006F5194" w:rsidRPr="009A5AF8" w:rsidRDefault="006F5194" w:rsidP="001C2664">
      <w:pPr>
        <w:pStyle w:val="KUsmlouva-4rove"/>
        <w:numPr>
          <w:ilvl w:val="3"/>
          <w:numId w:val="13"/>
        </w:numPr>
        <w:spacing w:before="120"/>
        <w:contextualSpacing/>
      </w:pPr>
      <w:r w:rsidRPr="009A5AF8">
        <w:t>osvědčení (protokoly) o provedených zkouškách (tlakových, revizních a provozních)</w:t>
      </w:r>
      <w:r w:rsidR="00E228AA">
        <w:t>,</w:t>
      </w:r>
    </w:p>
    <w:p w14:paraId="4997BE70" w14:textId="77777777" w:rsidR="006F5194" w:rsidRPr="009A5AF8" w:rsidRDefault="006F5194" w:rsidP="001C2664">
      <w:pPr>
        <w:pStyle w:val="KUsmlouva-4rove"/>
        <w:numPr>
          <w:ilvl w:val="3"/>
          <w:numId w:val="13"/>
        </w:numPr>
        <w:spacing w:before="120"/>
        <w:contextualSpacing/>
      </w:pPr>
      <w:r w:rsidRPr="009A5AF8">
        <w:t xml:space="preserve">doklad o zajištění likvidace odpadů dle zákona č. 541/2020 Sb., </w:t>
      </w:r>
      <w:r w:rsidR="0041744E" w:rsidRPr="009A5AF8">
        <w:br/>
      </w:r>
      <w:r w:rsidRPr="009A5AF8">
        <w:t>o odpadech, v platném znění, a jeho prováděcích předpisů</w:t>
      </w:r>
      <w:r w:rsidR="00F62145" w:rsidRPr="009A5AF8">
        <w:t>, kdy minimálně 70 % stavebního a demoličního odpadu (nikoliv nebezpečného, mimo kategorii 17 05 04) vzniklého na staveništi, bylo použito k opětovnému použití, recyklaci nebo jinému materiálovému využití</w:t>
      </w:r>
      <w:r w:rsidR="00E228AA">
        <w:t>,</w:t>
      </w:r>
    </w:p>
    <w:p w14:paraId="5D71B8C9" w14:textId="77777777" w:rsidR="006F5194" w:rsidRPr="009A5AF8" w:rsidRDefault="006F5194" w:rsidP="001C2664">
      <w:pPr>
        <w:pStyle w:val="KUsmlouva-4rove"/>
        <w:numPr>
          <w:ilvl w:val="3"/>
          <w:numId w:val="13"/>
        </w:numPr>
        <w:spacing w:before="120"/>
        <w:contextualSpacing/>
      </w:pPr>
      <w:r w:rsidRPr="009A5AF8">
        <w:t>seznam strojů a zařízení, které jsou součástí díla, jejich pasporty, záruční listy, návody k obsluze a údržbě v českém jazyce</w:t>
      </w:r>
      <w:r w:rsidR="00E228AA">
        <w:t>,</w:t>
      </w:r>
    </w:p>
    <w:p w14:paraId="6ECAD8A6" w14:textId="77777777" w:rsidR="00765722" w:rsidRPr="009A5AF8" w:rsidRDefault="00765722" w:rsidP="001C2664">
      <w:pPr>
        <w:pStyle w:val="KUsmlouva-4rove"/>
        <w:numPr>
          <w:ilvl w:val="3"/>
          <w:numId w:val="13"/>
        </w:numPr>
        <w:spacing w:before="120"/>
        <w:contextualSpacing/>
      </w:pPr>
      <w:r w:rsidRPr="009A5AF8">
        <w:t>návrh provozního řádu</w:t>
      </w:r>
      <w:r w:rsidR="00E228AA">
        <w:t>,</w:t>
      </w:r>
    </w:p>
    <w:p w14:paraId="76E64C24" w14:textId="77777777" w:rsidR="006F5194" w:rsidRPr="006E3596" w:rsidRDefault="006F5194" w:rsidP="001C2664">
      <w:pPr>
        <w:pStyle w:val="KUsmlouva-4rove"/>
        <w:numPr>
          <w:ilvl w:val="3"/>
          <w:numId w:val="13"/>
        </w:numPr>
        <w:spacing w:before="120"/>
        <w:contextualSpacing/>
      </w:pPr>
      <w:r w:rsidRPr="006E3596">
        <w:t>protokol o zaškolení obsluhy</w:t>
      </w:r>
      <w:r w:rsidR="00E228AA">
        <w:t>,</w:t>
      </w:r>
    </w:p>
    <w:p w14:paraId="7C03FA62"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3FA984CD"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65588868" w14:textId="77777777" w:rsidR="006F5194" w:rsidRPr="006E3596" w:rsidRDefault="006F5194" w:rsidP="001C2664">
      <w:pPr>
        <w:pStyle w:val="KUsmlouva-4rove"/>
        <w:numPr>
          <w:ilvl w:val="3"/>
          <w:numId w:val="13"/>
        </w:numPr>
        <w:spacing w:before="120"/>
        <w:contextualSpacing/>
      </w:pPr>
      <w:r w:rsidRPr="006E3596">
        <w:t>zápisy o provedení a kontrole zakrývaných prací včetně fotodokumentace, pokud již nebyla předána objednateli dříve</w:t>
      </w:r>
      <w:r w:rsidR="00E228AA">
        <w:t>,</w:t>
      </w:r>
    </w:p>
    <w:p w14:paraId="1075F91E" w14:textId="77777777" w:rsidR="007F0BFA" w:rsidRPr="006E3596" w:rsidRDefault="006F5194" w:rsidP="00556CB7">
      <w:pPr>
        <w:pStyle w:val="KUsmlouva-4rove"/>
        <w:numPr>
          <w:ilvl w:val="3"/>
          <w:numId w:val="13"/>
        </w:numPr>
        <w:contextualSpacing/>
      </w:pPr>
      <w:r w:rsidRPr="006E3596">
        <w:t>osvědčení a další doklady, které bude objednatel požadovat po zhotoviteli k vydání kolaudačního souhlasu v souladu s ustanovením stavebního zákona, a o které písemně požádá v SD nejméně 14 dnů před zahájením přejímacího řízení a další doklady potřebné pro kolaudaci a užívání díla</w:t>
      </w:r>
      <w:r w:rsidR="00E228AA">
        <w:t>,</w:t>
      </w:r>
      <w:r w:rsidRPr="006E3596">
        <w:t xml:space="preserve"> </w:t>
      </w:r>
    </w:p>
    <w:p w14:paraId="18E2A6A1"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4A1F20D7"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273BB458" w14:textId="77777777" w:rsidR="006F5194" w:rsidRPr="006E3596" w:rsidRDefault="006F5194" w:rsidP="001C2664">
      <w:pPr>
        <w:pStyle w:val="KUsmlouva-3rove"/>
        <w:numPr>
          <w:ilvl w:val="2"/>
          <w:numId w:val="13"/>
        </w:numPr>
        <w:spacing w:before="120" w:after="0"/>
        <w:contextualSpacing/>
        <w:rPr>
          <w:b/>
        </w:rPr>
      </w:pPr>
      <w:r w:rsidRPr="006E3596">
        <w:lastRenderedPageBreak/>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38825E73"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7C6E2A61" w14:textId="77777777" w:rsidR="00650BEA" w:rsidRPr="00BD14CD" w:rsidRDefault="00650BEA" w:rsidP="00650BEA">
      <w:pPr>
        <w:pStyle w:val="KUsmlouva-2rove"/>
        <w:numPr>
          <w:ilvl w:val="0"/>
          <w:numId w:val="0"/>
        </w:numPr>
        <w:spacing w:after="0"/>
        <w:ind w:left="567"/>
        <w:contextualSpacing/>
        <w:rPr>
          <w:b/>
        </w:rPr>
      </w:pPr>
    </w:p>
    <w:p w14:paraId="295CCBD1"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6803DF13"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7791C70C"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2E8E0DD3" w14:textId="77777777" w:rsidR="00F020D3" w:rsidRPr="009A5AF8" w:rsidRDefault="006F5194" w:rsidP="001C2664">
      <w:pPr>
        <w:pStyle w:val="KUsmlouva-2rove"/>
        <w:numPr>
          <w:ilvl w:val="1"/>
          <w:numId w:val="13"/>
        </w:numPr>
        <w:spacing w:after="0"/>
        <w:ind w:left="567" w:hanging="567"/>
        <w:contextualSpacing/>
        <w:rPr>
          <w:b/>
          <w:szCs w:val="22"/>
        </w:rPr>
      </w:pPr>
      <w:bookmarkStart w:id="21"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14222D">
        <w:rPr>
          <w:b/>
          <w:bCs/>
          <w:szCs w:val="22"/>
        </w:rPr>
        <w:t>minimálně</w:t>
      </w:r>
      <w:r w:rsidRPr="0014222D">
        <w:rPr>
          <w:b/>
          <w:szCs w:val="22"/>
        </w:rPr>
        <w:t> </w:t>
      </w:r>
      <w:r w:rsidR="00BB43DB">
        <w:rPr>
          <w:b/>
          <w:szCs w:val="22"/>
        </w:rPr>
        <w:t>15</w:t>
      </w:r>
      <w:r w:rsidR="00CB05C8" w:rsidRPr="004E784E">
        <w:rPr>
          <w:b/>
          <w:szCs w:val="22"/>
        </w:rPr>
        <w:t>.000.000,-</w:t>
      </w:r>
      <w:r w:rsidRPr="0014222D">
        <w:rPr>
          <w:b/>
          <w:szCs w:val="22"/>
        </w:rPr>
        <w:t xml:space="preserve"> Kč</w:t>
      </w:r>
      <w:r w:rsidRPr="009A5AF8">
        <w:rPr>
          <w:b/>
          <w:szCs w:val="22"/>
        </w:rPr>
        <w:t>.</w:t>
      </w:r>
      <w:r w:rsidRPr="009A5AF8">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21"/>
    </w:p>
    <w:p w14:paraId="1AB511E0" w14:textId="77777777" w:rsidR="006F5194" w:rsidRPr="006E3596" w:rsidRDefault="00F020D3" w:rsidP="001C2664">
      <w:pPr>
        <w:pStyle w:val="KUsmlouva-2rove"/>
        <w:numPr>
          <w:ilvl w:val="1"/>
          <w:numId w:val="13"/>
        </w:numPr>
        <w:spacing w:after="0"/>
        <w:ind w:left="567" w:hanging="567"/>
        <w:contextualSpacing/>
        <w:rPr>
          <w:b/>
          <w:szCs w:val="22"/>
        </w:rPr>
      </w:pPr>
      <w:bookmarkStart w:id="22" w:name="_Ref156312764"/>
      <w:r w:rsidRPr="009A5AF8">
        <w:t xml:space="preserve">Zhotovitel předloží nejpozději ke dni protokolárního převzetí staveniště objednateli originál nebo úředně ověřenou kopii pojistné smlouvy (případně pojistný certifikát), z níž je zřejmé, že má sjednáno </w:t>
      </w:r>
      <w:r w:rsidRPr="009A5AF8">
        <w:rPr>
          <w:b/>
          <w:bCs/>
        </w:rPr>
        <w:t>stavebně-montážní pojištění rizik</w:t>
      </w:r>
      <w:r w:rsidRPr="009A5AF8">
        <w:t xml:space="preserve">, která mohou vzniknout v průběhu montáže nebo stavby, na pojistnou částku </w:t>
      </w:r>
      <w:r w:rsidRPr="006E3596">
        <w:rPr>
          <w:b/>
          <w:bCs/>
        </w:rPr>
        <w:t>ve výši minimálně 10.000.000,-Kč</w:t>
      </w:r>
      <w:r w:rsidRPr="006E3596">
        <w:t>. Pojistná smlouva musí být uzavřena tak, aby se vztahovala i na poddodavatele zhotovitele, případně na členy sdružení (tzv. „křížová odpovědnost“).</w:t>
      </w:r>
      <w:bookmarkEnd w:id="22"/>
      <w:r w:rsidR="006F5194" w:rsidRPr="006E3596">
        <w:rPr>
          <w:szCs w:val="22"/>
        </w:rPr>
        <w:t xml:space="preserve"> </w:t>
      </w:r>
    </w:p>
    <w:p w14:paraId="2F7B7706"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2E91E0F2" w14:textId="77777777" w:rsidR="00650BEA" w:rsidRPr="00BD14CD" w:rsidRDefault="00650BEA" w:rsidP="00650BEA">
      <w:pPr>
        <w:pStyle w:val="KUsmlouva-2rove"/>
        <w:numPr>
          <w:ilvl w:val="0"/>
          <w:numId w:val="0"/>
        </w:numPr>
        <w:spacing w:after="0"/>
        <w:ind w:left="567"/>
        <w:contextualSpacing/>
        <w:rPr>
          <w:b/>
          <w:szCs w:val="22"/>
        </w:rPr>
      </w:pPr>
    </w:p>
    <w:p w14:paraId="2D6F6D7F"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26C862DA"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70850422"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9FC7C5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263C114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96F45D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6CD7A877" w14:textId="77777777" w:rsidR="006F5194" w:rsidRPr="0014222D" w:rsidRDefault="006F5194" w:rsidP="001C2664">
      <w:pPr>
        <w:pStyle w:val="KUsmlouva-2rove"/>
        <w:numPr>
          <w:ilvl w:val="1"/>
          <w:numId w:val="13"/>
        </w:numPr>
        <w:spacing w:after="0"/>
        <w:ind w:left="567" w:hanging="567"/>
        <w:contextualSpacing/>
        <w:rPr>
          <w:b/>
          <w:szCs w:val="22"/>
        </w:rPr>
      </w:pPr>
      <w:bookmarkStart w:id="23" w:name="_Ref320796570"/>
      <w:bookmarkStart w:id="24" w:name="_Ref158384999"/>
      <w:r w:rsidRPr="0014222D">
        <w:rPr>
          <w:szCs w:val="22"/>
        </w:rPr>
        <w:lastRenderedPageBreak/>
        <w:t xml:space="preserve">Záruční doba na dílo jako celek začíná běžet ode dne podpisu protokolu o předání a převzetí díla jako celku, a to v délce </w:t>
      </w:r>
      <w:r w:rsidRPr="0014222D">
        <w:rPr>
          <w:b/>
          <w:szCs w:val="22"/>
        </w:rPr>
        <w:t>60 měsíců.</w:t>
      </w:r>
      <w:bookmarkEnd w:id="23"/>
      <w:r w:rsidRPr="0014222D">
        <w:rPr>
          <w:b/>
          <w:szCs w:val="22"/>
        </w:rPr>
        <w:t xml:space="preserve"> </w:t>
      </w:r>
      <w:r w:rsidRPr="0014222D">
        <w:rPr>
          <w:szCs w:val="22"/>
        </w:rPr>
        <w:t>Záruční doba neběží po dobu, po kterou nemůže objednatel dílo užívat pro vady, za které odpovídá zhotovitel.</w:t>
      </w:r>
      <w:bookmarkEnd w:id="24"/>
      <w:r w:rsidR="008F33CB" w:rsidRPr="0014222D">
        <w:rPr>
          <w:szCs w:val="22"/>
        </w:rPr>
        <w:t xml:space="preserve"> Záruka se nevztahuje na vady způsobené běžným užíváním spotřebního materiálu, jako jsou žárovky či jiné předměty pos</w:t>
      </w:r>
      <w:r w:rsidR="00452AA9">
        <w:rPr>
          <w:szCs w:val="22"/>
        </w:rPr>
        <w:t>t</w:t>
      </w:r>
      <w:r w:rsidR="008F33CB" w:rsidRPr="0014222D">
        <w:rPr>
          <w:szCs w:val="22"/>
        </w:rPr>
        <w:t xml:space="preserve">upné spotřeby, ani na vady vzniklé běžným a obvyklým užíváním díla. </w:t>
      </w:r>
    </w:p>
    <w:p w14:paraId="2866C921"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0A3EC00C"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45A43A9"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35E25FD2"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4882C252" w14:textId="77777777" w:rsidR="00650BEA" w:rsidRPr="00BD14CD" w:rsidRDefault="00650BEA" w:rsidP="00650BEA">
      <w:pPr>
        <w:pStyle w:val="KUsmlouva-2rove"/>
        <w:numPr>
          <w:ilvl w:val="0"/>
          <w:numId w:val="0"/>
        </w:numPr>
        <w:spacing w:after="0"/>
        <w:ind w:left="567"/>
        <w:contextualSpacing/>
        <w:rPr>
          <w:szCs w:val="22"/>
        </w:rPr>
      </w:pPr>
    </w:p>
    <w:p w14:paraId="5B65A51F"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657C6E3A"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719D8A59" w14:textId="77777777" w:rsidR="006F5194" w:rsidRPr="0014222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formou e-mailu, datovou zprávou do datové schránky nebo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 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r w:rsidR="00404E18" w:rsidRPr="006E3596">
        <w:rPr>
          <w:szCs w:val="22"/>
        </w:rPr>
        <w:t xml:space="preserve">Jedná-li se však o havarijní stav týkající se poruchy rozvodu vody, elektřiny a tepla, klimatizace, </w:t>
      </w:r>
      <w:r w:rsidR="00404E18" w:rsidRPr="0014222D">
        <w:rPr>
          <w:szCs w:val="22"/>
        </w:rPr>
        <w:t>zahájí práce bezodkladně a nejpozdější lhůta 48 hodin uvedená v předchozí větě je zkrácena na 24 hodin</w:t>
      </w:r>
      <w:r w:rsidR="00B06838" w:rsidRPr="0014222D">
        <w:rPr>
          <w:szCs w:val="22"/>
        </w:rPr>
        <w:t xml:space="preserve"> od jeho oznámení.</w:t>
      </w:r>
    </w:p>
    <w:p w14:paraId="43D16C05"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5429E70A"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669141B3"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w:t>
      </w:r>
      <w:r w:rsidR="007261A2">
        <w:rPr>
          <w:szCs w:val="22"/>
        </w:rPr>
        <w:lastRenderedPageBreak/>
        <w:t xml:space="preserve">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6D924C6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208A56ED" w14:textId="77777777" w:rsidR="006652C7" w:rsidRPr="00650BEA" w:rsidRDefault="006F5194" w:rsidP="00BD14CD">
      <w:pPr>
        <w:pStyle w:val="KUsmlouva-2rove"/>
        <w:numPr>
          <w:ilvl w:val="1"/>
          <w:numId w:val="13"/>
        </w:numPr>
        <w:spacing w:after="0"/>
        <w:ind w:left="567" w:hanging="567"/>
        <w:contextualSpacing/>
        <w:rPr>
          <w:b/>
          <w:bCs/>
          <w:szCs w:val="22"/>
        </w:rPr>
      </w:pPr>
      <w:r w:rsidRPr="008E2B93">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76358275" w14:textId="77777777" w:rsidR="00650BEA" w:rsidRPr="00BD14CD" w:rsidRDefault="00650BEA" w:rsidP="00650BEA">
      <w:pPr>
        <w:pStyle w:val="KUsmlouva-2rove"/>
        <w:numPr>
          <w:ilvl w:val="0"/>
          <w:numId w:val="0"/>
        </w:numPr>
        <w:spacing w:after="0"/>
        <w:ind w:left="567"/>
        <w:contextualSpacing/>
        <w:rPr>
          <w:b/>
          <w:bCs/>
          <w:szCs w:val="22"/>
        </w:rPr>
      </w:pPr>
    </w:p>
    <w:p w14:paraId="7DDAC3D4" w14:textId="77777777" w:rsidR="006F5194" w:rsidRPr="008B4C91" w:rsidRDefault="006F5194" w:rsidP="008B4C91">
      <w:pPr>
        <w:pStyle w:val="KUsmlouva-1rove"/>
        <w:numPr>
          <w:ilvl w:val="0"/>
          <w:numId w:val="13"/>
        </w:numPr>
        <w:spacing w:before="120" w:after="0"/>
        <w:ind w:left="567" w:hanging="567"/>
        <w:jc w:val="left"/>
        <w:rPr>
          <w:rFonts w:cs="Arial"/>
          <w:sz w:val="28"/>
        </w:rPr>
      </w:pPr>
      <w:bookmarkStart w:id="25" w:name="_Ref372283607"/>
      <w:r w:rsidRPr="008B4C91">
        <w:rPr>
          <w:rFonts w:cs="Arial"/>
          <w:sz w:val="28"/>
        </w:rPr>
        <w:t>SMLUVNÍ SANKCE</w:t>
      </w:r>
      <w:bookmarkEnd w:id="25"/>
    </w:p>
    <w:p w14:paraId="4C9789A3"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ED3968">
        <w:rPr>
          <w:b/>
        </w:rPr>
        <w:t>1</w:t>
      </w:r>
      <w:r w:rsidR="00ED3968" w:rsidRPr="000F3977">
        <w:rPr>
          <w:b/>
        </w:rPr>
        <w:t>0</w:t>
      </w:r>
      <w:r w:rsidR="00EA2B9D" w:rsidRPr="000F3977">
        <w:rPr>
          <w:b/>
          <w:bCs/>
        </w:rPr>
        <w:t>.000</w:t>
      </w:r>
      <w:r w:rsidRPr="00EA2B9D">
        <w:rPr>
          <w:b/>
          <w:bCs/>
        </w:rPr>
        <w:t>,-</w:t>
      </w:r>
      <w:r w:rsidR="00EA2B9D" w:rsidRPr="00EA2B9D">
        <w:rPr>
          <w:b/>
          <w:bCs/>
        </w:rPr>
        <w:t xml:space="preserve"> </w:t>
      </w:r>
      <w:r w:rsidRPr="00EA2B9D">
        <w:rPr>
          <w:b/>
          <w:bCs/>
        </w:rPr>
        <w:t>Kč</w:t>
      </w:r>
      <w:r w:rsidRPr="008B4C91">
        <w:t xml:space="preserve"> za každý započatý kalendářní den prodlení s předáním díla oproti termínu dokončení díla dle této smlouvy; </w:t>
      </w:r>
    </w:p>
    <w:p w14:paraId="6C880229"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BC719F">
        <w:rPr>
          <w:b/>
        </w:rPr>
        <w:t>5</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38C7D7D4"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BC719F">
        <w:rPr>
          <w:b/>
        </w:rPr>
        <w:t>5</w:t>
      </w:r>
      <w:r w:rsidR="00AF2E05">
        <w:rPr>
          <w:b/>
        </w:rPr>
        <w:t>.000,-</w:t>
      </w:r>
      <w:r w:rsidRPr="008B4C91">
        <w:rPr>
          <w:b/>
          <w:bCs/>
        </w:rPr>
        <w:t xml:space="preserve"> Kč </w:t>
      </w:r>
      <w:r w:rsidRPr="008B4C91">
        <w:t xml:space="preserve">za každou vadu </w:t>
      </w:r>
      <w:r w:rsidR="0041744E">
        <w:br/>
      </w:r>
      <w:r w:rsidRPr="008B4C91">
        <w:t>a kalendářní den prodlení;</w:t>
      </w:r>
    </w:p>
    <w:p w14:paraId="65AFC072"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BC719F">
        <w:rPr>
          <w:b/>
        </w:rPr>
        <w:t>5</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2276CCDA" w14:textId="77777777"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celou pracovní dobu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7125AD">
        <w:rPr>
          <w:b/>
        </w:rPr>
        <w:t>8</w:t>
      </w:r>
      <w:r w:rsidR="00AF2E05">
        <w:rPr>
          <w:b/>
        </w:rPr>
        <w:t>.000,-</w:t>
      </w:r>
      <w:r w:rsidRPr="008B4C91">
        <w:rPr>
          <w:b/>
        </w:rPr>
        <w:t xml:space="preserve"> Kč;</w:t>
      </w:r>
    </w:p>
    <w:p w14:paraId="429D8F34"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318B86B9"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BC719F">
        <w:rPr>
          <w:b/>
        </w:rPr>
        <w:t>2</w:t>
      </w:r>
      <w:r w:rsidR="00AF2E05" w:rsidRPr="00AF2E05">
        <w:rPr>
          <w:b/>
        </w:rPr>
        <w:t>.000</w:t>
      </w:r>
      <w:r w:rsidRPr="00AF2E05">
        <w:rPr>
          <w:b/>
        </w:rPr>
        <w:t>,- Kč;</w:t>
      </w:r>
      <w:r w:rsidRPr="008B4C91">
        <w:t xml:space="preserve"> </w:t>
      </w:r>
    </w:p>
    <w:p w14:paraId="50BC2FF6"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AF2E05" w:rsidRPr="00AF2E05">
        <w:rPr>
          <w:b/>
        </w:rPr>
        <w:t>1</w:t>
      </w:r>
      <w:r w:rsidR="007125AD">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5E88D884" w14:textId="77777777"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7125AD">
        <w:rPr>
          <w:b/>
        </w:rPr>
        <w:t>5</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42E72C3A" w14:textId="7C07D871"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r w:rsidR="00AF2E05" w:rsidRPr="00AF2E05">
        <w:rPr>
          <w:b/>
          <w:bCs/>
        </w:rPr>
        <w:t>10.000</w:t>
      </w:r>
      <w:r w:rsidRPr="00AF2E05">
        <w:rPr>
          <w:b/>
          <w:bCs/>
        </w:rPr>
        <w:t>,- Kč</w:t>
      </w:r>
      <w:r w:rsidR="005F00C8">
        <w:rPr>
          <w:b/>
          <w:bCs/>
        </w:rPr>
        <w:t xml:space="preserve"> </w:t>
      </w:r>
      <w:r w:rsidR="005F00C8" w:rsidRPr="005F00C8">
        <w:rPr>
          <w:bCs/>
        </w:rPr>
        <w:t>za každý den prodlení</w:t>
      </w:r>
      <w:r w:rsidRPr="00AF2E05">
        <w:t xml:space="preserve">, pokud objednateli řádně a včas nepředloží </w:t>
      </w:r>
      <w:r w:rsidR="001A6B43">
        <w:t xml:space="preserve">dle čl. </w:t>
      </w:r>
      <w:r w:rsidR="00AD0F3E">
        <w:fldChar w:fldCharType="begin"/>
      </w:r>
      <w:r w:rsidR="00AD0F3E">
        <w:instrText xml:space="preserve"> REF _Ref26966017 \r \h </w:instrText>
      </w:r>
      <w:r w:rsidR="00AD0F3E">
        <w:fldChar w:fldCharType="separate"/>
      </w:r>
      <w:r w:rsidR="00AB4EFA">
        <w:t>7.12.1</w:t>
      </w:r>
      <w:r w:rsidR="00AD0F3E">
        <w:fldChar w:fldCharType="end"/>
      </w:r>
      <w:r w:rsidR="00650BEA">
        <w:t>.</w:t>
      </w:r>
      <w:r w:rsidR="00AD0F3E">
        <w:t xml:space="preserve"> nebo dle čl. </w:t>
      </w:r>
      <w:r w:rsidR="00AD0F3E">
        <w:fldChar w:fldCharType="begin"/>
      </w:r>
      <w:r w:rsidR="00AD0F3E">
        <w:instrText xml:space="preserve"> REF _Ref61604798 \r \h </w:instrText>
      </w:r>
      <w:r w:rsidR="00AD0F3E">
        <w:fldChar w:fldCharType="separate"/>
      </w:r>
      <w:r w:rsidR="00AB4EFA">
        <w:t>7.12.3</w:t>
      </w:r>
      <w:r w:rsidR="00AD0F3E">
        <w:fldChar w:fldCharType="end"/>
      </w:r>
      <w:r w:rsidR="00650BEA">
        <w:t xml:space="preserve">. </w:t>
      </w:r>
      <w:r w:rsidRPr="00AF2E05">
        <w:t>bankovní záruk</w:t>
      </w:r>
      <w:r w:rsidR="001A6B43">
        <w:t>u</w:t>
      </w:r>
      <w:r w:rsidRPr="00AF2E05">
        <w:t xml:space="preserve"> v originále listiny;</w:t>
      </w:r>
    </w:p>
    <w:p w14:paraId="3998729B" w14:textId="77777777" w:rsidR="006F5194" w:rsidRPr="008B4C91" w:rsidRDefault="006F5194" w:rsidP="008B4C91">
      <w:pPr>
        <w:pStyle w:val="KUsmlouva-2rove"/>
        <w:numPr>
          <w:ilvl w:val="1"/>
          <w:numId w:val="13"/>
        </w:numPr>
        <w:spacing w:after="0"/>
        <w:ind w:left="709" w:hanging="709"/>
        <w:contextualSpacing/>
        <w:rPr>
          <w:b/>
          <w:bCs/>
        </w:rPr>
      </w:pPr>
      <w:bookmarkStart w:id="26" w:name="_Ref319912830"/>
      <w:bookmarkStart w:id="27"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AF2E05" w:rsidRPr="00AF2E05">
        <w:rPr>
          <w:b/>
          <w:bCs/>
        </w:rPr>
        <w:t>20.000,-</w:t>
      </w:r>
      <w:r w:rsidRPr="00AF2E05">
        <w:rPr>
          <w:b/>
          <w:bCs/>
        </w:rPr>
        <w:t xml:space="preserve"> Kč</w:t>
      </w:r>
      <w:bookmarkEnd w:id="26"/>
      <w:r w:rsidRPr="008B4C91">
        <w:t>;</w:t>
      </w:r>
      <w:bookmarkEnd w:id="27"/>
    </w:p>
    <w:p w14:paraId="28716D5E" w14:textId="38173CB5" w:rsidR="006F5194" w:rsidRPr="00003EF8" w:rsidRDefault="006F5194" w:rsidP="008B4C91">
      <w:pPr>
        <w:pStyle w:val="KUsmlouva-2rove"/>
        <w:numPr>
          <w:ilvl w:val="1"/>
          <w:numId w:val="13"/>
        </w:numPr>
        <w:spacing w:after="0"/>
        <w:ind w:left="709" w:hanging="709"/>
        <w:contextualSpacing/>
      </w:pPr>
      <w:r w:rsidRPr="008B4C91">
        <w:t xml:space="preserve">zhotovitel zaplatí objednateli smluvní pokutu, pokud na staveniště neumístí </w:t>
      </w:r>
      <w:r w:rsidRPr="00DF188A">
        <w:t>informační tabuli s identifikačními údaji stavby</w:t>
      </w:r>
      <w:r w:rsidR="00AB3BBC">
        <w:t xml:space="preserve"> </w:t>
      </w:r>
      <w:r w:rsidR="008E2B93">
        <w:t xml:space="preserve">a </w:t>
      </w:r>
      <w:r w:rsidR="00003EF8">
        <w:t>billboard</w:t>
      </w:r>
      <w:r w:rsidRPr="00DF188A">
        <w:t xml:space="preserve"> souladu s odst. </w:t>
      </w:r>
      <w:r w:rsidRPr="00DF188A">
        <w:fldChar w:fldCharType="begin"/>
      </w:r>
      <w:r w:rsidRPr="00DF188A">
        <w:instrText xml:space="preserve"> REF _Ref356221692 \r \h  \* MERGEFORMAT </w:instrText>
      </w:r>
      <w:r w:rsidRPr="00DF188A">
        <w:fldChar w:fldCharType="separate"/>
      </w:r>
      <w:r w:rsidR="00AB4EFA">
        <w:t>9.5</w:t>
      </w:r>
      <w:r w:rsidRPr="00DF188A">
        <w:fldChar w:fldCharType="end"/>
      </w:r>
      <w:r w:rsidR="00E727C0">
        <w:t>.</w:t>
      </w:r>
      <w:r w:rsidRPr="00DF188A">
        <w:t xml:space="preserve"> této smlouvy, a to</w:t>
      </w:r>
      <w:r w:rsidR="00003EF8">
        <w:t xml:space="preserve"> </w:t>
      </w:r>
      <w:r w:rsidRPr="008E2B93">
        <w:rPr>
          <w:b/>
        </w:rPr>
        <w:t>ve výši </w:t>
      </w:r>
      <w:r w:rsidR="007125AD" w:rsidRPr="008E2B93">
        <w:rPr>
          <w:b/>
        </w:rPr>
        <w:t>5</w:t>
      </w:r>
      <w:r w:rsidR="00DF188A" w:rsidRPr="008E2B93">
        <w:rPr>
          <w:b/>
        </w:rPr>
        <w:t>.000</w:t>
      </w:r>
      <w:r w:rsidRPr="008E2B93">
        <w:rPr>
          <w:b/>
        </w:rPr>
        <w:t>,- Kč</w:t>
      </w:r>
      <w:r w:rsidRPr="008B4C91">
        <w:t xml:space="preserve"> za každý jednotlivý případ;</w:t>
      </w:r>
    </w:p>
    <w:p w14:paraId="227D6673" w14:textId="5C1DD5EB"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odst. </w:t>
      </w:r>
      <w:r w:rsidRPr="008B4C91">
        <w:fldChar w:fldCharType="begin"/>
      </w:r>
      <w:r w:rsidRPr="008B4C91">
        <w:instrText xml:space="preserve"> REF _Ref356221972 \r \h  \* MERGEFORMAT </w:instrText>
      </w:r>
      <w:r w:rsidRPr="008B4C91">
        <w:fldChar w:fldCharType="separate"/>
      </w:r>
      <w:r w:rsidR="00AB4EFA">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DF188A" w:rsidRPr="0089511F">
        <w:rPr>
          <w:b/>
          <w:bCs/>
        </w:rPr>
        <w:t>5.000</w:t>
      </w:r>
      <w:r w:rsidRPr="0089511F">
        <w:rPr>
          <w:b/>
          <w:bCs/>
        </w:rPr>
        <w:t>,-</w:t>
      </w:r>
      <w:r w:rsidRPr="00DF188A">
        <w:rPr>
          <w:b/>
          <w:bCs/>
        </w:rPr>
        <w:t xml:space="preserve"> Kč</w:t>
      </w:r>
      <w:r w:rsidRPr="00DF188A">
        <w:t xml:space="preserve"> za každý jednotlivý případ; </w:t>
      </w:r>
    </w:p>
    <w:p w14:paraId="3FCFFF34" w14:textId="62A19495"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odst. </w:t>
      </w:r>
      <w:r w:rsidRPr="00DF188A">
        <w:fldChar w:fldCharType="begin"/>
      </w:r>
      <w:r w:rsidRPr="00DF188A">
        <w:instrText xml:space="preserve"> REF _Ref356222075 \r \h  \* MERGEFORMAT </w:instrText>
      </w:r>
      <w:r w:rsidRPr="00DF188A">
        <w:fldChar w:fldCharType="separate"/>
      </w:r>
      <w:r w:rsidR="00AB4EFA">
        <w:t>10.12</w:t>
      </w:r>
      <w:r w:rsidRPr="00DF188A">
        <w:fldChar w:fldCharType="end"/>
      </w:r>
      <w:r w:rsidR="00E727C0">
        <w:t>.</w:t>
      </w:r>
      <w:r w:rsidRPr="00DF188A">
        <w:t xml:space="preserve"> této smlouvy, a to </w:t>
      </w:r>
      <w:r w:rsidRPr="00DF188A">
        <w:rPr>
          <w:b/>
          <w:bCs/>
        </w:rPr>
        <w:t>ve výši </w:t>
      </w:r>
      <w:r w:rsidR="002B6B4B">
        <w:rPr>
          <w:b/>
          <w:bCs/>
        </w:rPr>
        <w:t>3</w:t>
      </w:r>
      <w:r w:rsidR="00DF188A" w:rsidRPr="00DF188A">
        <w:rPr>
          <w:b/>
          <w:bCs/>
        </w:rPr>
        <w:t>.000</w:t>
      </w:r>
      <w:r w:rsidRPr="00DF188A">
        <w:rPr>
          <w:b/>
          <w:bCs/>
        </w:rPr>
        <w:t>,- Kč</w:t>
      </w:r>
      <w:r w:rsidRPr="008B4C91">
        <w:t xml:space="preserve"> za každý jednotlivý případ;</w:t>
      </w:r>
    </w:p>
    <w:p w14:paraId="297E34ED" w14:textId="572484A0" w:rsidR="006F5194" w:rsidRPr="00A62033" w:rsidRDefault="006F5194" w:rsidP="008B4C91">
      <w:pPr>
        <w:pStyle w:val="KUsmlouva-2rove"/>
        <w:numPr>
          <w:ilvl w:val="1"/>
          <w:numId w:val="13"/>
        </w:numPr>
        <w:spacing w:after="0"/>
        <w:ind w:left="709" w:hanging="709"/>
        <w:contextualSpacing/>
        <w:rPr>
          <w:b/>
          <w:bCs/>
        </w:rPr>
      </w:pPr>
      <w:r w:rsidRPr="008B4C91">
        <w:lastRenderedPageBreak/>
        <w:t>zhotovitel zaplatí objednateli smluvní pokutu za prodlení s předáním pojistné smlouvy na odpovědnost za škodu způsobenou třetí osobě dle odst.</w:t>
      </w:r>
      <w:r w:rsidR="00650BEA">
        <w:t xml:space="preserve"> </w:t>
      </w:r>
      <w:r w:rsidR="00A11005">
        <w:fldChar w:fldCharType="begin"/>
      </w:r>
      <w:r w:rsidR="00A11005">
        <w:instrText xml:space="preserve"> REF _Ref356222540 \r \h </w:instrText>
      </w:r>
      <w:r w:rsidR="00A11005">
        <w:fldChar w:fldCharType="separate"/>
      </w:r>
      <w:r w:rsidR="00AB4EFA">
        <w:t>14.3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D212EC">
        <w:rPr>
          <w:b/>
          <w:bCs/>
        </w:rPr>
        <w:t>3</w:t>
      </w:r>
      <w:r w:rsidR="00DF188A" w:rsidRPr="0089511F">
        <w:rPr>
          <w:b/>
          <w:bCs/>
        </w:rPr>
        <w:t>.000</w:t>
      </w:r>
      <w:r w:rsidRPr="0089511F">
        <w:rPr>
          <w:b/>
          <w:bCs/>
        </w:rPr>
        <w:t>,-</w:t>
      </w:r>
      <w:r w:rsidRPr="0089511F">
        <w:t xml:space="preserve"> Kč</w:t>
      </w:r>
      <w:r w:rsidRPr="008B4C91">
        <w:t xml:space="preserve"> za každý den prodlení;</w:t>
      </w:r>
    </w:p>
    <w:p w14:paraId="69C12310" w14:textId="4F347BAC"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odst. </w:t>
      </w:r>
      <w:r w:rsidR="00A11005">
        <w:fldChar w:fldCharType="begin"/>
      </w:r>
      <w:r w:rsidR="00A11005">
        <w:instrText xml:space="preserve"> REF _Ref156312764 \r \h </w:instrText>
      </w:r>
      <w:r w:rsidR="00A11005">
        <w:fldChar w:fldCharType="separate"/>
      </w:r>
      <w:r w:rsidR="00AB4EFA">
        <w:t>14.4</w:t>
      </w:r>
      <w:r w:rsidR="00A11005">
        <w:fldChar w:fldCharType="end"/>
      </w:r>
      <w:r w:rsidR="00A11005">
        <w:t>.</w:t>
      </w:r>
      <w:r w:rsidR="00650BEA">
        <w:t xml:space="preserve"> </w:t>
      </w:r>
      <w:r w:rsidR="002F5DD7">
        <w:t xml:space="preserve">této smlouvy, a to </w:t>
      </w:r>
      <w:r w:rsidR="002F5DD7">
        <w:rPr>
          <w:b/>
          <w:bCs/>
        </w:rPr>
        <w:t xml:space="preserve">ve výši </w:t>
      </w:r>
      <w:r w:rsidR="00D212EC">
        <w:rPr>
          <w:b/>
          <w:bCs/>
        </w:rPr>
        <w:t>3</w:t>
      </w:r>
      <w:r w:rsidR="002F5DD7">
        <w:rPr>
          <w:b/>
          <w:bCs/>
        </w:rPr>
        <w:t xml:space="preserve">.000,- Kč </w:t>
      </w:r>
      <w:r w:rsidR="00656A1C">
        <w:rPr>
          <w:b/>
          <w:bCs/>
        </w:rPr>
        <w:br/>
      </w:r>
      <w:r w:rsidR="002F5DD7">
        <w:t>za každý den prodlení;</w:t>
      </w:r>
    </w:p>
    <w:p w14:paraId="316B1B25" w14:textId="6AA81502"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smluvní pokutu ve výši 50.000,-</w:t>
      </w:r>
      <w:r w:rsidR="00E727C0">
        <w:rPr>
          <w:bCs/>
        </w:rPr>
        <w:t xml:space="preserve"> </w:t>
      </w:r>
      <w:r w:rsidR="00E64B0C" w:rsidRPr="00556CB7">
        <w:rPr>
          <w:bCs/>
        </w:rPr>
        <w:t xml:space="preserve">Kč v případě neposkytnutí součinnosti a porušení povinnosti dle odst. </w:t>
      </w:r>
      <w:r w:rsidR="00E64B0C" w:rsidRPr="00556CB7">
        <w:rPr>
          <w:bCs/>
        </w:rPr>
        <w:fldChar w:fldCharType="begin"/>
      </w:r>
      <w:r w:rsidR="00E64B0C" w:rsidRPr="00556CB7">
        <w:rPr>
          <w:bCs/>
        </w:rPr>
        <w:instrText xml:space="preserve"> REF _Ref164157886 \r \h </w:instrText>
      </w:r>
      <w:r w:rsidR="00E64B0C">
        <w:rPr>
          <w:bCs/>
        </w:rPr>
        <w:instrText xml:space="preserve"> \* MERGEFORMAT </w:instrText>
      </w:r>
      <w:r w:rsidR="00E64B0C" w:rsidRPr="00556CB7">
        <w:rPr>
          <w:bCs/>
        </w:rPr>
      </w:r>
      <w:r w:rsidR="00E64B0C" w:rsidRPr="00556CB7">
        <w:rPr>
          <w:bCs/>
        </w:rPr>
        <w:fldChar w:fldCharType="separate"/>
      </w:r>
      <w:r w:rsidR="00AB4EFA">
        <w:rPr>
          <w:bCs/>
        </w:rPr>
        <w:t>4.5</w:t>
      </w:r>
      <w:r w:rsidR="00E64B0C" w:rsidRPr="00556CB7">
        <w:rPr>
          <w:bCs/>
        </w:rPr>
        <w:fldChar w:fldCharType="end"/>
      </w:r>
      <w:r w:rsidR="00E64B0C" w:rsidRPr="00556CB7">
        <w:rPr>
          <w:bCs/>
        </w:rPr>
        <w:t>.</w:t>
      </w:r>
      <w:r w:rsidR="00D61BEA">
        <w:rPr>
          <w:bCs/>
        </w:rPr>
        <w:t xml:space="preserve"> této smlouvy</w:t>
      </w:r>
      <w:r>
        <w:rPr>
          <w:bCs/>
        </w:rPr>
        <w:t>;</w:t>
      </w:r>
    </w:p>
    <w:p w14:paraId="74FD175B" w14:textId="6642B21A"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aktualizovaného harmonogramu dle odst. </w:t>
      </w:r>
      <w:r w:rsidR="000F4D12">
        <w:fldChar w:fldCharType="begin"/>
      </w:r>
      <w:r w:rsidR="000F4D12">
        <w:instrText xml:space="preserve"> REF _Ref164168594 \r \h </w:instrText>
      </w:r>
      <w:r w:rsidR="000F4D12">
        <w:fldChar w:fldCharType="separate"/>
      </w:r>
      <w:r w:rsidR="00AB4EFA">
        <w:t>10.1</w:t>
      </w:r>
      <w:r w:rsidR="000F4D12">
        <w:fldChar w:fldCharType="end"/>
      </w:r>
      <w:r w:rsidR="00E727C0">
        <w:t>.</w:t>
      </w:r>
      <w:r w:rsidR="000F4D12">
        <w:t xml:space="preserve"> </w:t>
      </w:r>
      <w:r w:rsidR="000915D8">
        <w:t xml:space="preserve">této smlouvy, a to ve výši </w:t>
      </w:r>
      <w:r w:rsidR="000915D8">
        <w:rPr>
          <w:b/>
          <w:bCs/>
        </w:rPr>
        <w:t xml:space="preserve">1.000,- Kč </w:t>
      </w:r>
      <w:r w:rsidR="000915D8">
        <w:t>za každý jednotlivý případ</w:t>
      </w:r>
      <w:r w:rsidR="00E228AA">
        <w:t>;</w:t>
      </w:r>
    </w:p>
    <w:p w14:paraId="2C75F1C0" w14:textId="77777777" w:rsidR="006F5194" w:rsidRPr="009627D7"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úrok z prodlení </w:t>
      </w:r>
      <w:r w:rsidR="0041744E" w:rsidRPr="009627D7">
        <w:br/>
      </w:r>
      <w:r w:rsidR="006F5194" w:rsidRPr="009627D7">
        <w:t xml:space="preserve">ve výši </w:t>
      </w:r>
      <w:r w:rsidR="008C7110" w:rsidRPr="009627D7">
        <w:t>0,05 %</w:t>
      </w:r>
      <w:r w:rsidR="006F5194" w:rsidRPr="009627D7">
        <w:t xml:space="preserve"> z dlužné částky za každý den prodlení</w:t>
      </w:r>
      <w:r>
        <w:t>;</w:t>
      </w:r>
    </w:p>
    <w:p w14:paraId="43C8179C" w14:textId="77777777" w:rsidR="006F5194" w:rsidRPr="009627D7" w:rsidRDefault="00E228AA" w:rsidP="008B4C91">
      <w:pPr>
        <w:pStyle w:val="KUsmlouva-2rove"/>
        <w:numPr>
          <w:ilvl w:val="1"/>
          <w:numId w:val="13"/>
        </w:numPr>
        <w:spacing w:after="0"/>
        <w:ind w:left="709" w:hanging="709"/>
        <w:contextualSpacing/>
        <w:rPr>
          <w:b/>
          <w:bCs/>
        </w:rPr>
      </w:pPr>
      <w:r>
        <w:t>s</w:t>
      </w:r>
      <w:r w:rsidR="006F5194" w:rsidRPr="009627D7">
        <w:t>mluvní strany</w:t>
      </w:r>
      <w:r w:rsidR="006F5194" w:rsidRPr="009627D7">
        <w:rPr>
          <w:b/>
        </w:rPr>
        <w:t xml:space="preserve"> </w:t>
      </w:r>
      <w:r w:rsidR="003A00AA" w:rsidRPr="009627D7">
        <w:rPr>
          <w:b/>
        </w:rPr>
        <w:t xml:space="preserve">sjednávají </w:t>
      </w:r>
      <w:r w:rsidR="006F5194" w:rsidRPr="009627D7">
        <w:rPr>
          <w:b/>
        </w:rPr>
        <w:t>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6E3E92BC" w14:textId="77777777" w:rsidR="006652C7" w:rsidRPr="00650BEA" w:rsidRDefault="00E228AA"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190390B" w14:textId="77777777" w:rsidR="00650BEA" w:rsidRPr="00BD14CD" w:rsidRDefault="00650BEA" w:rsidP="00650BEA">
      <w:pPr>
        <w:pStyle w:val="KUsmlouva-2rove"/>
        <w:numPr>
          <w:ilvl w:val="0"/>
          <w:numId w:val="0"/>
        </w:numPr>
        <w:spacing w:after="0"/>
        <w:ind w:left="709"/>
        <w:contextualSpacing/>
        <w:rPr>
          <w:b/>
          <w:bCs/>
        </w:rPr>
      </w:pPr>
    </w:p>
    <w:p w14:paraId="44E959DA"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4728C79A"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027E3C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3FEDA1D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1A6673E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67791146"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2A9898A7"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3B24F990"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1486DA50" w14:textId="77777777" w:rsidR="006F5194" w:rsidRPr="009627D7" w:rsidRDefault="006F5194" w:rsidP="001C2664">
      <w:pPr>
        <w:pStyle w:val="KUsmlouva-3rove"/>
        <w:numPr>
          <w:ilvl w:val="2"/>
          <w:numId w:val="13"/>
        </w:numPr>
        <w:spacing w:before="120" w:after="0"/>
        <w:contextualSpacing/>
      </w:pPr>
      <w:r w:rsidRPr="009627D7">
        <w:lastRenderedPageBreak/>
        <w:t xml:space="preserve">případy, kdy zhotovitel provádí dílo </w:t>
      </w:r>
      <w:r w:rsidRPr="009627D7">
        <w:rPr>
          <w:b/>
        </w:rPr>
        <w:t>v rozporu se zadáním</w:t>
      </w:r>
      <w:r w:rsidRPr="009627D7">
        <w:t xml:space="preserve"> objednatele, projektovou dokumentací, nebo pravomocným stavebním povolením a zhotovitel přes písemnou výzvu objednatele nedostatky neodstraní</w:t>
      </w:r>
      <w:r w:rsidR="002F6E61" w:rsidRPr="009627D7">
        <w:t>,</w:t>
      </w:r>
    </w:p>
    <w:p w14:paraId="1471F01A"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7214E265"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263E2B70"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3A152D26"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5971CCE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7DCE289B"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68F8C41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2A874A8C"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343AC6F"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763AF46A" w14:textId="77777777" w:rsidR="00763E3E" w:rsidRPr="009627D7" w:rsidRDefault="00763E3E" w:rsidP="00763E3E">
      <w:pPr>
        <w:pStyle w:val="KUsmlouva-2rove"/>
        <w:numPr>
          <w:ilvl w:val="0"/>
          <w:numId w:val="26"/>
        </w:numPr>
        <w:spacing w:after="0"/>
        <w:contextualSpacing/>
        <w:rPr>
          <w:szCs w:val="22"/>
        </w:rPr>
      </w:pPr>
      <w:bookmarkStart w:id="28" w:name="_Hlk155095988"/>
      <w:r w:rsidRPr="009627D7">
        <w:rPr>
          <w:rFonts w:eastAsia="Arial"/>
          <w:color w:val="000000"/>
        </w:rPr>
        <w:t>pokud v jejím plnění nelze pokračovat, aniž by byla porušena pravidla uvedená v § 222 ZZVZ,</w:t>
      </w:r>
    </w:p>
    <w:bookmarkEnd w:id="28"/>
    <w:p w14:paraId="4EBF7B65"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22EDB952"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14EB3A49"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1F27BE8A"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52C57A91"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7CFBDC9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654BB8B2"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24F96519"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84128"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67D86389"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736F6DF6" w14:textId="77777777" w:rsidR="006F5194" w:rsidRPr="009627D7" w:rsidRDefault="006F5194" w:rsidP="001C2664">
      <w:pPr>
        <w:pStyle w:val="KUsmlouva-4rove"/>
        <w:numPr>
          <w:ilvl w:val="3"/>
          <w:numId w:val="13"/>
        </w:numPr>
        <w:spacing w:before="120"/>
        <w:ind w:left="1843"/>
        <w:contextualSpacing/>
      </w:pPr>
      <w:r w:rsidRPr="009627D7">
        <w:lastRenderedPageBreak/>
        <w:t xml:space="preserve">zhotovitel provede </w:t>
      </w:r>
      <w:r w:rsidRPr="009627D7">
        <w:rPr>
          <w:b/>
        </w:rPr>
        <w:t>soupis všech provedených prací</w:t>
      </w:r>
      <w:r w:rsidRPr="009627D7">
        <w:t xml:space="preserve"> a činností oceněných způsobem, kterým je stanovena cena díla;</w:t>
      </w:r>
    </w:p>
    <w:p w14:paraId="14DA657D" w14:textId="77777777"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Pr="009627D7">
        <w:rPr>
          <w:b/>
        </w:rPr>
        <w:t>"dílčí“ konečnou fakturu;</w:t>
      </w:r>
    </w:p>
    <w:p w14:paraId="19742E46" w14:textId="77777777"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Pr="009627D7">
        <w:rPr>
          <w:b/>
        </w:rPr>
        <w:t>"dílčí přejímací řízení";</w:t>
      </w:r>
      <w:r w:rsidRPr="009627D7">
        <w:t xml:space="preserve"> </w:t>
      </w:r>
    </w:p>
    <w:p w14:paraId="1920004F"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7BB8981C" w14:textId="4299A3D4"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B4EFA">
        <w:t>19</w:t>
      </w:r>
      <w:r w:rsidR="00A11005">
        <w:fldChar w:fldCharType="end"/>
      </w:r>
      <w:r w:rsidR="00A11005">
        <w:t>.</w:t>
      </w:r>
    </w:p>
    <w:p w14:paraId="73B059F6" w14:textId="77777777" w:rsidR="00E64B0C" w:rsidRPr="009627D7" w:rsidRDefault="00E64B0C" w:rsidP="009627D7">
      <w:pPr>
        <w:pStyle w:val="KUsmlouva-4rove"/>
        <w:numPr>
          <w:ilvl w:val="0"/>
          <w:numId w:val="0"/>
        </w:numPr>
        <w:spacing w:before="120"/>
        <w:ind w:left="1843"/>
        <w:contextualSpacing/>
      </w:pPr>
    </w:p>
    <w:p w14:paraId="4F7832DE"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9" w:name="_Ref319914761"/>
      <w:bookmarkStart w:id="30" w:name="_Ref164158405"/>
      <w:r w:rsidRPr="009627D7">
        <w:rPr>
          <w:rFonts w:cs="Arial"/>
          <w:sz w:val="28"/>
        </w:rPr>
        <w:t>SPORY</w:t>
      </w:r>
      <w:bookmarkEnd w:id="29"/>
      <w:bookmarkEnd w:id="30"/>
    </w:p>
    <w:p w14:paraId="51445C45"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469492F1" w14:textId="77777777" w:rsidR="00650BEA" w:rsidRPr="009627D7" w:rsidRDefault="00650BEA" w:rsidP="00650BEA">
      <w:pPr>
        <w:pStyle w:val="KUsmlouva-2rove"/>
        <w:numPr>
          <w:ilvl w:val="0"/>
          <w:numId w:val="0"/>
        </w:numPr>
        <w:spacing w:after="0"/>
        <w:ind w:left="720"/>
        <w:contextualSpacing/>
      </w:pPr>
    </w:p>
    <w:p w14:paraId="4CD5F327"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46DE0392"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4E3BE12A"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A39DC07"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48BAD53B" w14:textId="77777777" w:rsidR="00650BEA" w:rsidRPr="00BD14CD" w:rsidRDefault="00650BEA" w:rsidP="00650BEA">
      <w:pPr>
        <w:pStyle w:val="KUsmlouva-2rove"/>
        <w:numPr>
          <w:ilvl w:val="0"/>
          <w:numId w:val="0"/>
        </w:numPr>
        <w:spacing w:after="0"/>
        <w:ind w:left="567"/>
        <w:contextualSpacing/>
      </w:pPr>
    </w:p>
    <w:p w14:paraId="4293065C"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1D67CDAB" w14:textId="77777777" w:rsidR="006F5194" w:rsidRPr="009627D7" w:rsidRDefault="006F5194" w:rsidP="001C2664">
      <w:pPr>
        <w:pStyle w:val="KUsmlouva-2rove"/>
        <w:numPr>
          <w:ilvl w:val="1"/>
          <w:numId w:val="13"/>
        </w:numPr>
        <w:spacing w:after="0"/>
        <w:ind w:left="567" w:hanging="567"/>
        <w:contextualSpacing/>
      </w:pPr>
      <w:r w:rsidRPr="009627D7">
        <w:t xml:space="preserve"> Smluvní vztah upravený touto smlouvou se řídí a vykládá dle zákonů účinných v České republice.</w:t>
      </w:r>
    </w:p>
    <w:p w14:paraId="3249CF38" w14:textId="77777777" w:rsidR="00FA2946" w:rsidRPr="00650BEA" w:rsidRDefault="006F5194" w:rsidP="00BD14CD">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31" w:name="_Ref58928459"/>
    </w:p>
    <w:p w14:paraId="549F76BA" w14:textId="77777777" w:rsidR="00650BEA" w:rsidRPr="00BD14CD" w:rsidRDefault="00650BEA" w:rsidP="00650BEA">
      <w:pPr>
        <w:pStyle w:val="KUsmlouva-2rove"/>
        <w:numPr>
          <w:ilvl w:val="0"/>
          <w:numId w:val="0"/>
        </w:numPr>
        <w:spacing w:after="0"/>
        <w:ind w:left="567"/>
        <w:contextualSpacing/>
        <w:rPr>
          <w:b/>
        </w:rPr>
      </w:pPr>
    </w:p>
    <w:bookmarkEnd w:id="31"/>
    <w:p w14:paraId="049AA02E"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3AFFB9B0"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F835885"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6CE7E05F" w14:textId="77777777" w:rsidR="006661E3" w:rsidRDefault="006661E3" w:rsidP="00003EF8">
      <w:pPr>
        <w:pStyle w:val="KUsmlouva-2rove"/>
        <w:numPr>
          <w:ilvl w:val="1"/>
          <w:numId w:val="13"/>
        </w:numPr>
        <w:spacing w:after="0"/>
        <w:ind w:left="567" w:hanging="567"/>
        <w:contextualSpacing/>
        <w:rPr>
          <w:szCs w:val="22"/>
        </w:rPr>
      </w:pPr>
      <w:r w:rsidRPr="00003EF8">
        <w:rPr>
          <w:szCs w:val="22"/>
        </w:rPr>
        <w:t>Zhotovitel je povinen uchovávat veškerou dokumentaci související s realizací projektu včetně účetních dokladů minimálně do 31.12.2035. Pokud je v českých právních předpisech stanovena lhůta delší, musí ji zhotovitel použít.</w:t>
      </w:r>
    </w:p>
    <w:p w14:paraId="169798AC" w14:textId="77777777" w:rsidR="00B52603" w:rsidRPr="00003EF8" w:rsidRDefault="006661E3" w:rsidP="00E149DB">
      <w:pPr>
        <w:pStyle w:val="KUsmlouva-2rove"/>
        <w:numPr>
          <w:ilvl w:val="0"/>
          <w:numId w:val="0"/>
        </w:numPr>
        <w:spacing w:after="0"/>
        <w:ind w:left="567"/>
        <w:contextualSpacing/>
        <w:rPr>
          <w:szCs w:val="22"/>
        </w:rPr>
      </w:pPr>
      <w:r w:rsidRPr="00003EF8">
        <w:rPr>
          <w:szCs w:val="22"/>
        </w:rPr>
        <w:t xml:space="preserve">Zhotovitel je povinen minimálně do 31.12.2035 poskytovat požadované informace a dokumentaci související s realizací projektu zaměstnancům nebo zmocněncům pověřených orgánů (CRR, MMR, MF, Evropské komise, Evropského účetního dvora, Nejvyššího kontrolního úřadu, příslušného orgánu finanční správy a dalším oprávněných orgánů státní správy) a je povinen </w:t>
      </w:r>
      <w:r w:rsidRPr="00003EF8">
        <w:rPr>
          <w:szCs w:val="22"/>
        </w:rPr>
        <w:lastRenderedPageBreak/>
        <w:t>vytvořit výše uvedeným osobám podmínky k provedení kontroly vztahující se k realizaci projektu a poskytnout jim při provádění kontroly součinnost.</w:t>
      </w:r>
    </w:p>
    <w:p w14:paraId="50C8B136"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3E433D55"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3494C21E"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49E7C360" w14:textId="7777777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xml:space="preserve">, zákona č. 340/2015 Sb., o registru smluv, v platném znění a zákona </w:t>
      </w:r>
      <w:r w:rsidR="0041744E" w:rsidRPr="003124A1">
        <w:rPr>
          <w:szCs w:val="22"/>
        </w:rPr>
        <w:br/>
      </w:r>
      <w:r w:rsidRPr="003124A1">
        <w:rPr>
          <w:szCs w:val="22"/>
        </w:rPr>
        <w:t>č. 106/1999 Sb., o svobodném přístupu k informacím, v platném znění.</w:t>
      </w:r>
    </w:p>
    <w:p w14:paraId="5B3F28D8" w14:textId="77777777" w:rsidR="006F5194" w:rsidRPr="003124A1" w:rsidRDefault="006F5194" w:rsidP="001C2664">
      <w:pPr>
        <w:pStyle w:val="KUsmlouva-2rove"/>
        <w:numPr>
          <w:ilvl w:val="1"/>
          <w:numId w:val="13"/>
        </w:numPr>
        <w:spacing w:after="0"/>
        <w:ind w:left="567" w:hanging="567"/>
        <w:contextualSpacing/>
        <w:rPr>
          <w:b/>
          <w:szCs w:val="22"/>
        </w:rPr>
      </w:pPr>
      <w:r w:rsidRPr="003124A1">
        <w:rPr>
          <w:szCs w:val="22"/>
        </w:rPr>
        <w:t>Obě strany prohlašují, že došlo k dohodě o celém rozsahu této smlouvy.</w:t>
      </w:r>
    </w:p>
    <w:p w14:paraId="210EC0AF" w14:textId="77777777" w:rsidR="006F5194" w:rsidRPr="003124A1" w:rsidRDefault="006F5194" w:rsidP="001C2664">
      <w:pPr>
        <w:pStyle w:val="KUsmlouva-2rove"/>
        <w:numPr>
          <w:ilvl w:val="1"/>
          <w:numId w:val="13"/>
        </w:numPr>
        <w:spacing w:after="0"/>
        <w:ind w:left="567" w:hanging="567"/>
        <w:contextualSpacing/>
        <w:rPr>
          <w:b/>
          <w:szCs w:val="22"/>
        </w:rPr>
      </w:pPr>
      <w:bookmarkStart w:id="32" w:name="_Toc527338719"/>
      <w:r w:rsidRPr="003124A1">
        <w:rPr>
          <w:szCs w:val="22"/>
        </w:rPr>
        <w:t>Dnem podpisu této smlouvy pozbývají platnosti všechna předchozí písemná i ústní ujednání smluvních stran vztahující se k dílu.</w:t>
      </w:r>
      <w:bookmarkEnd w:id="32"/>
    </w:p>
    <w:p w14:paraId="4E02C7B9"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5BB4EF5A" w14:textId="77777777" w:rsidR="006652C7" w:rsidRPr="00AC2ADF"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474F4628" w14:textId="77777777" w:rsidR="006652C7" w:rsidRPr="001E0299" w:rsidRDefault="006F5194" w:rsidP="00650BEA">
      <w:pPr>
        <w:pStyle w:val="KUsmlouva-2rove"/>
        <w:numPr>
          <w:ilvl w:val="1"/>
          <w:numId w:val="13"/>
        </w:numPr>
        <w:spacing w:after="0"/>
        <w:ind w:left="709" w:hanging="709"/>
        <w:contextualSpacing/>
        <w:rPr>
          <w:b/>
          <w:szCs w:val="22"/>
        </w:rPr>
      </w:pPr>
      <w:r w:rsidRPr="00AC2ADF">
        <w:rPr>
          <w:szCs w:val="22"/>
        </w:rPr>
        <w:t xml:space="preserve">Přílohou č. 1 této smlouvy je </w:t>
      </w:r>
      <w:r w:rsidRPr="00AC2ADF">
        <w:rPr>
          <w:b/>
          <w:szCs w:val="22"/>
        </w:rPr>
        <w:t>oceněný soupis prací</w:t>
      </w:r>
      <w:r w:rsidRPr="00AC2ADF">
        <w:rPr>
          <w:szCs w:val="22"/>
        </w:rPr>
        <w:t xml:space="preserve"> (položkový rozpočet)</w:t>
      </w:r>
      <w:r w:rsidR="0041744E" w:rsidRPr="001E0299">
        <w:rPr>
          <w:szCs w:val="22"/>
        </w:rPr>
        <w:t>.</w:t>
      </w:r>
      <w:r w:rsidRPr="001E0299">
        <w:rPr>
          <w:szCs w:val="22"/>
        </w:rPr>
        <w:t xml:space="preserve"> </w:t>
      </w:r>
    </w:p>
    <w:p w14:paraId="47434D0A" w14:textId="77777777" w:rsidR="009206E6" w:rsidRPr="00595A34"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595A34">
        <w:rPr>
          <w:rFonts w:ascii="Arial" w:hAnsi="Arial" w:cs="Arial"/>
          <w:szCs w:val="22"/>
        </w:rPr>
        <w:t xml:space="preserve">Tato smlouva byla schválena Radou města Kroměříž, na svém </w:t>
      </w:r>
      <w:r w:rsidR="00595A34" w:rsidRPr="00595A34">
        <w:rPr>
          <w:rFonts w:ascii="Arial" w:hAnsi="Arial" w:cs="Arial"/>
          <w:szCs w:val="22"/>
        </w:rPr>
        <w:t>63</w:t>
      </w:r>
      <w:r w:rsidRPr="00595A34">
        <w:rPr>
          <w:rFonts w:ascii="Arial" w:hAnsi="Arial" w:cs="Arial"/>
          <w:szCs w:val="22"/>
        </w:rPr>
        <w:t xml:space="preserve">. jednání, dne </w:t>
      </w:r>
      <w:r w:rsidR="00595A34" w:rsidRPr="00595A34">
        <w:rPr>
          <w:rFonts w:ascii="Arial" w:hAnsi="Arial" w:cs="Arial"/>
          <w:szCs w:val="22"/>
        </w:rPr>
        <w:t>07.02.2025</w:t>
      </w:r>
      <w:r w:rsidRPr="00595A34">
        <w:rPr>
          <w:rFonts w:ascii="Arial" w:hAnsi="Arial" w:cs="Arial"/>
          <w:szCs w:val="22"/>
        </w:rPr>
        <w:t xml:space="preserve">, pod číslem usnesení </w:t>
      </w:r>
      <w:r w:rsidR="00595A34" w:rsidRPr="00595A34">
        <w:rPr>
          <w:rFonts w:ascii="Arial" w:hAnsi="Arial" w:cs="Arial"/>
          <w:szCs w:val="22"/>
        </w:rPr>
        <w:t>RMK/25/63/1863.</w:t>
      </w:r>
    </w:p>
    <w:p w14:paraId="7BEF50AC" w14:textId="77777777" w:rsidR="006F5194" w:rsidRPr="00C673CD" w:rsidRDefault="006F5194" w:rsidP="00654D89">
      <w:pPr>
        <w:spacing w:before="120"/>
        <w:contextualSpacing/>
        <w:rPr>
          <w:rFonts w:ascii="Arial" w:hAnsi="Arial" w:cs="Arial"/>
          <w:sz w:val="18"/>
        </w:rPr>
      </w:pPr>
    </w:p>
    <w:p w14:paraId="26F6C0BC" w14:textId="77777777" w:rsidR="00AC2ADF" w:rsidRDefault="00AC2ADF" w:rsidP="00654D89">
      <w:pPr>
        <w:spacing w:before="120"/>
        <w:contextualSpacing/>
        <w:rPr>
          <w:rFonts w:ascii="Arial" w:hAnsi="Arial" w:cs="Arial"/>
          <w:szCs w:val="22"/>
        </w:rPr>
      </w:pPr>
    </w:p>
    <w:p w14:paraId="634CB5A6" w14:textId="77777777" w:rsidR="00AC2ADF" w:rsidRDefault="00AC2ADF" w:rsidP="00654D89">
      <w:pPr>
        <w:spacing w:before="120"/>
        <w:contextualSpacing/>
        <w:rPr>
          <w:rFonts w:ascii="Arial" w:hAnsi="Arial" w:cs="Arial"/>
          <w:szCs w:val="22"/>
        </w:rPr>
      </w:pPr>
    </w:p>
    <w:p w14:paraId="10E19AD7"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39FDF569" w14:textId="77777777" w:rsidR="00B55DF9" w:rsidRPr="00C673CD" w:rsidRDefault="00B55DF9" w:rsidP="00654D89">
      <w:pPr>
        <w:spacing w:before="120"/>
        <w:contextualSpacing/>
        <w:rPr>
          <w:rFonts w:ascii="Arial" w:hAnsi="Arial" w:cs="Arial"/>
          <w:szCs w:val="22"/>
        </w:rPr>
      </w:pPr>
    </w:p>
    <w:p w14:paraId="5EBC85AC" w14:textId="77777777" w:rsidR="00AC2ADF" w:rsidRDefault="00AC2ADF" w:rsidP="00654D89">
      <w:pPr>
        <w:spacing w:before="120"/>
        <w:contextualSpacing/>
        <w:rPr>
          <w:rFonts w:ascii="Arial" w:hAnsi="Arial" w:cs="Arial"/>
          <w:szCs w:val="22"/>
        </w:rPr>
      </w:pPr>
    </w:p>
    <w:p w14:paraId="0161111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00595A34">
        <w:rPr>
          <w:rFonts w:ascii="Arial" w:hAnsi="Arial" w:cs="Arial"/>
          <w:szCs w:val="22"/>
        </w:rPr>
        <w:t xml:space="preserve"> </w:t>
      </w:r>
      <w:r w:rsidR="00595A34" w:rsidRPr="00595A34">
        <w:rPr>
          <w:rFonts w:ascii="Arial" w:hAnsi="Arial" w:cs="Arial"/>
          <w:i/>
          <w:szCs w:val="22"/>
        </w:rPr>
        <w:t>(dle data el. podpisu)</w:t>
      </w:r>
      <w:r w:rsidRPr="00595A34">
        <w:rPr>
          <w:rFonts w:ascii="Arial" w:hAnsi="Arial" w:cs="Arial"/>
          <w:i/>
          <w:szCs w:val="22"/>
        </w:rPr>
        <w:tab/>
      </w:r>
      <w:r w:rsidRPr="00C673CD">
        <w:rPr>
          <w:rFonts w:ascii="Arial" w:hAnsi="Arial" w:cs="Arial"/>
          <w:szCs w:val="22"/>
        </w:rPr>
        <w:tab/>
        <w:t>V</w:t>
      </w:r>
      <w:r w:rsidR="00595A34">
        <w:rPr>
          <w:rFonts w:ascii="Arial" w:hAnsi="Arial" w:cs="Arial"/>
          <w:szCs w:val="22"/>
        </w:rPr>
        <w:t xml:space="preserve"> Otrokovicích </w:t>
      </w:r>
      <w:r w:rsidRPr="00C673CD">
        <w:rPr>
          <w:rFonts w:ascii="Arial" w:hAnsi="Arial" w:cs="Arial"/>
          <w:szCs w:val="22"/>
        </w:rPr>
        <w:t>dne:</w:t>
      </w:r>
      <w:r w:rsidR="00595A34">
        <w:rPr>
          <w:rFonts w:ascii="Arial" w:hAnsi="Arial" w:cs="Arial"/>
          <w:szCs w:val="22"/>
        </w:rPr>
        <w:t xml:space="preserve"> </w:t>
      </w:r>
      <w:r w:rsidR="00595A34" w:rsidRPr="00595A34">
        <w:rPr>
          <w:rFonts w:ascii="Arial" w:hAnsi="Arial" w:cs="Arial"/>
          <w:i/>
          <w:szCs w:val="22"/>
        </w:rPr>
        <w:t>(dle data el. podpisu)</w:t>
      </w:r>
      <w:r w:rsidR="00595A34" w:rsidRPr="00595A34">
        <w:rPr>
          <w:rFonts w:ascii="Arial" w:hAnsi="Arial" w:cs="Arial"/>
          <w:i/>
          <w:szCs w:val="22"/>
        </w:rPr>
        <w:tab/>
      </w:r>
    </w:p>
    <w:p w14:paraId="03D997FE" w14:textId="77777777" w:rsidR="00B55DF9" w:rsidRPr="00C673CD" w:rsidRDefault="00B55DF9" w:rsidP="00654D89">
      <w:pPr>
        <w:spacing w:before="120"/>
        <w:contextualSpacing/>
        <w:rPr>
          <w:rFonts w:ascii="Arial" w:hAnsi="Arial" w:cs="Arial"/>
          <w:szCs w:val="22"/>
        </w:rPr>
      </w:pPr>
    </w:p>
    <w:p w14:paraId="4DA8AFAF" w14:textId="77777777" w:rsidR="00B55DF9" w:rsidRDefault="00B55DF9" w:rsidP="00654D89">
      <w:pPr>
        <w:spacing w:before="120"/>
        <w:contextualSpacing/>
        <w:rPr>
          <w:rFonts w:ascii="Arial" w:hAnsi="Arial" w:cs="Arial"/>
          <w:szCs w:val="22"/>
        </w:rPr>
      </w:pPr>
    </w:p>
    <w:p w14:paraId="5B68ABB1" w14:textId="77777777" w:rsidR="006652C7" w:rsidRDefault="006652C7" w:rsidP="00654D89">
      <w:pPr>
        <w:spacing w:before="120"/>
        <w:contextualSpacing/>
        <w:rPr>
          <w:rFonts w:ascii="Arial" w:hAnsi="Arial" w:cs="Arial"/>
          <w:szCs w:val="22"/>
        </w:rPr>
      </w:pPr>
    </w:p>
    <w:p w14:paraId="598F7B18" w14:textId="71A4A266" w:rsidR="00595A34" w:rsidRDefault="00271005" w:rsidP="00271005">
      <w:pPr>
        <w:tabs>
          <w:tab w:val="center" w:pos="4535"/>
        </w:tabs>
        <w:spacing w:before="120"/>
        <w:contextualSpacing/>
        <w:rPr>
          <w:rFonts w:ascii="Arial" w:hAnsi="Arial" w:cs="Arial"/>
          <w:szCs w:val="22"/>
        </w:rPr>
      </w:pPr>
      <w:r>
        <w:rPr>
          <w:rFonts w:ascii="Arial" w:hAnsi="Arial" w:cs="Arial"/>
          <w:szCs w:val="22"/>
        </w:rPr>
        <w:t>14.03. 2025</w:t>
      </w:r>
      <w:r>
        <w:rPr>
          <w:rFonts w:ascii="Arial" w:hAnsi="Arial" w:cs="Arial"/>
          <w:szCs w:val="22"/>
        </w:rPr>
        <w:tab/>
        <w:t xml:space="preserve">           12.03. 2025</w:t>
      </w:r>
    </w:p>
    <w:p w14:paraId="707220BB" w14:textId="77777777" w:rsidR="00595A34" w:rsidRDefault="00595A34" w:rsidP="00654D89">
      <w:pPr>
        <w:spacing w:before="120"/>
        <w:contextualSpacing/>
        <w:rPr>
          <w:rFonts w:ascii="Arial" w:hAnsi="Arial" w:cs="Arial"/>
          <w:szCs w:val="22"/>
        </w:rPr>
      </w:pPr>
    </w:p>
    <w:p w14:paraId="655E9E0B" w14:textId="77777777" w:rsidR="00595A34" w:rsidRPr="00C673CD" w:rsidRDefault="00595A34" w:rsidP="00654D89">
      <w:pPr>
        <w:spacing w:before="120"/>
        <w:contextualSpacing/>
        <w:rPr>
          <w:rFonts w:ascii="Arial" w:hAnsi="Arial" w:cs="Arial"/>
          <w:szCs w:val="22"/>
        </w:rPr>
      </w:pPr>
    </w:p>
    <w:p w14:paraId="79E1EC6D"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6B380908" w14:textId="77777777" w:rsidR="00595A34" w:rsidRPr="00595A34"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95A34" w:rsidRPr="00595A34">
        <w:rPr>
          <w:rFonts w:ascii="Arial" w:hAnsi="Arial" w:cs="Arial"/>
          <w:szCs w:val="22"/>
        </w:rPr>
        <w:t>Ing. Michal Dlabač, člen správní rady</w:t>
      </w:r>
    </w:p>
    <w:p w14:paraId="5FBF666D" w14:textId="53F7292D" w:rsidR="00526B1E" w:rsidRDefault="00B55DF9" w:rsidP="00654D89">
      <w:pPr>
        <w:spacing w:before="120"/>
        <w:contextualSpacing/>
        <w:rPr>
          <w:rFonts w:ascii="Arial" w:hAnsi="Arial" w:cs="Arial"/>
          <w:szCs w:val="22"/>
        </w:rPr>
      </w:pPr>
      <w:r w:rsidRPr="00595A34">
        <w:rPr>
          <w:rFonts w:ascii="Arial" w:hAnsi="Arial" w:cs="Arial"/>
          <w:szCs w:val="22"/>
        </w:rPr>
        <w:t>Město Kroměříž</w:t>
      </w:r>
      <w:r w:rsidRPr="00595A34">
        <w:rPr>
          <w:rFonts w:ascii="Arial" w:hAnsi="Arial" w:cs="Arial"/>
          <w:szCs w:val="22"/>
        </w:rPr>
        <w:tab/>
      </w:r>
      <w:r w:rsidRPr="00595A34">
        <w:rPr>
          <w:rFonts w:ascii="Arial" w:hAnsi="Arial" w:cs="Arial"/>
          <w:szCs w:val="22"/>
        </w:rPr>
        <w:tab/>
      </w:r>
      <w:r w:rsidRPr="00595A34">
        <w:rPr>
          <w:rFonts w:ascii="Arial" w:hAnsi="Arial" w:cs="Arial"/>
          <w:szCs w:val="22"/>
        </w:rPr>
        <w:tab/>
      </w:r>
      <w:r w:rsidRPr="00595A34">
        <w:rPr>
          <w:rFonts w:ascii="Arial" w:hAnsi="Arial" w:cs="Arial"/>
          <w:szCs w:val="22"/>
        </w:rPr>
        <w:tab/>
      </w:r>
      <w:r w:rsidR="00FA2946" w:rsidRPr="00595A34">
        <w:rPr>
          <w:rFonts w:ascii="Arial" w:hAnsi="Arial" w:cs="Arial"/>
          <w:szCs w:val="22"/>
        </w:rPr>
        <w:tab/>
      </w:r>
      <w:r w:rsidR="00595A34" w:rsidRPr="00595A34">
        <w:rPr>
          <w:rFonts w:ascii="Arial" w:hAnsi="Arial" w:cs="Arial"/>
          <w:szCs w:val="22"/>
        </w:rPr>
        <w:t>SMO a. s.</w:t>
      </w:r>
    </w:p>
    <w:p w14:paraId="67C2BC22" w14:textId="77777777" w:rsidR="00271005" w:rsidRDefault="00271005" w:rsidP="00654D89">
      <w:pPr>
        <w:spacing w:before="120"/>
        <w:contextualSpacing/>
        <w:rPr>
          <w:rFonts w:ascii="Arial" w:hAnsi="Arial" w:cs="Arial"/>
        </w:rPr>
        <w:sectPr w:rsidR="00271005" w:rsidSect="00BD14CD">
          <w:headerReference w:type="default" r:id="rId8"/>
          <w:footerReference w:type="default" r:id="rId9"/>
          <w:pgSz w:w="11906" w:h="16838"/>
          <w:pgMar w:top="1702" w:right="1418" w:bottom="1247" w:left="1418" w:header="709" w:footer="709" w:gutter="0"/>
          <w:cols w:space="708"/>
        </w:sectPr>
      </w:pPr>
    </w:p>
    <w:tbl>
      <w:tblPr>
        <w:tblW w:w="10417" w:type="dxa"/>
        <w:tblCellMar>
          <w:left w:w="70" w:type="dxa"/>
          <w:right w:w="70" w:type="dxa"/>
        </w:tblCellMar>
        <w:tblLook w:val="04A0" w:firstRow="1" w:lastRow="0" w:firstColumn="1" w:lastColumn="0" w:noHBand="0" w:noVBand="1"/>
      </w:tblPr>
      <w:tblGrid>
        <w:gridCol w:w="2392"/>
        <w:gridCol w:w="533"/>
        <w:gridCol w:w="2357"/>
        <w:gridCol w:w="756"/>
        <w:gridCol w:w="746"/>
        <w:gridCol w:w="201"/>
        <w:gridCol w:w="1527"/>
        <w:gridCol w:w="1336"/>
        <w:gridCol w:w="569"/>
      </w:tblGrid>
      <w:tr w:rsidR="00271005" w:rsidRPr="00271005" w14:paraId="27DF4872" w14:textId="77777777" w:rsidTr="00271005">
        <w:trPr>
          <w:trHeight w:val="696"/>
        </w:trPr>
        <w:tc>
          <w:tcPr>
            <w:tcW w:w="10417"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A58B56" w14:textId="77777777" w:rsidR="00271005" w:rsidRPr="00271005" w:rsidRDefault="00271005" w:rsidP="00271005">
            <w:pPr>
              <w:jc w:val="center"/>
              <w:rPr>
                <w:rFonts w:ascii="Arial CE" w:hAnsi="Arial CE" w:cs="Arial CE"/>
                <w:b/>
                <w:bCs/>
                <w:sz w:val="28"/>
                <w:szCs w:val="28"/>
              </w:rPr>
            </w:pPr>
            <w:r w:rsidRPr="00271005">
              <w:rPr>
                <w:rFonts w:ascii="Arial CE" w:hAnsi="Arial CE" w:cs="Arial CE"/>
                <w:b/>
                <w:bCs/>
                <w:sz w:val="28"/>
                <w:szCs w:val="28"/>
              </w:rPr>
              <w:lastRenderedPageBreak/>
              <w:t>Soupis stavebních prací, dodávek a služeb</w:t>
            </w:r>
          </w:p>
        </w:tc>
      </w:tr>
      <w:tr w:rsidR="00271005" w:rsidRPr="00271005" w14:paraId="0C552003" w14:textId="77777777" w:rsidTr="00271005">
        <w:trPr>
          <w:trHeight w:val="742"/>
        </w:trPr>
        <w:tc>
          <w:tcPr>
            <w:tcW w:w="2392" w:type="dxa"/>
            <w:tcBorders>
              <w:top w:val="nil"/>
              <w:left w:val="single" w:sz="8" w:space="0" w:color="auto"/>
              <w:bottom w:val="nil"/>
              <w:right w:val="nil"/>
            </w:tcBorders>
            <w:shd w:val="clear" w:color="000000" w:fill="D6E1EE"/>
            <w:noWrap/>
            <w:vAlign w:val="center"/>
            <w:hideMark/>
          </w:tcPr>
          <w:p w14:paraId="3BEB0DF6" w14:textId="77777777" w:rsidR="00271005" w:rsidRPr="00271005" w:rsidRDefault="00271005" w:rsidP="00271005">
            <w:pPr>
              <w:ind w:firstLineChars="100" w:firstLine="240"/>
              <w:rPr>
                <w:rFonts w:ascii="Arial CE" w:hAnsi="Arial CE" w:cs="Arial CE"/>
                <w:sz w:val="24"/>
                <w:szCs w:val="24"/>
              </w:rPr>
            </w:pPr>
            <w:r w:rsidRPr="00271005">
              <w:rPr>
                <w:rFonts w:ascii="Arial CE" w:hAnsi="Arial CE" w:cs="Arial CE"/>
                <w:sz w:val="24"/>
                <w:szCs w:val="24"/>
              </w:rPr>
              <w:t>Stavba:</w:t>
            </w:r>
          </w:p>
        </w:tc>
        <w:tc>
          <w:tcPr>
            <w:tcW w:w="533" w:type="dxa"/>
            <w:tcBorders>
              <w:top w:val="nil"/>
              <w:left w:val="nil"/>
              <w:bottom w:val="nil"/>
              <w:right w:val="nil"/>
            </w:tcBorders>
            <w:shd w:val="clear" w:color="000000" w:fill="D6E1EE"/>
            <w:vAlign w:val="bottom"/>
            <w:hideMark/>
          </w:tcPr>
          <w:p w14:paraId="43837A52"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nil"/>
              <w:right w:val="nil"/>
            </w:tcBorders>
            <w:shd w:val="clear" w:color="000000" w:fill="D6E1EE"/>
            <w:vAlign w:val="center"/>
            <w:hideMark/>
          </w:tcPr>
          <w:p w14:paraId="25F88178" w14:textId="77777777" w:rsidR="00271005" w:rsidRPr="00271005" w:rsidRDefault="00271005" w:rsidP="00271005">
            <w:pPr>
              <w:rPr>
                <w:rFonts w:ascii="Arial CE" w:hAnsi="Arial CE" w:cs="Arial CE"/>
                <w:b/>
                <w:bCs/>
                <w:sz w:val="24"/>
                <w:szCs w:val="24"/>
              </w:rPr>
            </w:pPr>
            <w:bookmarkStart w:id="33" w:name="RANGE!D2"/>
            <w:r w:rsidRPr="00271005">
              <w:rPr>
                <w:rFonts w:ascii="Arial CE" w:hAnsi="Arial CE" w:cs="Arial CE"/>
                <w:b/>
                <w:bCs/>
                <w:sz w:val="24"/>
                <w:szCs w:val="24"/>
              </w:rPr>
              <w:t>21039_DPSz_REV</w:t>
            </w:r>
            <w:bookmarkEnd w:id="33"/>
          </w:p>
        </w:tc>
        <w:tc>
          <w:tcPr>
            <w:tcW w:w="5135" w:type="dxa"/>
            <w:gridSpan w:val="6"/>
            <w:tcBorders>
              <w:top w:val="single" w:sz="4" w:space="0" w:color="auto"/>
              <w:left w:val="nil"/>
              <w:bottom w:val="nil"/>
              <w:right w:val="single" w:sz="8" w:space="0" w:color="000000"/>
            </w:tcBorders>
            <w:shd w:val="clear" w:color="000000" w:fill="D6E1EE"/>
            <w:vAlign w:val="center"/>
            <w:hideMark/>
          </w:tcPr>
          <w:p w14:paraId="498B9EBA" w14:textId="77777777" w:rsidR="00271005" w:rsidRPr="00271005" w:rsidRDefault="00271005" w:rsidP="00271005">
            <w:pPr>
              <w:rPr>
                <w:rFonts w:ascii="Arial CE" w:hAnsi="Arial CE" w:cs="Arial CE"/>
                <w:b/>
                <w:bCs/>
                <w:sz w:val="24"/>
                <w:szCs w:val="24"/>
              </w:rPr>
            </w:pPr>
            <w:bookmarkStart w:id="34" w:name="RANGE!E2"/>
            <w:r w:rsidRPr="00271005">
              <w:rPr>
                <w:rFonts w:ascii="Arial CE" w:hAnsi="Arial CE" w:cs="Arial CE"/>
                <w:b/>
                <w:bCs/>
                <w:sz w:val="24"/>
                <w:szCs w:val="24"/>
              </w:rPr>
              <w:t xml:space="preserve">Úprava </w:t>
            </w:r>
            <w:proofErr w:type="spellStart"/>
            <w:r w:rsidRPr="00271005">
              <w:rPr>
                <w:rFonts w:ascii="Arial CE" w:hAnsi="Arial CE" w:cs="Arial CE"/>
                <w:b/>
                <w:bCs/>
                <w:sz w:val="24"/>
                <w:szCs w:val="24"/>
              </w:rPr>
              <w:t>předprostoru</w:t>
            </w:r>
            <w:proofErr w:type="spellEnd"/>
            <w:r w:rsidRPr="00271005">
              <w:rPr>
                <w:rFonts w:ascii="Arial CE" w:hAnsi="Arial CE" w:cs="Arial CE"/>
                <w:b/>
                <w:bCs/>
                <w:sz w:val="24"/>
                <w:szCs w:val="24"/>
              </w:rPr>
              <w:t xml:space="preserve"> Knihovny Kroměřížska </w:t>
            </w:r>
            <w:proofErr w:type="spellStart"/>
            <w:r w:rsidRPr="00271005">
              <w:rPr>
                <w:rFonts w:ascii="Arial CE" w:hAnsi="Arial CE" w:cs="Arial CE"/>
                <w:b/>
                <w:bCs/>
                <w:sz w:val="24"/>
                <w:szCs w:val="24"/>
              </w:rPr>
              <w:t>DPS_zadávací</w:t>
            </w:r>
            <w:bookmarkEnd w:id="34"/>
            <w:proofErr w:type="spellEnd"/>
          </w:p>
        </w:tc>
      </w:tr>
      <w:tr w:rsidR="00271005" w:rsidRPr="00271005" w14:paraId="10CB3C8B" w14:textId="77777777" w:rsidTr="00271005">
        <w:trPr>
          <w:trHeight w:val="479"/>
        </w:trPr>
        <w:tc>
          <w:tcPr>
            <w:tcW w:w="2392" w:type="dxa"/>
            <w:tcBorders>
              <w:top w:val="nil"/>
              <w:left w:val="single" w:sz="8" w:space="0" w:color="auto"/>
              <w:bottom w:val="single" w:sz="4" w:space="0" w:color="auto"/>
              <w:right w:val="nil"/>
            </w:tcBorders>
            <w:shd w:val="clear" w:color="000000" w:fill="D6E1EE"/>
            <w:noWrap/>
            <w:vAlign w:val="center"/>
            <w:hideMark/>
          </w:tcPr>
          <w:p w14:paraId="38B9CFC8" w14:textId="77777777" w:rsidR="00271005" w:rsidRPr="00271005" w:rsidRDefault="00271005" w:rsidP="00271005">
            <w:pPr>
              <w:ind w:firstLineChars="100" w:firstLine="200"/>
              <w:rPr>
                <w:rFonts w:ascii="Arial CE" w:hAnsi="Arial CE" w:cs="Arial CE"/>
              </w:rPr>
            </w:pPr>
            <w:r w:rsidRPr="00271005">
              <w:rPr>
                <w:rFonts w:ascii="Arial CE" w:hAnsi="Arial CE" w:cs="Arial CE"/>
              </w:rPr>
              <w:t> </w:t>
            </w:r>
          </w:p>
        </w:tc>
        <w:tc>
          <w:tcPr>
            <w:tcW w:w="533" w:type="dxa"/>
            <w:tcBorders>
              <w:top w:val="nil"/>
              <w:left w:val="nil"/>
              <w:bottom w:val="single" w:sz="4" w:space="0" w:color="auto"/>
              <w:right w:val="nil"/>
            </w:tcBorders>
            <w:shd w:val="clear" w:color="000000" w:fill="D6E1EE"/>
            <w:vAlign w:val="bottom"/>
            <w:hideMark/>
          </w:tcPr>
          <w:p w14:paraId="4B650A71"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000000" w:fill="D6E1EE"/>
            <w:vAlign w:val="center"/>
            <w:hideMark/>
          </w:tcPr>
          <w:p w14:paraId="7E4E6245" w14:textId="77777777" w:rsidR="00271005" w:rsidRPr="00271005" w:rsidRDefault="00271005" w:rsidP="00271005">
            <w:pPr>
              <w:rPr>
                <w:rFonts w:ascii="Arial CE" w:hAnsi="Arial CE" w:cs="Arial CE"/>
                <w:b/>
                <w:bCs/>
              </w:rPr>
            </w:pPr>
            <w:bookmarkStart w:id="35" w:name="RANGE!E3"/>
            <w:bookmarkStart w:id="36" w:name="RANGE!D3"/>
            <w:bookmarkStart w:id="37" w:name="RANGE!D4"/>
            <w:bookmarkEnd w:id="35"/>
            <w:bookmarkEnd w:id="36"/>
            <w:r w:rsidRPr="00271005">
              <w:rPr>
                <w:rFonts w:ascii="Arial CE" w:hAnsi="Arial CE" w:cs="Arial CE"/>
                <w:b/>
                <w:bCs/>
              </w:rPr>
              <w:t> </w:t>
            </w:r>
            <w:bookmarkEnd w:id="37"/>
          </w:p>
        </w:tc>
        <w:tc>
          <w:tcPr>
            <w:tcW w:w="5135" w:type="dxa"/>
            <w:gridSpan w:val="6"/>
            <w:tcBorders>
              <w:top w:val="nil"/>
              <w:left w:val="nil"/>
              <w:bottom w:val="single" w:sz="4" w:space="0" w:color="auto"/>
              <w:right w:val="single" w:sz="8" w:space="0" w:color="000000"/>
            </w:tcBorders>
            <w:shd w:val="clear" w:color="000000" w:fill="D6E1EE"/>
            <w:vAlign w:val="center"/>
            <w:hideMark/>
          </w:tcPr>
          <w:p w14:paraId="201CED60" w14:textId="77777777" w:rsidR="00271005" w:rsidRPr="00271005" w:rsidRDefault="00271005" w:rsidP="00271005">
            <w:pPr>
              <w:rPr>
                <w:rFonts w:ascii="Arial CE" w:hAnsi="Arial CE" w:cs="Arial CE"/>
                <w:b/>
                <w:bCs/>
              </w:rPr>
            </w:pPr>
            <w:bookmarkStart w:id="38" w:name="RANGE!E4"/>
            <w:r w:rsidRPr="00271005">
              <w:rPr>
                <w:rFonts w:ascii="Arial CE" w:hAnsi="Arial CE" w:cs="Arial CE"/>
                <w:b/>
                <w:bCs/>
              </w:rPr>
              <w:t> </w:t>
            </w:r>
            <w:bookmarkEnd w:id="38"/>
          </w:p>
        </w:tc>
      </w:tr>
      <w:tr w:rsidR="00271005" w:rsidRPr="00271005" w14:paraId="0E45224C" w14:textId="77777777" w:rsidTr="00271005">
        <w:trPr>
          <w:trHeight w:val="494"/>
        </w:trPr>
        <w:tc>
          <w:tcPr>
            <w:tcW w:w="2392" w:type="dxa"/>
            <w:tcBorders>
              <w:top w:val="nil"/>
              <w:left w:val="single" w:sz="8" w:space="0" w:color="auto"/>
              <w:bottom w:val="nil"/>
              <w:right w:val="nil"/>
            </w:tcBorders>
            <w:shd w:val="clear" w:color="auto" w:fill="auto"/>
            <w:noWrap/>
            <w:vAlign w:val="center"/>
            <w:hideMark/>
          </w:tcPr>
          <w:p w14:paraId="5FDE4A9B" w14:textId="77777777" w:rsidR="00271005" w:rsidRPr="00271005" w:rsidRDefault="00271005" w:rsidP="00271005">
            <w:pPr>
              <w:ind w:firstLineChars="100" w:firstLine="200"/>
              <w:rPr>
                <w:rFonts w:ascii="Arial CE" w:hAnsi="Arial CE" w:cs="Arial CE"/>
              </w:rPr>
            </w:pPr>
            <w:r w:rsidRPr="00271005">
              <w:rPr>
                <w:rFonts w:ascii="Arial CE" w:hAnsi="Arial CE" w:cs="Arial CE"/>
              </w:rPr>
              <w:t>Zadavatel</w:t>
            </w:r>
          </w:p>
        </w:tc>
        <w:tc>
          <w:tcPr>
            <w:tcW w:w="533" w:type="dxa"/>
            <w:tcBorders>
              <w:top w:val="nil"/>
              <w:left w:val="nil"/>
              <w:bottom w:val="nil"/>
              <w:right w:val="nil"/>
            </w:tcBorders>
            <w:shd w:val="clear" w:color="auto" w:fill="auto"/>
            <w:vAlign w:val="bottom"/>
            <w:hideMark/>
          </w:tcPr>
          <w:p w14:paraId="6DE0F94B" w14:textId="77777777" w:rsidR="00271005" w:rsidRPr="00271005" w:rsidRDefault="00271005" w:rsidP="00271005">
            <w:pPr>
              <w:ind w:firstLineChars="100" w:firstLine="200"/>
              <w:rPr>
                <w:rFonts w:ascii="Arial CE" w:hAnsi="Arial CE" w:cs="Arial CE"/>
              </w:rPr>
            </w:pPr>
          </w:p>
        </w:tc>
        <w:tc>
          <w:tcPr>
            <w:tcW w:w="4060" w:type="dxa"/>
            <w:gridSpan w:val="4"/>
            <w:tcBorders>
              <w:top w:val="single" w:sz="4" w:space="0" w:color="auto"/>
              <w:left w:val="nil"/>
              <w:bottom w:val="nil"/>
              <w:right w:val="nil"/>
            </w:tcBorders>
            <w:shd w:val="clear" w:color="auto" w:fill="auto"/>
            <w:vAlign w:val="center"/>
            <w:hideMark/>
          </w:tcPr>
          <w:p w14:paraId="6AC89C0B" w14:textId="77777777" w:rsidR="00271005" w:rsidRPr="00271005" w:rsidRDefault="00271005" w:rsidP="00271005">
            <w:pPr>
              <w:rPr>
                <w:rFonts w:ascii="Arial CE" w:hAnsi="Arial CE" w:cs="Arial CE"/>
                <w:b/>
                <w:bCs/>
              </w:rPr>
            </w:pPr>
            <w:bookmarkStart w:id="39" w:name="RANGE!D5"/>
            <w:r w:rsidRPr="00271005">
              <w:rPr>
                <w:rFonts w:ascii="Arial CE" w:hAnsi="Arial CE" w:cs="Arial CE"/>
                <w:b/>
                <w:bCs/>
              </w:rPr>
              <w:t> </w:t>
            </w:r>
            <w:bookmarkEnd w:id="39"/>
          </w:p>
        </w:tc>
        <w:tc>
          <w:tcPr>
            <w:tcW w:w="1527" w:type="dxa"/>
            <w:tcBorders>
              <w:top w:val="nil"/>
              <w:left w:val="nil"/>
              <w:bottom w:val="nil"/>
              <w:right w:val="nil"/>
            </w:tcBorders>
            <w:shd w:val="clear" w:color="auto" w:fill="auto"/>
            <w:noWrap/>
            <w:vAlign w:val="center"/>
            <w:hideMark/>
          </w:tcPr>
          <w:p w14:paraId="2D173E1E" w14:textId="77777777" w:rsidR="00271005" w:rsidRPr="00271005" w:rsidRDefault="00271005" w:rsidP="00271005">
            <w:pPr>
              <w:jc w:val="right"/>
              <w:rPr>
                <w:rFonts w:ascii="Arial CE" w:hAnsi="Arial CE" w:cs="Arial CE"/>
              </w:rPr>
            </w:pPr>
            <w:r w:rsidRPr="00271005">
              <w:rPr>
                <w:rFonts w:ascii="Arial CE" w:hAnsi="Arial CE" w:cs="Arial CE"/>
              </w:rPr>
              <w:t>IČO:</w:t>
            </w:r>
          </w:p>
        </w:tc>
        <w:tc>
          <w:tcPr>
            <w:tcW w:w="1336" w:type="dxa"/>
            <w:tcBorders>
              <w:top w:val="nil"/>
              <w:left w:val="nil"/>
              <w:bottom w:val="nil"/>
              <w:right w:val="nil"/>
            </w:tcBorders>
            <w:shd w:val="clear" w:color="auto" w:fill="auto"/>
            <w:noWrap/>
            <w:vAlign w:val="center"/>
            <w:hideMark/>
          </w:tcPr>
          <w:p w14:paraId="6FB6E2EE" w14:textId="77777777" w:rsidR="00271005" w:rsidRPr="00271005" w:rsidRDefault="00271005" w:rsidP="00271005">
            <w:pPr>
              <w:jc w:val="right"/>
              <w:rPr>
                <w:rFonts w:ascii="Arial CE" w:hAnsi="Arial CE" w:cs="Arial CE"/>
              </w:rPr>
            </w:pPr>
            <w:bookmarkStart w:id="40" w:name="RANGE!I5"/>
            <w:bookmarkEnd w:id="40"/>
          </w:p>
        </w:tc>
        <w:tc>
          <w:tcPr>
            <w:tcW w:w="569" w:type="dxa"/>
            <w:tcBorders>
              <w:top w:val="nil"/>
              <w:left w:val="nil"/>
              <w:bottom w:val="nil"/>
              <w:right w:val="single" w:sz="8" w:space="0" w:color="auto"/>
            </w:tcBorders>
            <w:shd w:val="clear" w:color="auto" w:fill="auto"/>
            <w:noWrap/>
            <w:vAlign w:val="bottom"/>
            <w:hideMark/>
          </w:tcPr>
          <w:p w14:paraId="562CC317"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71C2232B" w14:textId="77777777" w:rsidTr="00271005">
        <w:trPr>
          <w:trHeight w:val="324"/>
        </w:trPr>
        <w:tc>
          <w:tcPr>
            <w:tcW w:w="2392" w:type="dxa"/>
            <w:tcBorders>
              <w:top w:val="nil"/>
              <w:left w:val="single" w:sz="8" w:space="0" w:color="auto"/>
              <w:bottom w:val="nil"/>
              <w:right w:val="nil"/>
            </w:tcBorders>
            <w:shd w:val="clear" w:color="auto" w:fill="auto"/>
            <w:noWrap/>
            <w:vAlign w:val="center"/>
            <w:hideMark/>
          </w:tcPr>
          <w:p w14:paraId="0D418864" w14:textId="77777777" w:rsidR="00271005" w:rsidRPr="00271005" w:rsidRDefault="00271005" w:rsidP="00271005">
            <w:pPr>
              <w:ind w:firstLineChars="100" w:firstLine="201"/>
              <w:rPr>
                <w:rFonts w:ascii="Arial CE" w:hAnsi="Arial CE" w:cs="Arial CE"/>
                <w:b/>
                <w:bCs/>
              </w:rPr>
            </w:pPr>
            <w:r w:rsidRPr="00271005">
              <w:rPr>
                <w:rFonts w:ascii="Arial CE" w:hAnsi="Arial CE" w:cs="Arial CE"/>
                <w:b/>
                <w:bCs/>
              </w:rPr>
              <w:t> </w:t>
            </w:r>
          </w:p>
        </w:tc>
        <w:tc>
          <w:tcPr>
            <w:tcW w:w="533" w:type="dxa"/>
            <w:tcBorders>
              <w:top w:val="nil"/>
              <w:left w:val="nil"/>
              <w:bottom w:val="nil"/>
              <w:right w:val="nil"/>
            </w:tcBorders>
            <w:shd w:val="clear" w:color="auto" w:fill="auto"/>
            <w:vAlign w:val="center"/>
            <w:hideMark/>
          </w:tcPr>
          <w:p w14:paraId="261A2272" w14:textId="77777777" w:rsidR="00271005" w:rsidRPr="00271005" w:rsidRDefault="00271005" w:rsidP="00271005">
            <w:pPr>
              <w:ind w:firstLineChars="100" w:firstLine="201"/>
              <w:rPr>
                <w:rFonts w:ascii="Arial CE" w:hAnsi="Arial CE" w:cs="Arial CE"/>
                <w:b/>
                <w:bCs/>
              </w:rPr>
            </w:pPr>
          </w:p>
        </w:tc>
        <w:tc>
          <w:tcPr>
            <w:tcW w:w="4060" w:type="dxa"/>
            <w:gridSpan w:val="4"/>
            <w:tcBorders>
              <w:top w:val="nil"/>
              <w:left w:val="nil"/>
              <w:bottom w:val="nil"/>
              <w:right w:val="nil"/>
            </w:tcBorders>
            <w:shd w:val="clear" w:color="auto" w:fill="auto"/>
            <w:vAlign w:val="center"/>
            <w:hideMark/>
          </w:tcPr>
          <w:p w14:paraId="53A83925" w14:textId="77777777" w:rsidR="00271005" w:rsidRPr="00271005" w:rsidRDefault="00271005" w:rsidP="00271005">
            <w:bookmarkStart w:id="41" w:name="RANGE!D6"/>
            <w:bookmarkEnd w:id="41"/>
          </w:p>
        </w:tc>
        <w:tc>
          <w:tcPr>
            <w:tcW w:w="1527" w:type="dxa"/>
            <w:tcBorders>
              <w:top w:val="nil"/>
              <w:left w:val="nil"/>
              <w:bottom w:val="nil"/>
              <w:right w:val="nil"/>
            </w:tcBorders>
            <w:shd w:val="clear" w:color="auto" w:fill="auto"/>
            <w:noWrap/>
            <w:vAlign w:val="center"/>
            <w:hideMark/>
          </w:tcPr>
          <w:p w14:paraId="77A51016" w14:textId="77777777" w:rsidR="00271005" w:rsidRPr="00271005" w:rsidRDefault="00271005" w:rsidP="00271005">
            <w:pPr>
              <w:jc w:val="right"/>
              <w:rPr>
                <w:rFonts w:ascii="Arial CE" w:hAnsi="Arial CE" w:cs="Arial CE"/>
              </w:rPr>
            </w:pPr>
            <w:r w:rsidRPr="00271005">
              <w:rPr>
                <w:rFonts w:ascii="Arial CE" w:hAnsi="Arial CE" w:cs="Arial CE"/>
              </w:rPr>
              <w:t>DIČ:</w:t>
            </w:r>
          </w:p>
        </w:tc>
        <w:tc>
          <w:tcPr>
            <w:tcW w:w="1336" w:type="dxa"/>
            <w:tcBorders>
              <w:top w:val="nil"/>
              <w:left w:val="nil"/>
              <w:bottom w:val="nil"/>
              <w:right w:val="nil"/>
            </w:tcBorders>
            <w:shd w:val="clear" w:color="auto" w:fill="auto"/>
            <w:noWrap/>
            <w:vAlign w:val="center"/>
            <w:hideMark/>
          </w:tcPr>
          <w:p w14:paraId="12671F6B" w14:textId="77777777" w:rsidR="00271005" w:rsidRPr="00271005" w:rsidRDefault="00271005" w:rsidP="00271005">
            <w:pPr>
              <w:jc w:val="right"/>
              <w:rPr>
                <w:rFonts w:ascii="Arial CE" w:hAnsi="Arial CE" w:cs="Arial CE"/>
              </w:rPr>
            </w:pPr>
            <w:bookmarkStart w:id="42" w:name="RANGE!I6"/>
            <w:bookmarkEnd w:id="42"/>
          </w:p>
        </w:tc>
        <w:tc>
          <w:tcPr>
            <w:tcW w:w="569" w:type="dxa"/>
            <w:tcBorders>
              <w:top w:val="nil"/>
              <w:left w:val="nil"/>
              <w:bottom w:val="nil"/>
              <w:right w:val="single" w:sz="8" w:space="0" w:color="auto"/>
            </w:tcBorders>
            <w:shd w:val="clear" w:color="auto" w:fill="auto"/>
            <w:noWrap/>
            <w:vAlign w:val="bottom"/>
            <w:hideMark/>
          </w:tcPr>
          <w:p w14:paraId="192D166D"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1CCD9DB7" w14:textId="77777777" w:rsidTr="00271005">
        <w:trPr>
          <w:trHeight w:val="324"/>
        </w:trPr>
        <w:tc>
          <w:tcPr>
            <w:tcW w:w="2392" w:type="dxa"/>
            <w:tcBorders>
              <w:top w:val="nil"/>
              <w:left w:val="single" w:sz="8" w:space="0" w:color="auto"/>
              <w:bottom w:val="single" w:sz="4" w:space="0" w:color="auto"/>
              <w:right w:val="nil"/>
            </w:tcBorders>
            <w:shd w:val="clear" w:color="auto" w:fill="auto"/>
            <w:noWrap/>
            <w:vAlign w:val="center"/>
            <w:hideMark/>
          </w:tcPr>
          <w:p w14:paraId="3FCC2514" w14:textId="77777777" w:rsidR="00271005" w:rsidRPr="00271005" w:rsidRDefault="00271005" w:rsidP="00271005">
            <w:pPr>
              <w:ind w:firstLineChars="100" w:firstLine="201"/>
              <w:rPr>
                <w:rFonts w:ascii="Arial CE" w:hAnsi="Arial CE" w:cs="Arial CE"/>
                <w:b/>
                <w:bCs/>
              </w:rPr>
            </w:pPr>
            <w:r w:rsidRPr="00271005">
              <w:rPr>
                <w:rFonts w:ascii="Arial CE" w:hAnsi="Arial CE" w:cs="Arial CE"/>
                <w:b/>
                <w:bCs/>
              </w:rPr>
              <w:t> </w:t>
            </w:r>
          </w:p>
        </w:tc>
        <w:tc>
          <w:tcPr>
            <w:tcW w:w="533" w:type="dxa"/>
            <w:tcBorders>
              <w:top w:val="nil"/>
              <w:left w:val="nil"/>
              <w:bottom w:val="single" w:sz="4" w:space="0" w:color="auto"/>
              <w:right w:val="nil"/>
            </w:tcBorders>
            <w:shd w:val="clear" w:color="auto" w:fill="auto"/>
            <w:vAlign w:val="center"/>
            <w:hideMark/>
          </w:tcPr>
          <w:p w14:paraId="15B73EDE" w14:textId="77777777" w:rsidR="00271005" w:rsidRPr="00271005" w:rsidRDefault="00271005" w:rsidP="00271005">
            <w:pPr>
              <w:jc w:val="right"/>
              <w:rPr>
                <w:rFonts w:ascii="Arial CE" w:hAnsi="Arial CE" w:cs="Arial CE"/>
                <w:b/>
                <w:bCs/>
              </w:rPr>
            </w:pPr>
            <w:r w:rsidRPr="00271005">
              <w:rPr>
                <w:rFonts w:ascii="Arial CE" w:hAnsi="Arial CE" w:cs="Arial CE"/>
                <w:b/>
                <w:bCs/>
              </w:rPr>
              <w:t> </w:t>
            </w:r>
          </w:p>
        </w:tc>
        <w:tc>
          <w:tcPr>
            <w:tcW w:w="2357" w:type="dxa"/>
            <w:tcBorders>
              <w:top w:val="nil"/>
              <w:left w:val="nil"/>
              <w:bottom w:val="single" w:sz="4" w:space="0" w:color="auto"/>
              <w:right w:val="nil"/>
            </w:tcBorders>
            <w:shd w:val="clear" w:color="auto" w:fill="auto"/>
            <w:vAlign w:val="center"/>
            <w:hideMark/>
          </w:tcPr>
          <w:p w14:paraId="31F392E1" w14:textId="77777777" w:rsidR="00271005" w:rsidRPr="00271005" w:rsidRDefault="00271005" w:rsidP="00271005">
            <w:pPr>
              <w:rPr>
                <w:rFonts w:ascii="Arial CE" w:hAnsi="Arial CE" w:cs="Arial CE"/>
                <w:b/>
                <w:bCs/>
              </w:rPr>
            </w:pPr>
            <w:bookmarkStart w:id="43" w:name="RANGE!D7"/>
            <w:r w:rsidRPr="00271005">
              <w:rPr>
                <w:rFonts w:ascii="Arial CE" w:hAnsi="Arial CE" w:cs="Arial CE"/>
                <w:b/>
                <w:bCs/>
              </w:rPr>
              <w:t> </w:t>
            </w:r>
            <w:bookmarkEnd w:id="43"/>
          </w:p>
        </w:tc>
        <w:tc>
          <w:tcPr>
            <w:tcW w:w="1703" w:type="dxa"/>
            <w:gridSpan w:val="3"/>
            <w:tcBorders>
              <w:top w:val="nil"/>
              <w:left w:val="nil"/>
              <w:bottom w:val="single" w:sz="4" w:space="0" w:color="auto"/>
              <w:right w:val="nil"/>
            </w:tcBorders>
            <w:shd w:val="clear" w:color="auto" w:fill="auto"/>
            <w:vAlign w:val="center"/>
            <w:hideMark/>
          </w:tcPr>
          <w:p w14:paraId="68569F79" w14:textId="77777777" w:rsidR="00271005" w:rsidRPr="00271005" w:rsidRDefault="00271005" w:rsidP="00271005">
            <w:pPr>
              <w:rPr>
                <w:rFonts w:ascii="Arial CE" w:hAnsi="Arial CE" w:cs="Arial CE"/>
                <w:b/>
                <w:bCs/>
              </w:rPr>
            </w:pPr>
            <w:bookmarkStart w:id="44" w:name="RANGE!E7"/>
            <w:r w:rsidRPr="00271005">
              <w:rPr>
                <w:rFonts w:ascii="Arial CE" w:hAnsi="Arial CE" w:cs="Arial CE"/>
                <w:b/>
                <w:bCs/>
              </w:rPr>
              <w:t> </w:t>
            </w:r>
            <w:bookmarkEnd w:id="44"/>
          </w:p>
        </w:tc>
        <w:tc>
          <w:tcPr>
            <w:tcW w:w="1527" w:type="dxa"/>
            <w:tcBorders>
              <w:top w:val="nil"/>
              <w:left w:val="nil"/>
              <w:bottom w:val="single" w:sz="4" w:space="0" w:color="auto"/>
              <w:right w:val="nil"/>
            </w:tcBorders>
            <w:shd w:val="clear" w:color="auto" w:fill="auto"/>
            <w:noWrap/>
            <w:vAlign w:val="center"/>
            <w:hideMark/>
          </w:tcPr>
          <w:p w14:paraId="5E30C7B6" w14:textId="77777777" w:rsidR="00271005" w:rsidRPr="00271005" w:rsidRDefault="00271005" w:rsidP="00271005">
            <w:pPr>
              <w:rPr>
                <w:rFonts w:ascii="Arial CE" w:hAnsi="Arial CE" w:cs="Arial CE"/>
              </w:rPr>
            </w:pPr>
            <w:r w:rsidRPr="00271005">
              <w:rPr>
                <w:rFonts w:ascii="Arial CE" w:hAnsi="Arial CE" w:cs="Arial CE"/>
              </w:rPr>
              <w:t> </w:t>
            </w:r>
          </w:p>
        </w:tc>
        <w:tc>
          <w:tcPr>
            <w:tcW w:w="1336" w:type="dxa"/>
            <w:tcBorders>
              <w:top w:val="nil"/>
              <w:left w:val="nil"/>
              <w:bottom w:val="single" w:sz="4" w:space="0" w:color="auto"/>
              <w:right w:val="nil"/>
            </w:tcBorders>
            <w:shd w:val="clear" w:color="auto" w:fill="auto"/>
            <w:noWrap/>
            <w:vAlign w:val="center"/>
            <w:hideMark/>
          </w:tcPr>
          <w:p w14:paraId="106A7A65"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69" w:type="dxa"/>
            <w:tcBorders>
              <w:top w:val="nil"/>
              <w:left w:val="nil"/>
              <w:bottom w:val="single" w:sz="4" w:space="0" w:color="auto"/>
              <w:right w:val="single" w:sz="8" w:space="0" w:color="auto"/>
            </w:tcBorders>
            <w:shd w:val="clear" w:color="auto" w:fill="auto"/>
            <w:noWrap/>
            <w:vAlign w:val="bottom"/>
            <w:hideMark/>
          </w:tcPr>
          <w:p w14:paraId="5FE63008"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19BB903E" w14:textId="77777777" w:rsidTr="00271005">
        <w:trPr>
          <w:trHeight w:val="494"/>
        </w:trPr>
        <w:tc>
          <w:tcPr>
            <w:tcW w:w="2392" w:type="dxa"/>
            <w:tcBorders>
              <w:top w:val="nil"/>
              <w:left w:val="single" w:sz="8" w:space="0" w:color="auto"/>
              <w:bottom w:val="nil"/>
              <w:right w:val="nil"/>
            </w:tcBorders>
            <w:shd w:val="clear" w:color="auto" w:fill="auto"/>
            <w:noWrap/>
            <w:vAlign w:val="center"/>
            <w:hideMark/>
          </w:tcPr>
          <w:p w14:paraId="17284428" w14:textId="77777777" w:rsidR="00271005" w:rsidRPr="00271005" w:rsidRDefault="00271005" w:rsidP="00271005">
            <w:pPr>
              <w:ind w:firstLineChars="100" w:firstLine="200"/>
              <w:rPr>
                <w:rFonts w:ascii="Arial CE" w:hAnsi="Arial CE" w:cs="Arial CE"/>
              </w:rPr>
            </w:pPr>
            <w:r w:rsidRPr="00271005">
              <w:rPr>
                <w:rFonts w:ascii="Arial CE" w:hAnsi="Arial CE" w:cs="Arial CE"/>
              </w:rPr>
              <w:t>Zhotovitel:</w:t>
            </w:r>
          </w:p>
        </w:tc>
        <w:tc>
          <w:tcPr>
            <w:tcW w:w="533" w:type="dxa"/>
            <w:tcBorders>
              <w:top w:val="nil"/>
              <w:left w:val="nil"/>
              <w:bottom w:val="nil"/>
              <w:right w:val="nil"/>
            </w:tcBorders>
            <w:shd w:val="clear" w:color="auto" w:fill="auto"/>
            <w:vAlign w:val="bottom"/>
            <w:hideMark/>
          </w:tcPr>
          <w:p w14:paraId="7ECB81BA" w14:textId="77777777" w:rsidR="00271005" w:rsidRPr="00271005" w:rsidRDefault="00271005" w:rsidP="00271005">
            <w:pPr>
              <w:ind w:firstLineChars="100" w:firstLine="200"/>
              <w:rPr>
                <w:rFonts w:ascii="Arial CE" w:hAnsi="Arial CE" w:cs="Arial CE"/>
              </w:rPr>
            </w:pPr>
          </w:p>
        </w:tc>
        <w:tc>
          <w:tcPr>
            <w:tcW w:w="4060" w:type="dxa"/>
            <w:gridSpan w:val="4"/>
            <w:tcBorders>
              <w:top w:val="single" w:sz="4" w:space="0" w:color="auto"/>
              <w:left w:val="nil"/>
              <w:bottom w:val="nil"/>
              <w:right w:val="nil"/>
            </w:tcBorders>
            <w:shd w:val="clear" w:color="000000" w:fill="99CCFF"/>
            <w:noWrap/>
            <w:vAlign w:val="center"/>
            <w:hideMark/>
          </w:tcPr>
          <w:p w14:paraId="603CBC8C" w14:textId="77777777" w:rsidR="00271005" w:rsidRPr="00271005" w:rsidRDefault="00271005" w:rsidP="00271005">
            <w:pPr>
              <w:rPr>
                <w:rFonts w:ascii="Arial CE" w:hAnsi="Arial CE" w:cs="Arial CE"/>
                <w:b/>
                <w:bCs/>
              </w:rPr>
            </w:pPr>
            <w:bookmarkStart w:id="45" w:name="RANGE!E10"/>
            <w:bookmarkStart w:id="46" w:name="RANGE!D10"/>
            <w:bookmarkStart w:id="47" w:name="RANGE!I9"/>
            <w:bookmarkStart w:id="48" w:name="RANGE!D9"/>
            <w:bookmarkStart w:id="49" w:name="RANGE!I8"/>
            <w:bookmarkStart w:id="50" w:name="RANGE!D8"/>
            <w:bookmarkStart w:id="51" w:name="RANGE!D11:G11"/>
            <w:bookmarkEnd w:id="45"/>
            <w:bookmarkEnd w:id="46"/>
            <w:bookmarkEnd w:id="47"/>
            <w:bookmarkEnd w:id="48"/>
            <w:bookmarkEnd w:id="49"/>
            <w:bookmarkEnd w:id="50"/>
            <w:r w:rsidRPr="00271005">
              <w:rPr>
                <w:rFonts w:ascii="Arial CE" w:hAnsi="Arial CE" w:cs="Arial CE"/>
                <w:b/>
                <w:bCs/>
              </w:rPr>
              <w:t>SMO a.s.</w:t>
            </w:r>
            <w:bookmarkEnd w:id="51"/>
          </w:p>
        </w:tc>
        <w:tc>
          <w:tcPr>
            <w:tcW w:w="1527" w:type="dxa"/>
            <w:tcBorders>
              <w:top w:val="nil"/>
              <w:left w:val="nil"/>
              <w:bottom w:val="nil"/>
              <w:right w:val="nil"/>
            </w:tcBorders>
            <w:shd w:val="clear" w:color="auto" w:fill="auto"/>
            <w:noWrap/>
            <w:vAlign w:val="center"/>
            <w:hideMark/>
          </w:tcPr>
          <w:p w14:paraId="151A29FE" w14:textId="77777777" w:rsidR="00271005" w:rsidRPr="00271005" w:rsidRDefault="00271005" w:rsidP="00271005">
            <w:pPr>
              <w:jc w:val="right"/>
              <w:rPr>
                <w:rFonts w:ascii="Arial CE" w:hAnsi="Arial CE" w:cs="Arial CE"/>
              </w:rPr>
            </w:pPr>
            <w:r w:rsidRPr="00271005">
              <w:rPr>
                <w:rFonts w:ascii="Arial CE" w:hAnsi="Arial CE" w:cs="Arial CE"/>
              </w:rPr>
              <w:t>IČO:</w:t>
            </w:r>
          </w:p>
        </w:tc>
        <w:tc>
          <w:tcPr>
            <w:tcW w:w="1336" w:type="dxa"/>
            <w:tcBorders>
              <w:top w:val="nil"/>
              <w:left w:val="nil"/>
              <w:bottom w:val="nil"/>
              <w:right w:val="nil"/>
            </w:tcBorders>
            <w:shd w:val="clear" w:color="000000" w:fill="99CCFF"/>
            <w:noWrap/>
            <w:vAlign w:val="center"/>
            <w:hideMark/>
          </w:tcPr>
          <w:p w14:paraId="27C9B4AA" w14:textId="77777777" w:rsidR="00271005" w:rsidRPr="00271005" w:rsidRDefault="00271005" w:rsidP="00271005">
            <w:pPr>
              <w:rPr>
                <w:rFonts w:ascii="Arial CE" w:hAnsi="Arial CE" w:cs="Arial CE"/>
                <w:b/>
                <w:bCs/>
              </w:rPr>
            </w:pPr>
            <w:bookmarkStart w:id="52" w:name="RANGE!I11"/>
            <w:r w:rsidRPr="00271005">
              <w:rPr>
                <w:rFonts w:ascii="Arial CE" w:hAnsi="Arial CE" w:cs="Arial CE"/>
                <w:b/>
                <w:bCs/>
              </w:rPr>
              <w:t>42339839</w:t>
            </w:r>
            <w:bookmarkEnd w:id="52"/>
          </w:p>
        </w:tc>
        <w:tc>
          <w:tcPr>
            <w:tcW w:w="569" w:type="dxa"/>
            <w:tcBorders>
              <w:top w:val="nil"/>
              <w:left w:val="nil"/>
              <w:bottom w:val="nil"/>
              <w:right w:val="single" w:sz="8" w:space="0" w:color="auto"/>
            </w:tcBorders>
            <w:shd w:val="clear" w:color="auto" w:fill="auto"/>
            <w:noWrap/>
            <w:vAlign w:val="bottom"/>
            <w:hideMark/>
          </w:tcPr>
          <w:p w14:paraId="0024AADD"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69CC8D2B" w14:textId="77777777" w:rsidTr="00271005">
        <w:trPr>
          <w:trHeight w:val="324"/>
        </w:trPr>
        <w:tc>
          <w:tcPr>
            <w:tcW w:w="2392" w:type="dxa"/>
            <w:tcBorders>
              <w:top w:val="nil"/>
              <w:left w:val="single" w:sz="8" w:space="0" w:color="auto"/>
              <w:bottom w:val="nil"/>
              <w:right w:val="nil"/>
            </w:tcBorders>
            <w:shd w:val="clear" w:color="auto" w:fill="auto"/>
            <w:noWrap/>
            <w:vAlign w:val="center"/>
            <w:hideMark/>
          </w:tcPr>
          <w:p w14:paraId="4B995797" w14:textId="77777777" w:rsidR="00271005" w:rsidRPr="00271005" w:rsidRDefault="00271005" w:rsidP="00271005">
            <w:pPr>
              <w:ind w:firstLineChars="100" w:firstLine="201"/>
              <w:rPr>
                <w:rFonts w:ascii="Arial CE" w:hAnsi="Arial CE" w:cs="Arial CE"/>
                <w:b/>
                <w:bCs/>
              </w:rPr>
            </w:pPr>
            <w:r w:rsidRPr="00271005">
              <w:rPr>
                <w:rFonts w:ascii="Arial CE" w:hAnsi="Arial CE" w:cs="Arial CE"/>
                <w:b/>
                <w:bCs/>
              </w:rPr>
              <w:t> </w:t>
            </w:r>
          </w:p>
        </w:tc>
        <w:tc>
          <w:tcPr>
            <w:tcW w:w="533" w:type="dxa"/>
            <w:tcBorders>
              <w:top w:val="nil"/>
              <w:left w:val="nil"/>
              <w:bottom w:val="nil"/>
              <w:right w:val="nil"/>
            </w:tcBorders>
            <w:shd w:val="clear" w:color="auto" w:fill="auto"/>
            <w:vAlign w:val="center"/>
            <w:hideMark/>
          </w:tcPr>
          <w:p w14:paraId="54C2257C" w14:textId="77777777" w:rsidR="00271005" w:rsidRPr="00271005" w:rsidRDefault="00271005" w:rsidP="00271005">
            <w:pPr>
              <w:ind w:firstLineChars="100" w:firstLine="201"/>
              <w:rPr>
                <w:rFonts w:ascii="Arial CE" w:hAnsi="Arial CE" w:cs="Arial CE"/>
                <w:b/>
                <w:bCs/>
              </w:rPr>
            </w:pPr>
          </w:p>
        </w:tc>
        <w:tc>
          <w:tcPr>
            <w:tcW w:w="4060" w:type="dxa"/>
            <w:gridSpan w:val="4"/>
            <w:tcBorders>
              <w:top w:val="nil"/>
              <w:left w:val="nil"/>
              <w:bottom w:val="nil"/>
              <w:right w:val="nil"/>
            </w:tcBorders>
            <w:shd w:val="clear" w:color="000000" w:fill="99CCFF"/>
            <w:noWrap/>
            <w:vAlign w:val="center"/>
            <w:hideMark/>
          </w:tcPr>
          <w:p w14:paraId="3724EC1A" w14:textId="77777777" w:rsidR="00271005" w:rsidRPr="00271005" w:rsidRDefault="00271005" w:rsidP="00271005">
            <w:pPr>
              <w:rPr>
                <w:rFonts w:ascii="Arial CE" w:hAnsi="Arial CE" w:cs="Arial CE"/>
                <w:b/>
                <w:bCs/>
              </w:rPr>
            </w:pPr>
            <w:bookmarkStart w:id="53" w:name="RANGE!D12:G12"/>
            <w:r w:rsidRPr="00271005">
              <w:rPr>
                <w:rFonts w:ascii="Arial CE" w:hAnsi="Arial CE" w:cs="Arial CE"/>
                <w:b/>
                <w:bCs/>
              </w:rPr>
              <w:t>Zlínská 172, Kvítkovice</w:t>
            </w:r>
            <w:bookmarkEnd w:id="53"/>
          </w:p>
        </w:tc>
        <w:tc>
          <w:tcPr>
            <w:tcW w:w="1527" w:type="dxa"/>
            <w:tcBorders>
              <w:top w:val="nil"/>
              <w:left w:val="nil"/>
              <w:bottom w:val="nil"/>
              <w:right w:val="nil"/>
            </w:tcBorders>
            <w:shd w:val="clear" w:color="auto" w:fill="auto"/>
            <w:noWrap/>
            <w:vAlign w:val="center"/>
            <w:hideMark/>
          </w:tcPr>
          <w:p w14:paraId="1E82640F" w14:textId="77777777" w:rsidR="00271005" w:rsidRPr="00271005" w:rsidRDefault="00271005" w:rsidP="00271005">
            <w:pPr>
              <w:jc w:val="right"/>
              <w:rPr>
                <w:rFonts w:ascii="Arial CE" w:hAnsi="Arial CE" w:cs="Arial CE"/>
              </w:rPr>
            </w:pPr>
            <w:r w:rsidRPr="00271005">
              <w:rPr>
                <w:rFonts w:ascii="Arial CE" w:hAnsi="Arial CE" w:cs="Arial CE"/>
              </w:rPr>
              <w:t>DIČ:</w:t>
            </w:r>
          </w:p>
        </w:tc>
        <w:tc>
          <w:tcPr>
            <w:tcW w:w="1336" w:type="dxa"/>
            <w:tcBorders>
              <w:top w:val="nil"/>
              <w:left w:val="nil"/>
              <w:bottom w:val="nil"/>
              <w:right w:val="nil"/>
            </w:tcBorders>
            <w:shd w:val="clear" w:color="000000" w:fill="99CCFF"/>
            <w:noWrap/>
            <w:vAlign w:val="center"/>
            <w:hideMark/>
          </w:tcPr>
          <w:p w14:paraId="0B455949" w14:textId="77777777" w:rsidR="00271005" w:rsidRPr="00271005" w:rsidRDefault="00271005" w:rsidP="00271005">
            <w:pPr>
              <w:rPr>
                <w:rFonts w:ascii="Arial CE" w:hAnsi="Arial CE" w:cs="Arial CE"/>
                <w:b/>
                <w:bCs/>
              </w:rPr>
            </w:pPr>
            <w:bookmarkStart w:id="54" w:name="RANGE!I12"/>
            <w:r w:rsidRPr="00271005">
              <w:rPr>
                <w:rFonts w:ascii="Arial CE" w:hAnsi="Arial CE" w:cs="Arial CE"/>
                <w:b/>
                <w:bCs/>
              </w:rPr>
              <w:t>CZ42339839</w:t>
            </w:r>
            <w:bookmarkEnd w:id="54"/>
          </w:p>
        </w:tc>
        <w:tc>
          <w:tcPr>
            <w:tcW w:w="569" w:type="dxa"/>
            <w:tcBorders>
              <w:top w:val="nil"/>
              <w:left w:val="nil"/>
              <w:bottom w:val="nil"/>
              <w:right w:val="single" w:sz="8" w:space="0" w:color="auto"/>
            </w:tcBorders>
            <w:shd w:val="clear" w:color="auto" w:fill="auto"/>
            <w:noWrap/>
            <w:vAlign w:val="bottom"/>
            <w:hideMark/>
          </w:tcPr>
          <w:p w14:paraId="7E7F0415"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6061A122" w14:textId="77777777" w:rsidTr="00271005">
        <w:trPr>
          <w:trHeight w:val="324"/>
        </w:trPr>
        <w:tc>
          <w:tcPr>
            <w:tcW w:w="2392" w:type="dxa"/>
            <w:tcBorders>
              <w:top w:val="nil"/>
              <w:left w:val="single" w:sz="8" w:space="0" w:color="auto"/>
              <w:bottom w:val="single" w:sz="4" w:space="0" w:color="auto"/>
              <w:right w:val="nil"/>
            </w:tcBorders>
            <w:shd w:val="clear" w:color="auto" w:fill="auto"/>
            <w:noWrap/>
            <w:vAlign w:val="center"/>
            <w:hideMark/>
          </w:tcPr>
          <w:p w14:paraId="6750880E" w14:textId="77777777" w:rsidR="00271005" w:rsidRPr="00271005" w:rsidRDefault="00271005" w:rsidP="00271005">
            <w:pPr>
              <w:ind w:firstLineChars="100" w:firstLine="201"/>
              <w:rPr>
                <w:rFonts w:ascii="Arial CE" w:hAnsi="Arial CE" w:cs="Arial CE"/>
                <w:b/>
                <w:bCs/>
              </w:rPr>
            </w:pPr>
            <w:r w:rsidRPr="00271005">
              <w:rPr>
                <w:rFonts w:ascii="Arial CE" w:hAnsi="Arial CE" w:cs="Arial CE"/>
                <w:b/>
                <w:bCs/>
              </w:rPr>
              <w:t> </w:t>
            </w:r>
          </w:p>
        </w:tc>
        <w:tc>
          <w:tcPr>
            <w:tcW w:w="533" w:type="dxa"/>
            <w:tcBorders>
              <w:top w:val="nil"/>
              <w:left w:val="nil"/>
              <w:bottom w:val="single" w:sz="4" w:space="0" w:color="auto"/>
              <w:right w:val="nil"/>
            </w:tcBorders>
            <w:shd w:val="clear" w:color="auto" w:fill="auto"/>
            <w:vAlign w:val="center"/>
            <w:hideMark/>
          </w:tcPr>
          <w:p w14:paraId="17806E56" w14:textId="77777777" w:rsidR="00271005" w:rsidRPr="00271005" w:rsidRDefault="00271005" w:rsidP="00271005">
            <w:pPr>
              <w:jc w:val="right"/>
              <w:rPr>
                <w:rFonts w:ascii="Arial CE" w:hAnsi="Arial CE" w:cs="Arial CE"/>
                <w:b/>
                <w:bCs/>
              </w:rPr>
            </w:pPr>
            <w:r w:rsidRPr="00271005">
              <w:rPr>
                <w:rFonts w:ascii="Arial CE" w:hAnsi="Arial CE" w:cs="Arial CE"/>
                <w:b/>
                <w:bCs/>
              </w:rPr>
              <w:t> </w:t>
            </w:r>
          </w:p>
        </w:tc>
        <w:tc>
          <w:tcPr>
            <w:tcW w:w="2357" w:type="dxa"/>
            <w:tcBorders>
              <w:top w:val="nil"/>
              <w:left w:val="nil"/>
              <w:bottom w:val="single" w:sz="4" w:space="0" w:color="auto"/>
              <w:right w:val="nil"/>
            </w:tcBorders>
            <w:shd w:val="clear" w:color="000000" w:fill="99CCFF"/>
            <w:vAlign w:val="center"/>
            <w:hideMark/>
          </w:tcPr>
          <w:p w14:paraId="35158646" w14:textId="77777777" w:rsidR="00271005" w:rsidRPr="00271005" w:rsidRDefault="00271005" w:rsidP="00271005">
            <w:pPr>
              <w:rPr>
                <w:rFonts w:ascii="Arial CE" w:hAnsi="Arial CE" w:cs="Arial CE"/>
                <w:b/>
                <w:bCs/>
              </w:rPr>
            </w:pPr>
            <w:bookmarkStart w:id="55" w:name="RANGE!D13"/>
            <w:r w:rsidRPr="00271005">
              <w:rPr>
                <w:rFonts w:ascii="Arial CE" w:hAnsi="Arial CE" w:cs="Arial CE"/>
                <w:b/>
                <w:bCs/>
              </w:rPr>
              <w:t>765 02</w:t>
            </w:r>
            <w:bookmarkEnd w:id="55"/>
          </w:p>
        </w:tc>
        <w:tc>
          <w:tcPr>
            <w:tcW w:w="1703" w:type="dxa"/>
            <w:gridSpan w:val="3"/>
            <w:tcBorders>
              <w:top w:val="nil"/>
              <w:left w:val="nil"/>
              <w:bottom w:val="single" w:sz="4" w:space="0" w:color="auto"/>
              <w:right w:val="nil"/>
            </w:tcBorders>
            <w:shd w:val="clear" w:color="000000" w:fill="99CCFF"/>
            <w:noWrap/>
            <w:vAlign w:val="center"/>
            <w:hideMark/>
          </w:tcPr>
          <w:p w14:paraId="15CD0BA4" w14:textId="77777777" w:rsidR="00271005" w:rsidRPr="00271005" w:rsidRDefault="00271005" w:rsidP="00271005">
            <w:pPr>
              <w:rPr>
                <w:rFonts w:ascii="Arial CE" w:hAnsi="Arial CE" w:cs="Arial CE"/>
                <w:b/>
                <w:bCs/>
              </w:rPr>
            </w:pPr>
            <w:bookmarkStart w:id="56" w:name="RANGE!E13:G13"/>
            <w:r w:rsidRPr="00271005">
              <w:rPr>
                <w:rFonts w:ascii="Arial CE" w:hAnsi="Arial CE" w:cs="Arial CE"/>
                <w:b/>
                <w:bCs/>
              </w:rPr>
              <w:t>Otrokovice</w:t>
            </w:r>
            <w:bookmarkEnd w:id="56"/>
          </w:p>
        </w:tc>
        <w:tc>
          <w:tcPr>
            <w:tcW w:w="1527" w:type="dxa"/>
            <w:tcBorders>
              <w:top w:val="nil"/>
              <w:left w:val="nil"/>
              <w:bottom w:val="single" w:sz="4" w:space="0" w:color="auto"/>
              <w:right w:val="nil"/>
            </w:tcBorders>
            <w:shd w:val="clear" w:color="auto" w:fill="auto"/>
            <w:noWrap/>
            <w:vAlign w:val="center"/>
            <w:hideMark/>
          </w:tcPr>
          <w:p w14:paraId="76444EBE" w14:textId="77777777" w:rsidR="00271005" w:rsidRPr="00271005" w:rsidRDefault="00271005" w:rsidP="00271005">
            <w:pPr>
              <w:jc w:val="right"/>
              <w:rPr>
                <w:rFonts w:ascii="Arial CE" w:hAnsi="Arial CE" w:cs="Arial CE"/>
              </w:rPr>
            </w:pPr>
            <w:r w:rsidRPr="00271005">
              <w:rPr>
                <w:rFonts w:ascii="Arial CE" w:hAnsi="Arial CE" w:cs="Arial CE"/>
              </w:rPr>
              <w:t> </w:t>
            </w:r>
          </w:p>
        </w:tc>
        <w:tc>
          <w:tcPr>
            <w:tcW w:w="1336" w:type="dxa"/>
            <w:tcBorders>
              <w:top w:val="nil"/>
              <w:left w:val="nil"/>
              <w:bottom w:val="single" w:sz="4" w:space="0" w:color="auto"/>
              <w:right w:val="nil"/>
            </w:tcBorders>
            <w:shd w:val="clear" w:color="auto" w:fill="auto"/>
            <w:noWrap/>
            <w:vAlign w:val="center"/>
            <w:hideMark/>
          </w:tcPr>
          <w:p w14:paraId="358DC9C2"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69" w:type="dxa"/>
            <w:tcBorders>
              <w:top w:val="nil"/>
              <w:left w:val="nil"/>
              <w:bottom w:val="single" w:sz="4" w:space="0" w:color="auto"/>
              <w:right w:val="single" w:sz="8" w:space="0" w:color="auto"/>
            </w:tcBorders>
            <w:shd w:val="clear" w:color="auto" w:fill="auto"/>
            <w:noWrap/>
            <w:vAlign w:val="bottom"/>
            <w:hideMark/>
          </w:tcPr>
          <w:p w14:paraId="1B81DF56"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0B532A16" w14:textId="77777777" w:rsidTr="00271005">
        <w:trPr>
          <w:trHeight w:val="494"/>
        </w:trPr>
        <w:tc>
          <w:tcPr>
            <w:tcW w:w="2392" w:type="dxa"/>
            <w:tcBorders>
              <w:top w:val="nil"/>
              <w:left w:val="single" w:sz="8" w:space="0" w:color="auto"/>
              <w:bottom w:val="nil"/>
              <w:right w:val="nil"/>
            </w:tcBorders>
            <w:shd w:val="clear" w:color="auto" w:fill="auto"/>
            <w:noWrap/>
            <w:hideMark/>
          </w:tcPr>
          <w:p w14:paraId="1C6F8CB7" w14:textId="77777777" w:rsidR="00271005" w:rsidRPr="00271005" w:rsidRDefault="00271005" w:rsidP="00271005">
            <w:pPr>
              <w:ind w:firstLineChars="100" w:firstLine="200"/>
              <w:rPr>
                <w:rFonts w:ascii="Arial CE" w:hAnsi="Arial CE" w:cs="Arial CE"/>
              </w:rPr>
            </w:pPr>
            <w:r w:rsidRPr="00271005">
              <w:rPr>
                <w:rFonts w:ascii="Arial CE" w:hAnsi="Arial CE" w:cs="Arial CE"/>
              </w:rPr>
              <w:t>Vypracoval:</w:t>
            </w:r>
          </w:p>
        </w:tc>
        <w:tc>
          <w:tcPr>
            <w:tcW w:w="533" w:type="dxa"/>
            <w:tcBorders>
              <w:top w:val="nil"/>
              <w:left w:val="nil"/>
              <w:bottom w:val="nil"/>
              <w:right w:val="nil"/>
            </w:tcBorders>
            <w:shd w:val="clear" w:color="auto" w:fill="auto"/>
            <w:hideMark/>
          </w:tcPr>
          <w:p w14:paraId="7E760984"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nil"/>
              <w:right w:val="nil"/>
            </w:tcBorders>
            <w:shd w:val="clear" w:color="auto" w:fill="auto"/>
            <w:hideMark/>
          </w:tcPr>
          <w:p w14:paraId="11580045" w14:textId="77777777" w:rsidR="00271005" w:rsidRPr="00271005" w:rsidRDefault="00271005" w:rsidP="00271005">
            <w:pPr>
              <w:rPr>
                <w:rFonts w:ascii="Arial CE" w:hAnsi="Arial CE" w:cs="Arial CE"/>
                <w:b/>
                <w:bCs/>
              </w:rPr>
            </w:pPr>
            <w:bookmarkStart w:id="57" w:name="RANGE!D14"/>
            <w:r w:rsidRPr="00271005">
              <w:rPr>
                <w:rFonts w:ascii="Arial CE" w:hAnsi="Arial CE" w:cs="Arial CE"/>
                <w:b/>
                <w:bCs/>
              </w:rPr>
              <w:t> </w:t>
            </w:r>
            <w:bookmarkEnd w:id="57"/>
          </w:p>
        </w:tc>
        <w:tc>
          <w:tcPr>
            <w:tcW w:w="756" w:type="dxa"/>
            <w:tcBorders>
              <w:top w:val="nil"/>
              <w:left w:val="nil"/>
              <w:bottom w:val="nil"/>
              <w:right w:val="nil"/>
            </w:tcBorders>
            <w:shd w:val="clear" w:color="auto" w:fill="auto"/>
            <w:vAlign w:val="center"/>
            <w:hideMark/>
          </w:tcPr>
          <w:p w14:paraId="780F1F85"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746" w:type="dxa"/>
            <w:tcBorders>
              <w:top w:val="nil"/>
              <w:left w:val="nil"/>
              <w:bottom w:val="nil"/>
              <w:right w:val="nil"/>
            </w:tcBorders>
            <w:shd w:val="clear" w:color="auto" w:fill="auto"/>
            <w:noWrap/>
            <w:vAlign w:val="center"/>
            <w:hideMark/>
          </w:tcPr>
          <w:p w14:paraId="773923F4"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201" w:type="dxa"/>
            <w:tcBorders>
              <w:top w:val="nil"/>
              <w:left w:val="nil"/>
              <w:bottom w:val="nil"/>
              <w:right w:val="nil"/>
            </w:tcBorders>
            <w:shd w:val="clear" w:color="auto" w:fill="auto"/>
            <w:noWrap/>
            <w:vAlign w:val="center"/>
            <w:hideMark/>
          </w:tcPr>
          <w:p w14:paraId="6625448B"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1527" w:type="dxa"/>
            <w:tcBorders>
              <w:top w:val="nil"/>
              <w:left w:val="nil"/>
              <w:bottom w:val="nil"/>
              <w:right w:val="nil"/>
            </w:tcBorders>
            <w:shd w:val="clear" w:color="auto" w:fill="auto"/>
            <w:noWrap/>
            <w:vAlign w:val="center"/>
            <w:hideMark/>
          </w:tcPr>
          <w:p w14:paraId="3EC380E8" w14:textId="77777777" w:rsidR="00271005" w:rsidRPr="00271005" w:rsidRDefault="00271005" w:rsidP="00271005">
            <w:pPr>
              <w:jc w:val="right"/>
              <w:rPr>
                <w:rFonts w:ascii="Arial CE" w:hAnsi="Arial CE" w:cs="Arial CE"/>
              </w:rPr>
            </w:pPr>
            <w:r w:rsidRPr="00271005">
              <w:rPr>
                <w:rFonts w:ascii="Arial CE" w:hAnsi="Arial CE" w:cs="Arial CE"/>
              </w:rPr>
              <w:t> </w:t>
            </w:r>
          </w:p>
        </w:tc>
        <w:tc>
          <w:tcPr>
            <w:tcW w:w="1336" w:type="dxa"/>
            <w:tcBorders>
              <w:top w:val="nil"/>
              <w:left w:val="nil"/>
              <w:bottom w:val="nil"/>
              <w:right w:val="nil"/>
            </w:tcBorders>
            <w:shd w:val="clear" w:color="auto" w:fill="auto"/>
            <w:noWrap/>
            <w:vAlign w:val="center"/>
            <w:hideMark/>
          </w:tcPr>
          <w:p w14:paraId="6D351A26"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69" w:type="dxa"/>
            <w:tcBorders>
              <w:top w:val="nil"/>
              <w:left w:val="nil"/>
              <w:bottom w:val="nil"/>
              <w:right w:val="single" w:sz="8" w:space="0" w:color="auto"/>
            </w:tcBorders>
            <w:shd w:val="clear" w:color="auto" w:fill="auto"/>
            <w:noWrap/>
            <w:vAlign w:val="bottom"/>
            <w:hideMark/>
          </w:tcPr>
          <w:p w14:paraId="293903CA"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39AC6A05" w14:textId="77777777" w:rsidTr="00271005">
        <w:trPr>
          <w:trHeight w:val="665"/>
        </w:trPr>
        <w:tc>
          <w:tcPr>
            <w:tcW w:w="2392" w:type="dxa"/>
            <w:tcBorders>
              <w:top w:val="nil"/>
              <w:left w:val="single" w:sz="8" w:space="0" w:color="auto"/>
              <w:bottom w:val="single" w:sz="4" w:space="0" w:color="auto"/>
              <w:right w:val="nil"/>
            </w:tcBorders>
            <w:shd w:val="clear" w:color="auto" w:fill="auto"/>
            <w:noWrap/>
            <w:vAlign w:val="bottom"/>
            <w:hideMark/>
          </w:tcPr>
          <w:p w14:paraId="10824F55" w14:textId="77777777" w:rsidR="00271005" w:rsidRPr="00271005" w:rsidRDefault="00271005" w:rsidP="00271005">
            <w:pPr>
              <w:ind w:firstLineChars="100" w:firstLine="200"/>
              <w:rPr>
                <w:rFonts w:ascii="Arial CE" w:hAnsi="Arial CE" w:cs="Arial CE"/>
              </w:rPr>
            </w:pPr>
            <w:r w:rsidRPr="00271005">
              <w:rPr>
                <w:rFonts w:ascii="Arial CE" w:hAnsi="Arial CE" w:cs="Arial CE"/>
              </w:rPr>
              <w:t>Rozpis ceny</w:t>
            </w:r>
          </w:p>
        </w:tc>
        <w:tc>
          <w:tcPr>
            <w:tcW w:w="533" w:type="dxa"/>
            <w:tcBorders>
              <w:top w:val="nil"/>
              <w:left w:val="nil"/>
              <w:bottom w:val="single" w:sz="4" w:space="0" w:color="auto"/>
              <w:right w:val="nil"/>
            </w:tcBorders>
            <w:shd w:val="clear" w:color="auto" w:fill="auto"/>
            <w:vAlign w:val="bottom"/>
            <w:hideMark/>
          </w:tcPr>
          <w:p w14:paraId="722A3256"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57DA11DD"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nil"/>
              <w:left w:val="nil"/>
              <w:bottom w:val="single" w:sz="4" w:space="0" w:color="auto"/>
              <w:right w:val="nil"/>
            </w:tcBorders>
            <w:shd w:val="clear" w:color="auto" w:fill="auto"/>
            <w:noWrap/>
            <w:vAlign w:val="bottom"/>
            <w:hideMark/>
          </w:tcPr>
          <w:p w14:paraId="63EC389B" w14:textId="77777777" w:rsidR="00271005" w:rsidRPr="00271005" w:rsidRDefault="00271005" w:rsidP="00271005">
            <w:pPr>
              <w:ind w:firstLineChars="100" w:firstLine="200"/>
              <w:jc w:val="right"/>
              <w:rPr>
                <w:rFonts w:ascii="Arial CE" w:hAnsi="Arial CE" w:cs="Arial CE"/>
              </w:rPr>
            </w:pPr>
            <w:r w:rsidRPr="00271005">
              <w:rPr>
                <w:rFonts w:ascii="Arial CE" w:hAnsi="Arial CE" w:cs="Arial CE"/>
              </w:rPr>
              <w:t> </w:t>
            </w:r>
          </w:p>
        </w:tc>
        <w:tc>
          <w:tcPr>
            <w:tcW w:w="1728" w:type="dxa"/>
            <w:gridSpan w:val="2"/>
            <w:tcBorders>
              <w:top w:val="nil"/>
              <w:left w:val="nil"/>
              <w:bottom w:val="single" w:sz="4" w:space="0" w:color="auto"/>
              <w:right w:val="nil"/>
            </w:tcBorders>
            <w:shd w:val="clear" w:color="auto" w:fill="auto"/>
            <w:noWrap/>
            <w:vAlign w:val="bottom"/>
            <w:hideMark/>
          </w:tcPr>
          <w:p w14:paraId="78446CAB" w14:textId="77777777" w:rsidR="00271005" w:rsidRPr="00271005" w:rsidRDefault="00271005" w:rsidP="00271005">
            <w:pPr>
              <w:ind w:firstLineChars="100" w:firstLine="200"/>
              <w:jc w:val="right"/>
              <w:rPr>
                <w:rFonts w:ascii="Arial CE" w:hAnsi="Arial CE" w:cs="Arial CE"/>
              </w:rPr>
            </w:pPr>
            <w:r w:rsidRPr="00271005">
              <w:rPr>
                <w:rFonts w:ascii="Arial CE" w:hAnsi="Arial CE" w:cs="Arial CE"/>
              </w:rPr>
              <w:t> </w:t>
            </w:r>
          </w:p>
        </w:tc>
        <w:tc>
          <w:tcPr>
            <w:tcW w:w="1905" w:type="dxa"/>
            <w:gridSpan w:val="2"/>
            <w:tcBorders>
              <w:top w:val="nil"/>
              <w:left w:val="nil"/>
              <w:bottom w:val="single" w:sz="4" w:space="0" w:color="auto"/>
              <w:right w:val="single" w:sz="8" w:space="0" w:color="000000"/>
            </w:tcBorders>
            <w:shd w:val="clear" w:color="auto" w:fill="auto"/>
            <w:noWrap/>
            <w:vAlign w:val="bottom"/>
            <w:hideMark/>
          </w:tcPr>
          <w:p w14:paraId="7409DE92" w14:textId="77777777" w:rsidR="00271005" w:rsidRPr="00271005" w:rsidRDefault="00271005" w:rsidP="00271005">
            <w:pPr>
              <w:ind w:firstLineChars="100" w:firstLine="200"/>
              <w:jc w:val="right"/>
              <w:rPr>
                <w:rFonts w:ascii="Arial CE" w:hAnsi="Arial CE" w:cs="Arial CE"/>
              </w:rPr>
            </w:pPr>
            <w:r w:rsidRPr="00271005">
              <w:rPr>
                <w:rFonts w:ascii="Arial CE" w:hAnsi="Arial CE" w:cs="Arial CE"/>
              </w:rPr>
              <w:t>Celkem</w:t>
            </w:r>
          </w:p>
        </w:tc>
      </w:tr>
      <w:tr w:rsidR="00271005" w:rsidRPr="00271005" w14:paraId="0106B7A4"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266C19B6" w14:textId="77777777" w:rsidR="00271005" w:rsidRPr="00271005" w:rsidRDefault="00271005" w:rsidP="00271005">
            <w:pPr>
              <w:ind w:firstLineChars="100" w:firstLine="200"/>
              <w:rPr>
                <w:rFonts w:ascii="Arial CE" w:hAnsi="Arial CE" w:cs="Arial CE"/>
              </w:rPr>
            </w:pPr>
            <w:r w:rsidRPr="00271005">
              <w:rPr>
                <w:rFonts w:ascii="Arial CE" w:hAnsi="Arial CE" w:cs="Arial CE"/>
              </w:rPr>
              <w:t>HSV</w:t>
            </w:r>
          </w:p>
        </w:tc>
        <w:tc>
          <w:tcPr>
            <w:tcW w:w="533" w:type="dxa"/>
            <w:tcBorders>
              <w:top w:val="nil"/>
              <w:left w:val="nil"/>
              <w:bottom w:val="single" w:sz="4" w:space="0" w:color="auto"/>
              <w:right w:val="nil"/>
            </w:tcBorders>
            <w:shd w:val="clear" w:color="auto" w:fill="auto"/>
            <w:vAlign w:val="center"/>
            <w:hideMark/>
          </w:tcPr>
          <w:p w14:paraId="1C231111"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08528AA0"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9CE09C"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A619B42"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D8E23F7"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17 124 413,97</w:t>
            </w:r>
          </w:p>
        </w:tc>
      </w:tr>
      <w:tr w:rsidR="00271005" w:rsidRPr="00271005" w14:paraId="52D1DA60"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79BFBA42" w14:textId="77777777" w:rsidR="00271005" w:rsidRPr="00271005" w:rsidRDefault="00271005" w:rsidP="00271005">
            <w:pPr>
              <w:ind w:firstLineChars="100" w:firstLine="200"/>
              <w:rPr>
                <w:rFonts w:ascii="Arial CE" w:hAnsi="Arial CE" w:cs="Arial CE"/>
              </w:rPr>
            </w:pPr>
            <w:r w:rsidRPr="00271005">
              <w:rPr>
                <w:rFonts w:ascii="Arial CE" w:hAnsi="Arial CE" w:cs="Arial CE"/>
              </w:rPr>
              <w:t>PSV</w:t>
            </w:r>
          </w:p>
        </w:tc>
        <w:tc>
          <w:tcPr>
            <w:tcW w:w="533" w:type="dxa"/>
            <w:tcBorders>
              <w:top w:val="nil"/>
              <w:left w:val="nil"/>
              <w:bottom w:val="single" w:sz="4" w:space="0" w:color="auto"/>
              <w:right w:val="nil"/>
            </w:tcBorders>
            <w:shd w:val="clear" w:color="auto" w:fill="auto"/>
            <w:vAlign w:val="center"/>
            <w:hideMark/>
          </w:tcPr>
          <w:p w14:paraId="4B597235"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417F46C7"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CB0CDF"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B992E9"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C45F4EB"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476 242,23</w:t>
            </w:r>
          </w:p>
        </w:tc>
      </w:tr>
      <w:tr w:rsidR="00271005" w:rsidRPr="00271005" w14:paraId="06837EDA"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57B36A38" w14:textId="77777777" w:rsidR="00271005" w:rsidRPr="00271005" w:rsidRDefault="00271005" w:rsidP="00271005">
            <w:pPr>
              <w:ind w:firstLineChars="100" w:firstLine="200"/>
              <w:rPr>
                <w:rFonts w:ascii="Arial CE" w:hAnsi="Arial CE" w:cs="Arial CE"/>
              </w:rPr>
            </w:pPr>
            <w:r w:rsidRPr="00271005">
              <w:rPr>
                <w:rFonts w:ascii="Arial CE" w:hAnsi="Arial CE" w:cs="Arial CE"/>
              </w:rPr>
              <w:t>MON</w:t>
            </w:r>
          </w:p>
        </w:tc>
        <w:tc>
          <w:tcPr>
            <w:tcW w:w="533" w:type="dxa"/>
            <w:tcBorders>
              <w:top w:val="nil"/>
              <w:left w:val="nil"/>
              <w:bottom w:val="single" w:sz="4" w:space="0" w:color="auto"/>
              <w:right w:val="nil"/>
            </w:tcBorders>
            <w:shd w:val="clear" w:color="auto" w:fill="auto"/>
            <w:vAlign w:val="center"/>
            <w:hideMark/>
          </w:tcPr>
          <w:p w14:paraId="18FEBBEA"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7F7BC41D"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1F9102"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0AD8F6"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3322A0A"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789 343,80</w:t>
            </w:r>
          </w:p>
        </w:tc>
      </w:tr>
      <w:tr w:rsidR="00271005" w:rsidRPr="00271005" w14:paraId="25BF6448"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7DA63407" w14:textId="77777777" w:rsidR="00271005" w:rsidRPr="00271005" w:rsidRDefault="00271005" w:rsidP="00271005">
            <w:pPr>
              <w:ind w:firstLineChars="100" w:firstLine="200"/>
              <w:rPr>
                <w:rFonts w:ascii="Arial CE" w:hAnsi="Arial CE" w:cs="Arial CE"/>
              </w:rPr>
            </w:pPr>
            <w:r w:rsidRPr="00271005">
              <w:rPr>
                <w:rFonts w:ascii="Arial CE" w:hAnsi="Arial CE" w:cs="Arial CE"/>
              </w:rPr>
              <w:t>Vedlejší náklady</w:t>
            </w:r>
          </w:p>
        </w:tc>
        <w:tc>
          <w:tcPr>
            <w:tcW w:w="533" w:type="dxa"/>
            <w:tcBorders>
              <w:top w:val="nil"/>
              <w:left w:val="nil"/>
              <w:bottom w:val="single" w:sz="4" w:space="0" w:color="auto"/>
              <w:right w:val="nil"/>
            </w:tcBorders>
            <w:shd w:val="clear" w:color="auto" w:fill="auto"/>
            <w:vAlign w:val="center"/>
            <w:hideMark/>
          </w:tcPr>
          <w:p w14:paraId="6C26F1A4"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2D111F95"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F56C7A"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4F3386"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7788627"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0,00</w:t>
            </w:r>
          </w:p>
        </w:tc>
      </w:tr>
      <w:tr w:rsidR="00271005" w:rsidRPr="00271005" w14:paraId="0E0D7C65"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3A76D707" w14:textId="77777777" w:rsidR="00271005" w:rsidRPr="00271005" w:rsidRDefault="00271005" w:rsidP="00271005">
            <w:pPr>
              <w:ind w:firstLineChars="100" w:firstLine="200"/>
              <w:rPr>
                <w:rFonts w:ascii="Arial CE" w:hAnsi="Arial CE" w:cs="Arial CE"/>
              </w:rPr>
            </w:pPr>
            <w:r w:rsidRPr="00271005">
              <w:rPr>
                <w:rFonts w:ascii="Arial CE" w:hAnsi="Arial CE" w:cs="Arial CE"/>
              </w:rPr>
              <w:t>Ostatní náklady</w:t>
            </w:r>
          </w:p>
        </w:tc>
        <w:tc>
          <w:tcPr>
            <w:tcW w:w="533" w:type="dxa"/>
            <w:tcBorders>
              <w:top w:val="nil"/>
              <w:left w:val="nil"/>
              <w:bottom w:val="single" w:sz="4" w:space="0" w:color="auto"/>
              <w:right w:val="nil"/>
            </w:tcBorders>
            <w:shd w:val="clear" w:color="auto" w:fill="auto"/>
            <w:vAlign w:val="center"/>
            <w:hideMark/>
          </w:tcPr>
          <w:p w14:paraId="7C23FC35"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0B8F8733" w14:textId="77777777" w:rsidR="00271005" w:rsidRPr="00271005" w:rsidRDefault="00271005" w:rsidP="00271005">
            <w:pPr>
              <w:rPr>
                <w:rFonts w:ascii="Arial CE" w:hAnsi="Arial CE" w:cs="Arial CE"/>
              </w:rPr>
            </w:pPr>
            <w:r w:rsidRPr="00271005">
              <w:rPr>
                <w:rFonts w:ascii="Arial CE" w:hAnsi="Arial CE" w:cs="Arial CE"/>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427271"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2D1465"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8743B23" w14:textId="77777777" w:rsidR="00271005" w:rsidRPr="00271005" w:rsidRDefault="00271005" w:rsidP="00271005">
            <w:pPr>
              <w:ind w:firstLineChars="100" w:firstLine="220"/>
              <w:jc w:val="right"/>
              <w:rPr>
                <w:rFonts w:ascii="Arial CE" w:hAnsi="Arial CE" w:cs="Arial CE"/>
                <w:sz w:val="22"/>
                <w:szCs w:val="22"/>
              </w:rPr>
            </w:pPr>
            <w:r w:rsidRPr="00271005">
              <w:rPr>
                <w:rFonts w:ascii="Arial CE" w:hAnsi="Arial CE" w:cs="Arial CE"/>
                <w:sz w:val="22"/>
                <w:szCs w:val="22"/>
              </w:rPr>
              <w:t>0,00</w:t>
            </w:r>
          </w:p>
        </w:tc>
      </w:tr>
      <w:tr w:rsidR="00271005" w:rsidRPr="00271005" w14:paraId="02C17884"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3669D787" w14:textId="77777777" w:rsidR="00271005" w:rsidRPr="00271005" w:rsidRDefault="00271005" w:rsidP="00271005">
            <w:pPr>
              <w:ind w:firstLineChars="100" w:firstLine="201"/>
              <w:rPr>
                <w:rFonts w:ascii="Arial CE" w:hAnsi="Arial CE" w:cs="Arial CE"/>
                <w:b/>
                <w:bCs/>
              </w:rPr>
            </w:pPr>
            <w:r w:rsidRPr="00271005">
              <w:rPr>
                <w:rFonts w:ascii="Arial CE" w:hAnsi="Arial CE" w:cs="Arial CE"/>
                <w:b/>
                <w:bCs/>
              </w:rPr>
              <w:t>Celkem</w:t>
            </w:r>
          </w:p>
        </w:tc>
        <w:tc>
          <w:tcPr>
            <w:tcW w:w="533" w:type="dxa"/>
            <w:tcBorders>
              <w:top w:val="nil"/>
              <w:left w:val="nil"/>
              <w:bottom w:val="single" w:sz="4" w:space="0" w:color="auto"/>
              <w:right w:val="nil"/>
            </w:tcBorders>
            <w:shd w:val="clear" w:color="auto" w:fill="auto"/>
            <w:vAlign w:val="center"/>
            <w:hideMark/>
          </w:tcPr>
          <w:p w14:paraId="157E2FA9"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2357" w:type="dxa"/>
            <w:tcBorders>
              <w:top w:val="nil"/>
              <w:left w:val="nil"/>
              <w:bottom w:val="single" w:sz="4" w:space="0" w:color="auto"/>
              <w:right w:val="nil"/>
            </w:tcBorders>
            <w:shd w:val="clear" w:color="auto" w:fill="auto"/>
            <w:vAlign w:val="bottom"/>
            <w:hideMark/>
          </w:tcPr>
          <w:p w14:paraId="24F7232A"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150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CC1A6" w14:textId="77777777" w:rsidR="00271005" w:rsidRPr="00271005" w:rsidRDefault="00271005" w:rsidP="00271005">
            <w:pPr>
              <w:ind w:firstLineChars="100" w:firstLine="221"/>
              <w:jc w:val="right"/>
              <w:rPr>
                <w:rFonts w:ascii="Arial CE" w:hAnsi="Arial CE" w:cs="Arial CE"/>
                <w:b/>
                <w:bCs/>
                <w:sz w:val="22"/>
                <w:szCs w:val="22"/>
              </w:rPr>
            </w:pPr>
            <w:r w:rsidRPr="00271005">
              <w:rPr>
                <w:rFonts w:ascii="Arial CE" w:hAnsi="Arial CE" w:cs="Arial CE"/>
                <w:b/>
                <w:bCs/>
                <w:sz w:val="22"/>
                <w:szCs w:val="22"/>
              </w:rPr>
              <w:t> </w:t>
            </w:r>
          </w:p>
        </w:tc>
        <w:tc>
          <w:tcPr>
            <w:tcW w:w="1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6DCA68" w14:textId="77777777" w:rsidR="00271005" w:rsidRPr="00271005" w:rsidRDefault="00271005" w:rsidP="00271005">
            <w:pPr>
              <w:ind w:firstLineChars="100" w:firstLine="221"/>
              <w:jc w:val="right"/>
              <w:rPr>
                <w:rFonts w:ascii="Arial CE" w:hAnsi="Arial CE" w:cs="Arial CE"/>
                <w:b/>
                <w:bCs/>
                <w:sz w:val="22"/>
                <w:szCs w:val="22"/>
              </w:rPr>
            </w:pPr>
            <w:r w:rsidRPr="00271005">
              <w:rPr>
                <w:rFonts w:ascii="Arial CE" w:hAnsi="Arial CE" w:cs="Arial CE"/>
                <w:b/>
                <w:bCs/>
                <w:sz w:val="22"/>
                <w:szCs w:val="22"/>
              </w:rPr>
              <w:t> </w:t>
            </w:r>
          </w:p>
        </w:tc>
        <w:tc>
          <w:tcPr>
            <w:tcW w:w="190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AFACE18" w14:textId="77777777" w:rsidR="00271005" w:rsidRPr="00271005" w:rsidRDefault="00271005" w:rsidP="00271005">
            <w:pPr>
              <w:ind w:firstLineChars="100" w:firstLine="221"/>
              <w:jc w:val="right"/>
              <w:rPr>
                <w:rFonts w:ascii="Arial CE" w:hAnsi="Arial CE" w:cs="Arial CE"/>
                <w:b/>
                <w:bCs/>
                <w:sz w:val="22"/>
                <w:szCs w:val="22"/>
              </w:rPr>
            </w:pPr>
            <w:r w:rsidRPr="00271005">
              <w:rPr>
                <w:rFonts w:ascii="Arial CE" w:hAnsi="Arial CE" w:cs="Arial CE"/>
                <w:b/>
                <w:bCs/>
                <w:sz w:val="22"/>
                <w:szCs w:val="22"/>
              </w:rPr>
              <w:t>18 390 000,00</w:t>
            </w:r>
          </w:p>
        </w:tc>
      </w:tr>
      <w:tr w:rsidR="00271005" w:rsidRPr="00271005" w14:paraId="78FD08E5" w14:textId="77777777" w:rsidTr="00271005">
        <w:trPr>
          <w:trHeight w:val="680"/>
        </w:trPr>
        <w:tc>
          <w:tcPr>
            <w:tcW w:w="2392" w:type="dxa"/>
            <w:tcBorders>
              <w:top w:val="nil"/>
              <w:left w:val="single" w:sz="8" w:space="0" w:color="auto"/>
              <w:bottom w:val="single" w:sz="4" w:space="0" w:color="auto"/>
              <w:right w:val="nil"/>
            </w:tcBorders>
            <w:shd w:val="clear" w:color="auto" w:fill="auto"/>
            <w:noWrap/>
            <w:vAlign w:val="bottom"/>
            <w:hideMark/>
          </w:tcPr>
          <w:p w14:paraId="533914ED" w14:textId="77777777" w:rsidR="00271005" w:rsidRPr="00271005" w:rsidRDefault="00271005" w:rsidP="00271005">
            <w:pPr>
              <w:ind w:firstLineChars="100" w:firstLine="200"/>
              <w:rPr>
                <w:rFonts w:ascii="Arial CE" w:hAnsi="Arial CE" w:cs="Arial CE"/>
              </w:rPr>
            </w:pPr>
            <w:r w:rsidRPr="00271005">
              <w:rPr>
                <w:rFonts w:ascii="Arial CE" w:hAnsi="Arial CE" w:cs="Arial CE"/>
              </w:rPr>
              <w:t>Rekapitulace daní</w:t>
            </w:r>
          </w:p>
        </w:tc>
        <w:tc>
          <w:tcPr>
            <w:tcW w:w="533" w:type="dxa"/>
            <w:tcBorders>
              <w:top w:val="nil"/>
              <w:left w:val="nil"/>
              <w:bottom w:val="single" w:sz="4" w:space="0" w:color="auto"/>
              <w:right w:val="nil"/>
            </w:tcBorders>
            <w:shd w:val="clear" w:color="auto" w:fill="auto"/>
            <w:vAlign w:val="center"/>
            <w:hideMark/>
          </w:tcPr>
          <w:p w14:paraId="4FE4B20C"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138F610F"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nil"/>
              <w:bottom w:val="single" w:sz="4" w:space="0" w:color="auto"/>
              <w:right w:val="nil"/>
            </w:tcBorders>
            <w:shd w:val="clear" w:color="auto" w:fill="auto"/>
            <w:vAlign w:val="center"/>
            <w:hideMark/>
          </w:tcPr>
          <w:p w14:paraId="7E8B4919" w14:textId="77777777" w:rsidR="00271005" w:rsidRPr="00271005" w:rsidRDefault="00271005" w:rsidP="00271005">
            <w:pPr>
              <w:jc w:val="right"/>
              <w:rPr>
                <w:rFonts w:ascii="Arial CE" w:hAnsi="Arial CE" w:cs="Arial CE"/>
                <w:b/>
                <w:bCs/>
              </w:rPr>
            </w:pPr>
            <w:r w:rsidRPr="00271005">
              <w:rPr>
                <w:rFonts w:ascii="Arial CE" w:hAnsi="Arial CE" w:cs="Arial CE"/>
                <w:b/>
                <w:bCs/>
              </w:rPr>
              <w:t> </w:t>
            </w:r>
          </w:p>
        </w:tc>
        <w:tc>
          <w:tcPr>
            <w:tcW w:w="746" w:type="dxa"/>
            <w:tcBorders>
              <w:top w:val="nil"/>
              <w:left w:val="nil"/>
              <w:bottom w:val="single" w:sz="4" w:space="0" w:color="auto"/>
              <w:right w:val="nil"/>
            </w:tcBorders>
            <w:shd w:val="clear" w:color="auto" w:fill="auto"/>
            <w:noWrap/>
            <w:vAlign w:val="center"/>
            <w:hideMark/>
          </w:tcPr>
          <w:p w14:paraId="40803D51" w14:textId="77777777" w:rsidR="00271005" w:rsidRPr="00271005" w:rsidRDefault="00271005" w:rsidP="00271005">
            <w:pPr>
              <w:ind w:firstLineChars="100" w:firstLine="200"/>
              <w:rPr>
                <w:rFonts w:ascii="Arial CE" w:hAnsi="Arial CE" w:cs="Arial CE"/>
              </w:rPr>
            </w:pPr>
            <w:r w:rsidRPr="00271005">
              <w:rPr>
                <w:rFonts w:ascii="Arial CE" w:hAnsi="Arial CE" w:cs="Arial CE"/>
              </w:rPr>
              <w:t> </w:t>
            </w:r>
          </w:p>
        </w:tc>
        <w:tc>
          <w:tcPr>
            <w:tcW w:w="201" w:type="dxa"/>
            <w:tcBorders>
              <w:top w:val="nil"/>
              <w:left w:val="nil"/>
              <w:bottom w:val="single" w:sz="4" w:space="0" w:color="auto"/>
              <w:right w:val="nil"/>
            </w:tcBorders>
            <w:shd w:val="clear" w:color="auto" w:fill="auto"/>
            <w:noWrap/>
            <w:vAlign w:val="center"/>
            <w:hideMark/>
          </w:tcPr>
          <w:p w14:paraId="12BD225F"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1527" w:type="dxa"/>
            <w:tcBorders>
              <w:top w:val="nil"/>
              <w:left w:val="nil"/>
              <w:bottom w:val="single" w:sz="4" w:space="0" w:color="auto"/>
              <w:right w:val="nil"/>
            </w:tcBorders>
            <w:shd w:val="clear" w:color="auto" w:fill="auto"/>
            <w:noWrap/>
            <w:vAlign w:val="center"/>
            <w:hideMark/>
          </w:tcPr>
          <w:p w14:paraId="7CDC5719"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1336" w:type="dxa"/>
            <w:tcBorders>
              <w:top w:val="nil"/>
              <w:left w:val="nil"/>
              <w:bottom w:val="single" w:sz="4" w:space="0" w:color="auto"/>
              <w:right w:val="nil"/>
            </w:tcBorders>
            <w:shd w:val="clear" w:color="auto" w:fill="auto"/>
            <w:noWrap/>
            <w:vAlign w:val="center"/>
            <w:hideMark/>
          </w:tcPr>
          <w:p w14:paraId="2C0649F4"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69" w:type="dxa"/>
            <w:tcBorders>
              <w:top w:val="nil"/>
              <w:left w:val="nil"/>
              <w:bottom w:val="single" w:sz="4" w:space="0" w:color="auto"/>
              <w:right w:val="single" w:sz="8" w:space="0" w:color="auto"/>
            </w:tcBorders>
            <w:shd w:val="clear" w:color="auto" w:fill="auto"/>
            <w:noWrap/>
            <w:vAlign w:val="center"/>
            <w:hideMark/>
          </w:tcPr>
          <w:p w14:paraId="084FD077" w14:textId="77777777" w:rsidR="00271005" w:rsidRPr="00271005" w:rsidRDefault="00271005" w:rsidP="00271005">
            <w:pPr>
              <w:rPr>
                <w:rFonts w:ascii="Arial CE" w:hAnsi="Arial CE" w:cs="Arial CE"/>
              </w:rPr>
            </w:pPr>
            <w:r w:rsidRPr="00271005">
              <w:rPr>
                <w:rFonts w:ascii="Arial CE" w:hAnsi="Arial CE" w:cs="Arial CE"/>
              </w:rPr>
              <w:t> </w:t>
            </w:r>
          </w:p>
        </w:tc>
      </w:tr>
      <w:tr w:rsidR="00271005" w:rsidRPr="00271005" w14:paraId="234DCB63" w14:textId="77777777" w:rsidTr="00271005">
        <w:trPr>
          <w:trHeight w:val="479"/>
        </w:trPr>
        <w:tc>
          <w:tcPr>
            <w:tcW w:w="2925" w:type="dxa"/>
            <w:gridSpan w:val="2"/>
            <w:tcBorders>
              <w:top w:val="single" w:sz="4" w:space="0" w:color="auto"/>
              <w:left w:val="single" w:sz="8" w:space="0" w:color="auto"/>
              <w:bottom w:val="single" w:sz="4" w:space="0" w:color="auto"/>
              <w:right w:val="nil"/>
            </w:tcBorders>
            <w:shd w:val="clear" w:color="auto" w:fill="auto"/>
            <w:noWrap/>
            <w:vAlign w:val="center"/>
            <w:hideMark/>
          </w:tcPr>
          <w:p w14:paraId="1E4B24B7" w14:textId="77777777" w:rsidR="00271005" w:rsidRPr="00271005" w:rsidRDefault="00271005" w:rsidP="00271005">
            <w:pPr>
              <w:ind w:firstLineChars="100" w:firstLine="200"/>
              <w:rPr>
                <w:rFonts w:ascii="Arial CE" w:hAnsi="Arial CE" w:cs="Arial CE"/>
              </w:rPr>
            </w:pPr>
            <w:r w:rsidRPr="00271005">
              <w:rPr>
                <w:rFonts w:ascii="Arial CE" w:hAnsi="Arial CE" w:cs="Arial CE"/>
              </w:rPr>
              <w:t>Základ pro sníženou DPH</w:t>
            </w:r>
          </w:p>
        </w:tc>
        <w:tc>
          <w:tcPr>
            <w:tcW w:w="2357" w:type="dxa"/>
            <w:tcBorders>
              <w:top w:val="nil"/>
              <w:left w:val="nil"/>
              <w:bottom w:val="single" w:sz="4" w:space="0" w:color="auto"/>
              <w:right w:val="nil"/>
            </w:tcBorders>
            <w:shd w:val="clear" w:color="auto" w:fill="auto"/>
            <w:vAlign w:val="bottom"/>
            <w:hideMark/>
          </w:tcPr>
          <w:p w14:paraId="43CC4D22"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single" w:sz="4" w:space="0" w:color="auto"/>
              <w:bottom w:val="single" w:sz="4" w:space="0" w:color="auto"/>
              <w:right w:val="nil"/>
            </w:tcBorders>
            <w:shd w:val="clear" w:color="auto" w:fill="auto"/>
            <w:vAlign w:val="center"/>
            <w:hideMark/>
          </w:tcPr>
          <w:p w14:paraId="0FB7E43A" w14:textId="77777777" w:rsidR="00271005" w:rsidRPr="00271005" w:rsidRDefault="00271005" w:rsidP="00271005">
            <w:pPr>
              <w:jc w:val="right"/>
              <w:rPr>
                <w:rFonts w:ascii="Arial CE" w:hAnsi="Arial CE" w:cs="Arial CE"/>
                <w:b/>
                <w:bCs/>
              </w:rPr>
            </w:pPr>
            <w:bookmarkStart w:id="58" w:name="RANGE!E23"/>
            <w:r w:rsidRPr="00271005">
              <w:rPr>
                <w:rFonts w:ascii="Arial CE" w:hAnsi="Arial CE" w:cs="Arial CE"/>
                <w:b/>
                <w:bCs/>
              </w:rPr>
              <w:t>15</w:t>
            </w:r>
            <w:bookmarkEnd w:id="58"/>
          </w:p>
        </w:tc>
        <w:tc>
          <w:tcPr>
            <w:tcW w:w="746" w:type="dxa"/>
            <w:tcBorders>
              <w:top w:val="nil"/>
              <w:left w:val="nil"/>
              <w:bottom w:val="single" w:sz="4" w:space="0" w:color="auto"/>
              <w:right w:val="nil"/>
            </w:tcBorders>
            <w:shd w:val="clear" w:color="auto" w:fill="auto"/>
            <w:noWrap/>
            <w:vAlign w:val="center"/>
            <w:hideMark/>
          </w:tcPr>
          <w:p w14:paraId="1CBB3481" w14:textId="77777777" w:rsidR="00271005" w:rsidRPr="00271005" w:rsidRDefault="00271005" w:rsidP="00271005">
            <w:pPr>
              <w:ind w:firstLineChars="100" w:firstLine="200"/>
              <w:rPr>
                <w:rFonts w:ascii="Arial CE" w:hAnsi="Arial CE" w:cs="Arial CE"/>
              </w:rPr>
            </w:pPr>
            <w:r w:rsidRPr="00271005">
              <w:rPr>
                <w:rFonts w:ascii="Arial CE" w:hAnsi="Arial CE" w:cs="Arial CE"/>
              </w:rPr>
              <w:t>%</w:t>
            </w:r>
          </w:p>
        </w:tc>
        <w:tc>
          <w:tcPr>
            <w:tcW w:w="3064" w:type="dxa"/>
            <w:gridSpan w:val="3"/>
            <w:tcBorders>
              <w:top w:val="single" w:sz="4" w:space="0" w:color="auto"/>
              <w:left w:val="single" w:sz="4" w:space="0" w:color="auto"/>
              <w:bottom w:val="single" w:sz="4" w:space="0" w:color="auto"/>
              <w:right w:val="nil"/>
            </w:tcBorders>
            <w:shd w:val="clear" w:color="auto" w:fill="auto"/>
            <w:noWrap/>
            <w:vAlign w:val="center"/>
            <w:hideMark/>
          </w:tcPr>
          <w:p w14:paraId="54D9EB84" w14:textId="77777777" w:rsidR="00271005" w:rsidRPr="00271005" w:rsidRDefault="00271005" w:rsidP="00271005">
            <w:pPr>
              <w:jc w:val="right"/>
              <w:rPr>
                <w:rFonts w:ascii="Arial CE" w:hAnsi="Arial CE" w:cs="Arial CE"/>
                <w:b/>
                <w:bCs/>
                <w:sz w:val="22"/>
                <w:szCs w:val="22"/>
              </w:rPr>
            </w:pPr>
            <w:bookmarkStart w:id="59" w:name="RANGE!G23"/>
            <w:r w:rsidRPr="00271005">
              <w:rPr>
                <w:rFonts w:ascii="Arial CE" w:hAnsi="Arial CE" w:cs="Arial CE"/>
                <w:b/>
                <w:bCs/>
                <w:sz w:val="22"/>
                <w:szCs w:val="22"/>
              </w:rPr>
              <w:t>0,00</w:t>
            </w:r>
            <w:bookmarkEnd w:id="59"/>
          </w:p>
        </w:tc>
        <w:tc>
          <w:tcPr>
            <w:tcW w:w="569" w:type="dxa"/>
            <w:tcBorders>
              <w:top w:val="nil"/>
              <w:left w:val="nil"/>
              <w:bottom w:val="single" w:sz="4" w:space="0" w:color="auto"/>
              <w:right w:val="single" w:sz="8" w:space="0" w:color="auto"/>
            </w:tcBorders>
            <w:shd w:val="clear" w:color="auto" w:fill="auto"/>
            <w:noWrap/>
            <w:vAlign w:val="center"/>
            <w:hideMark/>
          </w:tcPr>
          <w:p w14:paraId="472CF8B3" w14:textId="77777777" w:rsidR="00271005" w:rsidRPr="00271005" w:rsidRDefault="00271005" w:rsidP="00271005">
            <w:pPr>
              <w:rPr>
                <w:rFonts w:ascii="Arial CE" w:hAnsi="Arial CE" w:cs="Arial CE"/>
              </w:rPr>
            </w:pPr>
            <w:r w:rsidRPr="00271005">
              <w:rPr>
                <w:rFonts w:ascii="Arial CE" w:hAnsi="Arial CE" w:cs="Arial CE"/>
              </w:rPr>
              <w:t>CZK</w:t>
            </w:r>
          </w:p>
        </w:tc>
      </w:tr>
      <w:tr w:rsidR="00271005" w:rsidRPr="00271005" w14:paraId="5ACEFC74"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7A805F11" w14:textId="77777777" w:rsidR="00271005" w:rsidRPr="00271005" w:rsidRDefault="00271005" w:rsidP="00271005">
            <w:pPr>
              <w:ind w:firstLineChars="100" w:firstLine="200"/>
              <w:rPr>
                <w:rFonts w:ascii="Arial CE" w:hAnsi="Arial CE" w:cs="Arial CE"/>
              </w:rPr>
            </w:pPr>
            <w:r w:rsidRPr="00271005">
              <w:rPr>
                <w:rFonts w:ascii="Arial CE" w:hAnsi="Arial CE" w:cs="Arial CE"/>
              </w:rPr>
              <w:t xml:space="preserve">Snížená DPH </w:t>
            </w:r>
          </w:p>
        </w:tc>
        <w:tc>
          <w:tcPr>
            <w:tcW w:w="533" w:type="dxa"/>
            <w:tcBorders>
              <w:top w:val="nil"/>
              <w:left w:val="nil"/>
              <w:bottom w:val="single" w:sz="4" w:space="0" w:color="auto"/>
              <w:right w:val="nil"/>
            </w:tcBorders>
            <w:shd w:val="clear" w:color="auto" w:fill="auto"/>
            <w:vAlign w:val="center"/>
            <w:hideMark/>
          </w:tcPr>
          <w:p w14:paraId="29CC01AB"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1268C594"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single" w:sz="4" w:space="0" w:color="auto"/>
              <w:bottom w:val="single" w:sz="4" w:space="0" w:color="auto"/>
              <w:right w:val="nil"/>
            </w:tcBorders>
            <w:shd w:val="clear" w:color="auto" w:fill="auto"/>
            <w:vAlign w:val="center"/>
            <w:hideMark/>
          </w:tcPr>
          <w:p w14:paraId="58708B0B" w14:textId="77777777" w:rsidR="00271005" w:rsidRPr="00271005" w:rsidRDefault="00271005" w:rsidP="00271005">
            <w:pPr>
              <w:jc w:val="right"/>
              <w:rPr>
                <w:rFonts w:ascii="Arial CE" w:hAnsi="Arial CE" w:cs="Arial CE"/>
                <w:b/>
                <w:bCs/>
              </w:rPr>
            </w:pPr>
            <w:r w:rsidRPr="00271005">
              <w:rPr>
                <w:rFonts w:ascii="Arial CE" w:hAnsi="Arial CE" w:cs="Arial CE"/>
                <w:b/>
                <w:bCs/>
              </w:rPr>
              <w:t>15</w:t>
            </w:r>
          </w:p>
        </w:tc>
        <w:tc>
          <w:tcPr>
            <w:tcW w:w="746" w:type="dxa"/>
            <w:tcBorders>
              <w:top w:val="nil"/>
              <w:left w:val="nil"/>
              <w:bottom w:val="single" w:sz="4" w:space="0" w:color="auto"/>
              <w:right w:val="nil"/>
            </w:tcBorders>
            <w:shd w:val="clear" w:color="auto" w:fill="auto"/>
            <w:noWrap/>
            <w:vAlign w:val="center"/>
            <w:hideMark/>
          </w:tcPr>
          <w:p w14:paraId="7092FB63" w14:textId="77777777" w:rsidR="00271005" w:rsidRPr="00271005" w:rsidRDefault="00271005" w:rsidP="00271005">
            <w:pPr>
              <w:ind w:firstLineChars="100" w:firstLine="200"/>
              <w:rPr>
                <w:rFonts w:ascii="Arial CE" w:hAnsi="Arial CE" w:cs="Arial CE"/>
              </w:rPr>
            </w:pPr>
            <w:r w:rsidRPr="00271005">
              <w:rPr>
                <w:rFonts w:ascii="Arial CE" w:hAnsi="Arial CE" w:cs="Arial CE"/>
              </w:rPr>
              <w:t>%</w:t>
            </w:r>
          </w:p>
        </w:tc>
        <w:tc>
          <w:tcPr>
            <w:tcW w:w="3064" w:type="dxa"/>
            <w:gridSpan w:val="3"/>
            <w:tcBorders>
              <w:top w:val="single" w:sz="4" w:space="0" w:color="auto"/>
              <w:left w:val="single" w:sz="4" w:space="0" w:color="auto"/>
              <w:bottom w:val="single" w:sz="4" w:space="0" w:color="auto"/>
              <w:right w:val="nil"/>
            </w:tcBorders>
            <w:shd w:val="clear" w:color="auto" w:fill="auto"/>
            <w:noWrap/>
            <w:vAlign w:val="center"/>
            <w:hideMark/>
          </w:tcPr>
          <w:p w14:paraId="51C2EF5D" w14:textId="77777777" w:rsidR="00271005" w:rsidRPr="00271005" w:rsidRDefault="00271005" w:rsidP="00271005">
            <w:pPr>
              <w:jc w:val="right"/>
              <w:rPr>
                <w:rFonts w:ascii="Arial CE" w:hAnsi="Arial CE" w:cs="Arial CE"/>
                <w:b/>
                <w:bCs/>
                <w:sz w:val="22"/>
                <w:szCs w:val="22"/>
              </w:rPr>
            </w:pPr>
            <w:bookmarkStart w:id="60" w:name="RANGE!G24"/>
            <w:r w:rsidRPr="00271005">
              <w:rPr>
                <w:rFonts w:ascii="Arial CE" w:hAnsi="Arial CE" w:cs="Arial CE"/>
                <w:b/>
                <w:bCs/>
                <w:sz w:val="22"/>
                <w:szCs w:val="22"/>
              </w:rPr>
              <w:t>0,00</w:t>
            </w:r>
            <w:bookmarkEnd w:id="60"/>
          </w:p>
        </w:tc>
        <w:tc>
          <w:tcPr>
            <w:tcW w:w="569" w:type="dxa"/>
            <w:tcBorders>
              <w:top w:val="nil"/>
              <w:left w:val="nil"/>
              <w:bottom w:val="single" w:sz="4" w:space="0" w:color="auto"/>
              <w:right w:val="single" w:sz="8" w:space="0" w:color="auto"/>
            </w:tcBorders>
            <w:shd w:val="clear" w:color="auto" w:fill="auto"/>
            <w:noWrap/>
            <w:vAlign w:val="center"/>
            <w:hideMark/>
          </w:tcPr>
          <w:p w14:paraId="3E6599ED" w14:textId="77777777" w:rsidR="00271005" w:rsidRPr="00271005" w:rsidRDefault="00271005" w:rsidP="00271005">
            <w:pPr>
              <w:rPr>
                <w:rFonts w:ascii="Arial CE" w:hAnsi="Arial CE" w:cs="Arial CE"/>
              </w:rPr>
            </w:pPr>
            <w:r w:rsidRPr="00271005">
              <w:rPr>
                <w:rFonts w:ascii="Arial CE" w:hAnsi="Arial CE" w:cs="Arial CE"/>
              </w:rPr>
              <w:t>CZK</w:t>
            </w:r>
          </w:p>
        </w:tc>
      </w:tr>
      <w:tr w:rsidR="00271005" w:rsidRPr="00271005" w14:paraId="4EA8F454" w14:textId="77777777" w:rsidTr="00271005">
        <w:trPr>
          <w:trHeight w:val="479"/>
        </w:trPr>
        <w:tc>
          <w:tcPr>
            <w:tcW w:w="2925" w:type="dxa"/>
            <w:gridSpan w:val="2"/>
            <w:tcBorders>
              <w:top w:val="single" w:sz="4" w:space="0" w:color="auto"/>
              <w:left w:val="single" w:sz="8" w:space="0" w:color="auto"/>
              <w:bottom w:val="single" w:sz="4" w:space="0" w:color="auto"/>
              <w:right w:val="nil"/>
            </w:tcBorders>
            <w:shd w:val="clear" w:color="auto" w:fill="auto"/>
            <w:noWrap/>
            <w:vAlign w:val="center"/>
            <w:hideMark/>
          </w:tcPr>
          <w:p w14:paraId="51B7C26F" w14:textId="77777777" w:rsidR="00271005" w:rsidRPr="00271005" w:rsidRDefault="00271005" w:rsidP="00271005">
            <w:pPr>
              <w:ind w:firstLineChars="100" w:firstLine="200"/>
              <w:rPr>
                <w:rFonts w:ascii="Arial CE" w:hAnsi="Arial CE" w:cs="Arial CE"/>
              </w:rPr>
            </w:pPr>
            <w:r w:rsidRPr="00271005">
              <w:rPr>
                <w:rFonts w:ascii="Arial CE" w:hAnsi="Arial CE" w:cs="Arial CE"/>
              </w:rPr>
              <w:t>Základ pro základní DPH</w:t>
            </w:r>
          </w:p>
        </w:tc>
        <w:tc>
          <w:tcPr>
            <w:tcW w:w="2357" w:type="dxa"/>
            <w:tcBorders>
              <w:top w:val="nil"/>
              <w:left w:val="nil"/>
              <w:bottom w:val="single" w:sz="4" w:space="0" w:color="auto"/>
              <w:right w:val="nil"/>
            </w:tcBorders>
            <w:shd w:val="clear" w:color="auto" w:fill="auto"/>
            <w:vAlign w:val="bottom"/>
            <w:hideMark/>
          </w:tcPr>
          <w:p w14:paraId="11AB036E"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single" w:sz="4" w:space="0" w:color="auto"/>
              <w:bottom w:val="single" w:sz="4" w:space="0" w:color="auto"/>
              <w:right w:val="nil"/>
            </w:tcBorders>
            <w:shd w:val="clear" w:color="auto" w:fill="auto"/>
            <w:vAlign w:val="center"/>
            <w:hideMark/>
          </w:tcPr>
          <w:p w14:paraId="68AF4409" w14:textId="77777777" w:rsidR="00271005" w:rsidRPr="00271005" w:rsidRDefault="00271005" w:rsidP="00271005">
            <w:pPr>
              <w:jc w:val="right"/>
              <w:rPr>
                <w:rFonts w:ascii="Arial CE" w:hAnsi="Arial CE" w:cs="Arial CE"/>
                <w:b/>
                <w:bCs/>
              </w:rPr>
            </w:pPr>
            <w:bookmarkStart w:id="61" w:name="RANGE!E25"/>
            <w:r w:rsidRPr="00271005">
              <w:rPr>
                <w:rFonts w:ascii="Arial CE" w:hAnsi="Arial CE" w:cs="Arial CE"/>
                <w:b/>
                <w:bCs/>
              </w:rPr>
              <w:t>21</w:t>
            </w:r>
            <w:bookmarkEnd w:id="61"/>
          </w:p>
        </w:tc>
        <w:tc>
          <w:tcPr>
            <w:tcW w:w="746" w:type="dxa"/>
            <w:tcBorders>
              <w:top w:val="nil"/>
              <w:left w:val="nil"/>
              <w:bottom w:val="single" w:sz="4" w:space="0" w:color="auto"/>
              <w:right w:val="nil"/>
            </w:tcBorders>
            <w:shd w:val="clear" w:color="auto" w:fill="auto"/>
            <w:noWrap/>
            <w:vAlign w:val="center"/>
            <w:hideMark/>
          </w:tcPr>
          <w:p w14:paraId="26D20C80" w14:textId="77777777" w:rsidR="00271005" w:rsidRPr="00271005" w:rsidRDefault="00271005" w:rsidP="00271005">
            <w:pPr>
              <w:ind w:firstLineChars="100" w:firstLine="200"/>
              <w:rPr>
                <w:rFonts w:ascii="Arial CE" w:hAnsi="Arial CE" w:cs="Arial CE"/>
              </w:rPr>
            </w:pPr>
            <w:r w:rsidRPr="00271005">
              <w:rPr>
                <w:rFonts w:ascii="Arial CE" w:hAnsi="Arial CE" w:cs="Arial CE"/>
              </w:rPr>
              <w:t>%</w:t>
            </w:r>
          </w:p>
        </w:tc>
        <w:tc>
          <w:tcPr>
            <w:tcW w:w="3064" w:type="dxa"/>
            <w:gridSpan w:val="3"/>
            <w:tcBorders>
              <w:top w:val="single" w:sz="4" w:space="0" w:color="auto"/>
              <w:left w:val="single" w:sz="4" w:space="0" w:color="auto"/>
              <w:bottom w:val="single" w:sz="4" w:space="0" w:color="auto"/>
              <w:right w:val="nil"/>
            </w:tcBorders>
            <w:shd w:val="clear" w:color="auto" w:fill="auto"/>
            <w:noWrap/>
            <w:vAlign w:val="center"/>
            <w:hideMark/>
          </w:tcPr>
          <w:p w14:paraId="63364E4F" w14:textId="77777777" w:rsidR="00271005" w:rsidRPr="00271005" w:rsidRDefault="00271005" w:rsidP="00271005">
            <w:pPr>
              <w:jc w:val="right"/>
              <w:rPr>
                <w:rFonts w:ascii="Arial CE" w:hAnsi="Arial CE" w:cs="Arial CE"/>
                <w:b/>
                <w:bCs/>
                <w:sz w:val="22"/>
                <w:szCs w:val="22"/>
              </w:rPr>
            </w:pPr>
            <w:bookmarkStart w:id="62" w:name="RANGE!G25"/>
            <w:r w:rsidRPr="00271005">
              <w:rPr>
                <w:rFonts w:ascii="Arial CE" w:hAnsi="Arial CE" w:cs="Arial CE"/>
                <w:b/>
                <w:bCs/>
                <w:sz w:val="22"/>
                <w:szCs w:val="22"/>
              </w:rPr>
              <w:t>18 390 000,00</w:t>
            </w:r>
            <w:bookmarkEnd w:id="62"/>
          </w:p>
        </w:tc>
        <w:tc>
          <w:tcPr>
            <w:tcW w:w="569" w:type="dxa"/>
            <w:tcBorders>
              <w:top w:val="nil"/>
              <w:left w:val="nil"/>
              <w:bottom w:val="single" w:sz="4" w:space="0" w:color="auto"/>
              <w:right w:val="single" w:sz="8" w:space="0" w:color="auto"/>
            </w:tcBorders>
            <w:shd w:val="clear" w:color="auto" w:fill="auto"/>
            <w:noWrap/>
            <w:vAlign w:val="center"/>
            <w:hideMark/>
          </w:tcPr>
          <w:p w14:paraId="3567154D" w14:textId="77777777" w:rsidR="00271005" w:rsidRPr="00271005" w:rsidRDefault="00271005" w:rsidP="00271005">
            <w:pPr>
              <w:rPr>
                <w:rFonts w:ascii="Arial CE" w:hAnsi="Arial CE" w:cs="Arial CE"/>
              </w:rPr>
            </w:pPr>
            <w:r w:rsidRPr="00271005">
              <w:rPr>
                <w:rFonts w:ascii="Arial CE" w:hAnsi="Arial CE" w:cs="Arial CE"/>
              </w:rPr>
              <w:t>CZK</w:t>
            </w:r>
          </w:p>
        </w:tc>
      </w:tr>
      <w:tr w:rsidR="00271005" w:rsidRPr="00271005" w14:paraId="6EE0CFB6" w14:textId="77777777" w:rsidTr="00271005">
        <w:trPr>
          <w:trHeight w:val="479"/>
        </w:trPr>
        <w:tc>
          <w:tcPr>
            <w:tcW w:w="2392" w:type="dxa"/>
            <w:tcBorders>
              <w:top w:val="nil"/>
              <w:left w:val="single" w:sz="8" w:space="0" w:color="auto"/>
              <w:bottom w:val="single" w:sz="4" w:space="0" w:color="auto"/>
              <w:right w:val="nil"/>
            </w:tcBorders>
            <w:shd w:val="clear" w:color="auto" w:fill="auto"/>
            <w:noWrap/>
            <w:vAlign w:val="center"/>
            <w:hideMark/>
          </w:tcPr>
          <w:p w14:paraId="42B20DB0" w14:textId="77777777" w:rsidR="00271005" w:rsidRPr="00271005" w:rsidRDefault="00271005" w:rsidP="00271005">
            <w:pPr>
              <w:ind w:firstLineChars="100" w:firstLine="200"/>
              <w:rPr>
                <w:rFonts w:ascii="Arial CE" w:hAnsi="Arial CE" w:cs="Arial CE"/>
              </w:rPr>
            </w:pPr>
            <w:r w:rsidRPr="00271005">
              <w:rPr>
                <w:rFonts w:ascii="Arial CE" w:hAnsi="Arial CE" w:cs="Arial CE"/>
              </w:rPr>
              <w:t xml:space="preserve">Základní DPH </w:t>
            </w:r>
          </w:p>
        </w:tc>
        <w:tc>
          <w:tcPr>
            <w:tcW w:w="533" w:type="dxa"/>
            <w:tcBorders>
              <w:top w:val="nil"/>
              <w:left w:val="nil"/>
              <w:bottom w:val="single" w:sz="4" w:space="0" w:color="auto"/>
              <w:right w:val="nil"/>
            </w:tcBorders>
            <w:shd w:val="clear" w:color="auto" w:fill="auto"/>
            <w:vAlign w:val="center"/>
            <w:hideMark/>
          </w:tcPr>
          <w:p w14:paraId="43C3E43E"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4" w:space="0" w:color="auto"/>
              <w:right w:val="nil"/>
            </w:tcBorders>
            <w:shd w:val="clear" w:color="auto" w:fill="auto"/>
            <w:vAlign w:val="bottom"/>
            <w:hideMark/>
          </w:tcPr>
          <w:p w14:paraId="4D17E70E"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single" w:sz="4" w:space="0" w:color="auto"/>
              <w:bottom w:val="single" w:sz="4" w:space="0" w:color="auto"/>
              <w:right w:val="nil"/>
            </w:tcBorders>
            <w:shd w:val="clear" w:color="auto" w:fill="auto"/>
            <w:vAlign w:val="center"/>
            <w:hideMark/>
          </w:tcPr>
          <w:p w14:paraId="2907D755" w14:textId="77777777" w:rsidR="00271005" w:rsidRPr="00271005" w:rsidRDefault="00271005" w:rsidP="00271005">
            <w:pPr>
              <w:jc w:val="right"/>
              <w:rPr>
                <w:rFonts w:ascii="Arial CE" w:hAnsi="Arial CE" w:cs="Arial CE"/>
                <w:b/>
                <w:bCs/>
              </w:rPr>
            </w:pPr>
            <w:r w:rsidRPr="00271005">
              <w:rPr>
                <w:rFonts w:ascii="Arial CE" w:hAnsi="Arial CE" w:cs="Arial CE"/>
                <w:b/>
                <w:bCs/>
              </w:rPr>
              <w:t>21</w:t>
            </w:r>
          </w:p>
        </w:tc>
        <w:tc>
          <w:tcPr>
            <w:tcW w:w="746" w:type="dxa"/>
            <w:tcBorders>
              <w:top w:val="nil"/>
              <w:left w:val="nil"/>
              <w:bottom w:val="single" w:sz="4" w:space="0" w:color="auto"/>
              <w:right w:val="nil"/>
            </w:tcBorders>
            <w:shd w:val="clear" w:color="auto" w:fill="auto"/>
            <w:noWrap/>
            <w:vAlign w:val="center"/>
            <w:hideMark/>
          </w:tcPr>
          <w:p w14:paraId="2CDCAA27" w14:textId="77777777" w:rsidR="00271005" w:rsidRPr="00271005" w:rsidRDefault="00271005" w:rsidP="00271005">
            <w:pPr>
              <w:ind w:firstLineChars="100" w:firstLine="200"/>
              <w:rPr>
                <w:rFonts w:ascii="Arial CE" w:hAnsi="Arial CE" w:cs="Arial CE"/>
              </w:rPr>
            </w:pPr>
            <w:r w:rsidRPr="00271005">
              <w:rPr>
                <w:rFonts w:ascii="Arial CE" w:hAnsi="Arial CE" w:cs="Arial CE"/>
              </w:rPr>
              <w:t>%</w:t>
            </w:r>
          </w:p>
        </w:tc>
        <w:tc>
          <w:tcPr>
            <w:tcW w:w="3064" w:type="dxa"/>
            <w:gridSpan w:val="3"/>
            <w:tcBorders>
              <w:top w:val="nil"/>
              <w:left w:val="single" w:sz="4" w:space="0" w:color="auto"/>
              <w:bottom w:val="single" w:sz="4" w:space="0" w:color="auto"/>
              <w:right w:val="nil"/>
            </w:tcBorders>
            <w:shd w:val="clear" w:color="auto" w:fill="auto"/>
            <w:noWrap/>
            <w:vAlign w:val="center"/>
            <w:hideMark/>
          </w:tcPr>
          <w:p w14:paraId="28785E94" w14:textId="77777777" w:rsidR="00271005" w:rsidRPr="00271005" w:rsidRDefault="00271005" w:rsidP="00271005">
            <w:pPr>
              <w:jc w:val="right"/>
              <w:rPr>
                <w:rFonts w:ascii="Arial CE" w:hAnsi="Arial CE" w:cs="Arial CE"/>
                <w:b/>
                <w:bCs/>
                <w:sz w:val="22"/>
                <w:szCs w:val="22"/>
              </w:rPr>
            </w:pPr>
            <w:bookmarkStart w:id="63" w:name="RANGE!G26"/>
            <w:r w:rsidRPr="00271005">
              <w:rPr>
                <w:rFonts w:ascii="Arial CE" w:hAnsi="Arial CE" w:cs="Arial CE"/>
                <w:b/>
                <w:bCs/>
                <w:sz w:val="22"/>
                <w:szCs w:val="22"/>
              </w:rPr>
              <w:t>3 861 900,00</w:t>
            </w:r>
            <w:bookmarkEnd w:id="63"/>
          </w:p>
        </w:tc>
        <w:tc>
          <w:tcPr>
            <w:tcW w:w="569" w:type="dxa"/>
            <w:tcBorders>
              <w:top w:val="nil"/>
              <w:left w:val="nil"/>
              <w:bottom w:val="single" w:sz="4" w:space="0" w:color="auto"/>
              <w:right w:val="single" w:sz="8" w:space="0" w:color="auto"/>
            </w:tcBorders>
            <w:shd w:val="clear" w:color="auto" w:fill="auto"/>
            <w:noWrap/>
            <w:vAlign w:val="center"/>
            <w:hideMark/>
          </w:tcPr>
          <w:p w14:paraId="2CD12763" w14:textId="77777777" w:rsidR="00271005" w:rsidRPr="00271005" w:rsidRDefault="00271005" w:rsidP="00271005">
            <w:pPr>
              <w:rPr>
                <w:rFonts w:ascii="Arial CE" w:hAnsi="Arial CE" w:cs="Arial CE"/>
              </w:rPr>
            </w:pPr>
            <w:r w:rsidRPr="00271005">
              <w:rPr>
                <w:rFonts w:ascii="Arial CE" w:hAnsi="Arial CE" w:cs="Arial CE"/>
              </w:rPr>
              <w:t>CZK</w:t>
            </w:r>
          </w:p>
        </w:tc>
      </w:tr>
      <w:tr w:rsidR="00271005" w:rsidRPr="00271005" w14:paraId="536684F2" w14:textId="77777777" w:rsidTr="00271005">
        <w:trPr>
          <w:trHeight w:val="479"/>
        </w:trPr>
        <w:tc>
          <w:tcPr>
            <w:tcW w:w="2392" w:type="dxa"/>
            <w:tcBorders>
              <w:top w:val="nil"/>
              <w:left w:val="single" w:sz="8" w:space="0" w:color="auto"/>
              <w:bottom w:val="nil"/>
              <w:right w:val="nil"/>
            </w:tcBorders>
            <w:shd w:val="clear" w:color="auto" w:fill="auto"/>
            <w:noWrap/>
            <w:vAlign w:val="center"/>
            <w:hideMark/>
          </w:tcPr>
          <w:p w14:paraId="418D75A6" w14:textId="77777777" w:rsidR="00271005" w:rsidRPr="00271005" w:rsidRDefault="00271005" w:rsidP="00271005">
            <w:pPr>
              <w:ind w:firstLineChars="100" w:firstLine="200"/>
              <w:rPr>
                <w:rFonts w:ascii="Arial CE" w:hAnsi="Arial CE" w:cs="Arial CE"/>
              </w:rPr>
            </w:pPr>
            <w:r w:rsidRPr="00271005">
              <w:rPr>
                <w:rFonts w:ascii="Arial CE" w:hAnsi="Arial CE" w:cs="Arial CE"/>
              </w:rPr>
              <w:t>Zaokrouhlení</w:t>
            </w:r>
          </w:p>
        </w:tc>
        <w:tc>
          <w:tcPr>
            <w:tcW w:w="533" w:type="dxa"/>
            <w:tcBorders>
              <w:top w:val="nil"/>
              <w:left w:val="nil"/>
              <w:bottom w:val="nil"/>
              <w:right w:val="nil"/>
            </w:tcBorders>
            <w:shd w:val="clear" w:color="auto" w:fill="auto"/>
            <w:vAlign w:val="center"/>
            <w:hideMark/>
          </w:tcPr>
          <w:p w14:paraId="6AE736F2" w14:textId="77777777" w:rsidR="00271005" w:rsidRPr="00271005" w:rsidRDefault="00271005" w:rsidP="00271005">
            <w:pPr>
              <w:ind w:firstLineChars="100" w:firstLine="200"/>
              <w:rPr>
                <w:rFonts w:ascii="Arial CE" w:hAnsi="Arial CE" w:cs="Arial CE"/>
              </w:rPr>
            </w:pPr>
          </w:p>
        </w:tc>
        <w:tc>
          <w:tcPr>
            <w:tcW w:w="2357" w:type="dxa"/>
            <w:tcBorders>
              <w:top w:val="nil"/>
              <w:left w:val="nil"/>
              <w:bottom w:val="nil"/>
              <w:right w:val="nil"/>
            </w:tcBorders>
            <w:shd w:val="clear" w:color="auto" w:fill="auto"/>
            <w:vAlign w:val="center"/>
            <w:hideMark/>
          </w:tcPr>
          <w:p w14:paraId="4333D35B" w14:textId="77777777" w:rsidR="00271005" w:rsidRPr="00271005" w:rsidRDefault="00271005" w:rsidP="00271005"/>
        </w:tc>
        <w:tc>
          <w:tcPr>
            <w:tcW w:w="756" w:type="dxa"/>
            <w:tcBorders>
              <w:top w:val="nil"/>
              <w:left w:val="nil"/>
              <w:bottom w:val="nil"/>
              <w:right w:val="nil"/>
            </w:tcBorders>
            <w:shd w:val="clear" w:color="auto" w:fill="auto"/>
            <w:vAlign w:val="center"/>
            <w:hideMark/>
          </w:tcPr>
          <w:p w14:paraId="36402433" w14:textId="77777777" w:rsidR="00271005" w:rsidRPr="00271005" w:rsidRDefault="00271005" w:rsidP="00271005"/>
        </w:tc>
        <w:tc>
          <w:tcPr>
            <w:tcW w:w="746" w:type="dxa"/>
            <w:tcBorders>
              <w:top w:val="nil"/>
              <w:left w:val="nil"/>
              <w:bottom w:val="nil"/>
              <w:right w:val="nil"/>
            </w:tcBorders>
            <w:shd w:val="clear" w:color="auto" w:fill="auto"/>
            <w:noWrap/>
            <w:vAlign w:val="center"/>
            <w:hideMark/>
          </w:tcPr>
          <w:p w14:paraId="55B97FB5" w14:textId="77777777" w:rsidR="00271005" w:rsidRPr="00271005" w:rsidRDefault="00271005" w:rsidP="00271005"/>
        </w:tc>
        <w:tc>
          <w:tcPr>
            <w:tcW w:w="3064" w:type="dxa"/>
            <w:gridSpan w:val="3"/>
            <w:tcBorders>
              <w:top w:val="single" w:sz="4" w:space="0" w:color="auto"/>
              <w:left w:val="nil"/>
              <w:bottom w:val="nil"/>
              <w:right w:val="nil"/>
            </w:tcBorders>
            <w:shd w:val="clear" w:color="auto" w:fill="auto"/>
            <w:noWrap/>
            <w:vAlign w:val="center"/>
            <w:hideMark/>
          </w:tcPr>
          <w:p w14:paraId="48653206" w14:textId="77777777" w:rsidR="00271005" w:rsidRPr="00271005" w:rsidRDefault="00271005" w:rsidP="00271005">
            <w:pPr>
              <w:jc w:val="right"/>
              <w:rPr>
                <w:rFonts w:ascii="Arial CE" w:hAnsi="Arial CE" w:cs="Arial CE"/>
                <w:b/>
                <w:bCs/>
                <w:sz w:val="22"/>
                <w:szCs w:val="22"/>
              </w:rPr>
            </w:pPr>
            <w:bookmarkStart w:id="64" w:name="RANGE!G27"/>
            <w:r w:rsidRPr="00271005">
              <w:rPr>
                <w:rFonts w:ascii="Arial CE" w:hAnsi="Arial CE" w:cs="Arial CE"/>
                <w:b/>
                <w:bCs/>
                <w:sz w:val="22"/>
                <w:szCs w:val="22"/>
              </w:rPr>
              <w:t>0,00</w:t>
            </w:r>
            <w:bookmarkEnd w:id="64"/>
          </w:p>
        </w:tc>
        <w:tc>
          <w:tcPr>
            <w:tcW w:w="569" w:type="dxa"/>
            <w:tcBorders>
              <w:top w:val="nil"/>
              <w:left w:val="nil"/>
              <w:bottom w:val="nil"/>
              <w:right w:val="single" w:sz="8" w:space="0" w:color="auto"/>
            </w:tcBorders>
            <w:shd w:val="clear" w:color="auto" w:fill="auto"/>
            <w:noWrap/>
            <w:vAlign w:val="center"/>
            <w:hideMark/>
          </w:tcPr>
          <w:p w14:paraId="6D3CDFE7" w14:textId="77777777" w:rsidR="00271005" w:rsidRPr="00271005" w:rsidRDefault="00271005" w:rsidP="00271005">
            <w:pPr>
              <w:rPr>
                <w:rFonts w:ascii="Arial CE" w:hAnsi="Arial CE" w:cs="Arial CE"/>
              </w:rPr>
            </w:pPr>
            <w:r w:rsidRPr="00271005">
              <w:rPr>
                <w:rFonts w:ascii="Arial CE" w:hAnsi="Arial CE" w:cs="Arial CE"/>
              </w:rPr>
              <w:t>CZK</w:t>
            </w:r>
          </w:p>
        </w:tc>
      </w:tr>
      <w:tr w:rsidR="00271005" w:rsidRPr="00271005" w14:paraId="1135751D" w14:textId="77777777" w:rsidTr="00271005">
        <w:trPr>
          <w:trHeight w:val="572"/>
        </w:trPr>
        <w:tc>
          <w:tcPr>
            <w:tcW w:w="2925" w:type="dxa"/>
            <w:gridSpan w:val="2"/>
            <w:tcBorders>
              <w:top w:val="single" w:sz="8" w:space="0" w:color="auto"/>
              <w:left w:val="single" w:sz="8" w:space="0" w:color="auto"/>
              <w:bottom w:val="single" w:sz="8" w:space="0" w:color="auto"/>
              <w:right w:val="nil"/>
            </w:tcBorders>
            <w:shd w:val="clear" w:color="000000" w:fill="D6E1EE"/>
            <w:noWrap/>
            <w:vAlign w:val="center"/>
            <w:hideMark/>
          </w:tcPr>
          <w:p w14:paraId="1F0724A3" w14:textId="77777777" w:rsidR="00271005" w:rsidRPr="00271005" w:rsidRDefault="00271005" w:rsidP="00271005">
            <w:pPr>
              <w:ind w:firstLineChars="100" w:firstLine="241"/>
              <w:rPr>
                <w:rFonts w:ascii="Arial CE" w:hAnsi="Arial CE" w:cs="Arial CE"/>
                <w:b/>
                <w:bCs/>
                <w:sz w:val="24"/>
                <w:szCs w:val="24"/>
              </w:rPr>
            </w:pPr>
            <w:r w:rsidRPr="00271005">
              <w:rPr>
                <w:rFonts w:ascii="Arial CE" w:hAnsi="Arial CE" w:cs="Arial CE"/>
                <w:b/>
                <w:bCs/>
                <w:sz w:val="24"/>
                <w:szCs w:val="24"/>
              </w:rPr>
              <w:t>Cena celkem s DPH</w:t>
            </w:r>
          </w:p>
        </w:tc>
        <w:tc>
          <w:tcPr>
            <w:tcW w:w="2357" w:type="dxa"/>
            <w:tcBorders>
              <w:top w:val="nil"/>
              <w:left w:val="nil"/>
              <w:bottom w:val="single" w:sz="8" w:space="0" w:color="auto"/>
              <w:right w:val="nil"/>
            </w:tcBorders>
            <w:shd w:val="clear" w:color="000000" w:fill="D6E1EE"/>
            <w:vAlign w:val="bottom"/>
            <w:hideMark/>
          </w:tcPr>
          <w:p w14:paraId="70154A31"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nil"/>
              <w:bottom w:val="single" w:sz="8" w:space="0" w:color="auto"/>
              <w:right w:val="nil"/>
            </w:tcBorders>
            <w:shd w:val="clear" w:color="000000" w:fill="D6E1EE"/>
            <w:vAlign w:val="bottom"/>
            <w:hideMark/>
          </w:tcPr>
          <w:p w14:paraId="7BCC36DA" w14:textId="77777777" w:rsidR="00271005" w:rsidRPr="00271005" w:rsidRDefault="00271005" w:rsidP="00271005">
            <w:pPr>
              <w:rPr>
                <w:rFonts w:ascii="Arial CE" w:hAnsi="Arial CE" w:cs="Arial CE"/>
              </w:rPr>
            </w:pPr>
            <w:r w:rsidRPr="00271005">
              <w:rPr>
                <w:rFonts w:ascii="Arial CE" w:hAnsi="Arial CE" w:cs="Arial CE"/>
              </w:rPr>
              <w:t> </w:t>
            </w:r>
          </w:p>
        </w:tc>
        <w:tc>
          <w:tcPr>
            <w:tcW w:w="746" w:type="dxa"/>
            <w:tcBorders>
              <w:top w:val="nil"/>
              <w:left w:val="nil"/>
              <w:bottom w:val="single" w:sz="8" w:space="0" w:color="auto"/>
              <w:right w:val="nil"/>
            </w:tcBorders>
            <w:shd w:val="clear" w:color="000000" w:fill="D6E1EE"/>
            <w:noWrap/>
            <w:vAlign w:val="bottom"/>
            <w:hideMark/>
          </w:tcPr>
          <w:p w14:paraId="64614F8A" w14:textId="77777777" w:rsidR="00271005" w:rsidRPr="00271005" w:rsidRDefault="00271005" w:rsidP="00271005">
            <w:pPr>
              <w:rPr>
                <w:rFonts w:ascii="Arial CE" w:hAnsi="Arial CE" w:cs="Arial CE"/>
              </w:rPr>
            </w:pPr>
            <w:r w:rsidRPr="00271005">
              <w:rPr>
                <w:rFonts w:ascii="Arial CE" w:hAnsi="Arial CE" w:cs="Arial CE"/>
              </w:rPr>
              <w:t> </w:t>
            </w:r>
          </w:p>
        </w:tc>
        <w:tc>
          <w:tcPr>
            <w:tcW w:w="3064" w:type="dxa"/>
            <w:gridSpan w:val="3"/>
            <w:tcBorders>
              <w:top w:val="single" w:sz="8" w:space="0" w:color="auto"/>
              <w:left w:val="nil"/>
              <w:bottom w:val="single" w:sz="8" w:space="0" w:color="auto"/>
              <w:right w:val="nil"/>
            </w:tcBorders>
            <w:shd w:val="clear" w:color="000000" w:fill="D6E1EE"/>
            <w:noWrap/>
            <w:vAlign w:val="center"/>
            <w:hideMark/>
          </w:tcPr>
          <w:p w14:paraId="04355533" w14:textId="77777777" w:rsidR="00271005" w:rsidRPr="00271005" w:rsidRDefault="00271005" w:rsidP="00271005">
            <w:pPr>
              <w:jc w:val="right"/>
              <w:rPr>
                <w:rFonts w:ascii="Arial CE" w:hAnsi="Arial CE" w:cs="Arial CE"/>
                <w:b/>
                <w:bCs/>
                <w:sz w:val="26"/>
                <w:szCs w:val="26"/>
              </w:rPr>
            </w:pPr>
            <w:bookmarkStart w:id="65" w:name="RANGE!G28"/>
            <w:bookmarkStart w:id="66" w:name="RANGE!G29"/>
            <w:bookmarkEnd w:id="65"/>
            <w:r w:rsidRPr="00271005">
              <w:rPr>
                <w:rFonts w:ascii="Arial CE" w:hAnsi="Arial CE" w:cs="Arial CE"/>
                <w:b/>
                <w:bCs/>
                <w:sz w:val="26"/>
                <w:szCs w:val="26"/>
              </w:rPr>
              <w:t>22 251 900,00</w:t>
            </w:r>
            <w:bookmarkEnd w:id="66"/>
          </w:p>
        </w:tc>
        <w:tc>
          <w:tcPr>
            <w:tcW w:w="569" w:type="dxa"/>
            <w:tcBorders>
              <w:top w:val="nil"/>
              <w:left w:val="nil"/>
              <w:bottom w:val="single" w:sz="8" w:space="0" w:color="auto"/>
              <w:right w:val="single" w:sz="8" w:space="0" w:color="auto"/>
            </w:tcBorders>
            <w:shd w:val="clear" w:color="000000" w:fill="D6E1EE"/>
            <w:noWrap/>
            <w:vAlign w:val="center"/>
            <w:hideMark/>
          </w:tcPr>
          <w:p w14:paraId="0D1246DE" w14:textId="77777777" w:rsidR="00271005" w:rsidRPr="00271005" w:rsidRDefault="00271005" w:rsidP="00271005">
            <w:pPr>
              <w:rPr>
                <w:rFonts w:ascii="Arial CE" w:hAnsi="Arial CE" w:cs="Arial CE"/>
                <w:b/>
                <w:bCs/>
              </w:rPr>
            </w:pPr>
            <w:bookmarkStart w:id="67" w:name="RANGE!J29"/>
            <w:r w:rsidRPr="00271005">
              <w:rPr>
                <w:rFonts w:ascii="Arial CE" w:hAnsi="Arial CE" w:cs="Arial CE"/>
                <w:b/>
                <w:bCs/>
              </w:rPr>
              <w:t>CZK</w:t>
            </w:r>
            <w:bookmarkEnd w:id="67"/>
          </w:p>
        </w:tc>
      </w:tr>
      <w:tr w:rsidR="00271005" w:rsidRPr="00271005" w14:paraId="5CACE8E2" w14:textId="77777777" w:rsidTr="00271005">
        <w:trPr>
          <w:trHeight w:val="385"/>
        </w:trPr>
        <w:tc>
          <w:tcPr>
            <w:tcW w:w="2392" w:type="dxa"/>
            <w:tcBorders>
              <w:top w:val="nil"/>
              <w:left w:val="single" w:sz="8" w:space="0" w:color="auto"/>
              <w:bottom w:val="nil"/>
              <w:right w:val="nil"/>
            </w:tcBorders>
            <w:shd w:val="clear" w:color="auto" w:fill="auto"/>
            <w:noWrap/>
            <w:vAlign w:val="bottom"/>
            <w:hideMark/>
          </w:tcPr>
          <w:p w14:paraId="2D4FF7A8" w14:textId="77777777" w:rsidR="00271005" w:rsidRPr="00271005" w:rsidRDefault="00271005" w:rsidP="00271005">
            <w:pPr>
              <w:jc w:val="right"/>
              <w:rPr>
                <w:rFonts w:ascii="Arial CE" w:hAnsi="Arial CE" w:cs="Arial CE"/>
              </w:rPr>
            </w:pPr>
            <w:r w:rsidRPr="00271005">
              <w:rPr>
                <w:rFonts w:ascii="Arial CE" w:hAnsi="Arial CE" w:cs="Arial CE"/>
              </w:rPr>
              <w:t> </w:t>
            </w:r>
          </w:p>
        </w:tc>
        <w:tc>
          <w:tcPr>
            <w:tcW w:w="533" w:type="dxa"/>
            <w:tcBorders>
              <w:top w:val="nil"/>
              <w:left w:val="nil"/>
              <w:bottom w:val="nil"/>
              <w:right w:val="nil"/>
            </w:tcBorders>
            <w:shd w:val="clear" w:color="auto" w:fill="auto"/>
            <w:vAlign w:val="center"/>
            <w:hideMark/>
          </w:tcPr>
          <w:p w14:paraId="6FDCA41F" w14:textId="77777777" w:rsidR="00271005" w:rsidRPr="00271005" w:rsidRDefault="00271005" w:rsidP="00271005">
            <w:pPr>
              <w:jc w:val="center"/>
              <w:rPr>
                <w:rFonts w:ascii="Arial CE" w:hAnsi="Arial CE" w:cs="Arial CE"/>
              </w:rPr>
            </w:pPr>
            <w:r w:rsidRPr="00271005">
              <w:rPr>
                <w:rFonts w:ascii="Arial CE" w:hAnsi="Arial CE" w:cs="Arial CE"/>
              </w:rPr>
              <w:t>v</w:t>
            </w:r>
          </w:p>
        </w:tc>
        <w:tc>
          <w:tcPr>
            <w:tcW w:w="2357" w:type="dxa"/>
            <w:tcBorders>
              <w:top w:val="nil"/>
              <w:left w:val="nil"/>
              <w:bottom w:val="single" w:sz="4" w:space="0" w:color="auto"/>
              <w:right w:val="nil"/>
            </w:tcBorders>
            <w:shd w:val="clear" w:color="auto" w:fill="auto"/>
            <w:hideMark/>
          </w:tcPr>
          <w:p w14:paraId="7E912D06"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756" w:type="dxa"/>
            <w:tcBorders>
              <w:top w:val="nil"/>
              <w:left w:val="nil"/>
              <w:bottom w:val="single" w:sz="4" w:space="0" w:color="auto"/>
              <w:right w:val="nil"/>
            </w:tcBorders>
            <w:shd w:val="clear" w:color="auto" w:fill="auto"/>
            <w:hideMark/>
          </w:tcPr>
          <w:p w14:paraId="22793173"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746" w:type="dxa"/>
            <w:tcBorders>
              <w:top w:val="nil"/>
              <w:left w:val="nil"/>
              <w:bottom w:val="nil"/>
              <w:right w:val="nil"/>
            </w:tcBorders>
            <w:shd w:val="clear" w:color="auto" w:fill="auto"/>
            <w:noWrap/>
            <w:vAlign w:val="center"/>
            <w:hideMark/>
          </w:tcPr>
          <w:p w14:paraId="1E6ABC68" w14:textId="77777777" w:rsidR="00271005" w:rsidRPr="00271005" w:rsidRDefault="00271005" w:rsidP="00271005">
            <w:pPr>
              <w:jc w:val="center"/>
              <w:rPr>
                <w:rFonts w:ascii="Arial CE" w:hAnsi="Arial CE" w:cs="Arial CE"/>
              </w:rPr>
            </w:pPr>
            <w:r w:rsidRPr="00271005">
              <w:rPr>
                <w:rFonts w:ascii="Arial CE" w:hAnsi="Arial CE" w:cs="Arial CE"/>
              </w:rPr>
              <w:t>dne</w:t>
            </w:r>
          </w:p>
        </w:tc>
        <w:tc>
          <w:tcPr>
            <w:tcW w:w="201" w:type="dxa"/>
            <w:tcBorders>
              <w:top w:val="nil"/>
              <w:left w:val="nil"/>
              <w:bottom w:val="single" w:sz="4" w:space="0" w:color="auto"/>
              <w:right w:val="nil"/>
            </w:tcBorders>
            <w:shd w:val="clear" w:color="auto" w:fill="auto"/>
            <w:noWrap/>
            <w:hideMark/>
          </w:tcPr>
          <w:p w14:paraId="7FCA9B06"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1527" w:type="dxa"/>
            <w:tcBorders>
              <w:top w:val="nil"/>
              <w:left w:val="nil"/>
              <w:bottom w:val="single" w:sz="4" w:space="0" w:color="auto"/>
              <w:right w:val="nil"/>
            </w:tcBorders>
            <w:shd w:val="clear" w:color="auto" w:fill="auto"/>
            <w:noWrap/>
            <w:hideMark/>
          </w:tcPr>
          <w:p w14:paraId="1AAA2CB1" w14:textId="77777777" w:rsidR="00271005" w:rsidRPr="00271005" w:rsidRDefault="00271005" w:rsidP="00271005">
            <w:pPr>
              <w:jc w:val="center"/>
              <w:rPr>
                <w:rFonts w:ascii="Arial CE" w:hAnsi="Arial CE" w:cs="Arial CE"/>
                <w:b/>
                <w:bCs/>
              </w:rPr>
            </w:pPr>
            <w:r w:rsidRPr="00271005">
              <w:rPr>
                <w:rFonts w:ascii="Arial CE" w:hAnsi="Arial CE" w:cs="Arial CE"/>
                <w:b/>
                <w:bCs/>
              </w:rPr>
              <w:t> </w:t>
            </w:r>
          </w:p>
        </w:tc>
        <w:tc>
          <w:tcPr>
            <w:tcW w:w="1336" w:type="dxa"/>
            <w:tcBorders>
              <w:top w:val="nil"/>
              <w:left w:val="nil"/>
              <w:bottom w:val="single" w:sz="4" w:space="0" w:color="auto"/>
              <w:right w:val="nil"/>
            </w:tcBorders>
            <w:shd w:val="clear" w:color="auto" w:fill="auto"/>
            <w:noWrap/>
            <w:hideMark/>
          </w:tcPr>
          <w:p w14:paraId="0D81515B"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69" w:type="dxa"/>
            <w:tcBorders>
              <w:top w:val="nil"/>
              <w:left w:val="nil"/>
              <w:bottom w:val="nil"/>
              <w:right w:val="single" w:sz="8" w:space="0" w:color="auto"/>
            </w:tcBorders>
            <w:shd w:val="clear" w:color="auto" w:fill="auto"/>
            <w:noWrap/>
            <w:vAlign w:val="bottom"/>
            <w:hideMark/>
          </w:tcPr>
          <w:p w14:paraId="351AB560" w14:textId="77777777" w:rsidR="00271005" w:rsidRPr="00271005" w:rsidRDefault="00271005" w:rsidP="00271005">
            <w:pPr>
              <w:jc w:val="right"/>
              <w:rPr>
                <w:rFonts w:ascii="Arial CE" w:hAnsi="Arial CE" w:cs="Arial CE"/>
              </w:rPr>
            </w:pPr>
            <w:r w:rsidRPr="00271005">
              <w:rPr>
                <w:rFonts w:ascii="Arial CE" w:hAnsi="Arial CE" w:cs="Arial CE"/>
              </w:rPr>
              <w:t> </w:t>
            </w:r>
          </w:p>
        </w:tc>
      </w:tr>
      <w:tr w:rsidR="00271005" w:rsidRPr="00271005" w14:paraId="78B2ADD1" w14:textId="77777777" w:rsidTr="00271005">
        <w:trPr>
          <w:trHeight w:val="385"/>
        </w:trPr>
        <w:tc>
          <w:tcPr>
            <w:tcW w:w="2392" w:type="dxa"/>
            <w:tcBorders>
              <w:top w:val="nil"/>
              <w:left w:val="single" w:sz="8" w:space="0" w:color="auto"/>
              <w:bottom w:val="nil"/>
              <w:right w:val="nil"/>
            </w:tcBorders>
            <w:shd w:val="clear" w:color="auto" w:fill="auto"/>
            <w:noWrap/>
            <w:vAlign w:val="bottom"/>
            <w:hideMark/>
          </w:tcPr>
          <w:p w14:paraId="60F0C580" w14:textId="77777777" w:rsidR="00271005" w:rsidRPr="00271005" w:rsidRDefault="00271005" w:rsidP="00271005">
            <w:pPr>
              <w:rPr>
                <w:rFonts w:ascii="Arial CE" w:hAnsi="Arial CE" w:cs="Arial CE"/>
                <w:b/>
                <w:bCs/>
              </w:rPr>
            </w:pPr>
            <w:r w:rsidRPr="00271005">
              <w:rPr>
                <w:rFonts w:ascii="Arial CE" w:hAnsi="Arial CE" w:cs="Arial CE"/>
                <w:b/>
                <w:bCs/>
              </w:rPr>
              <w:t> </w:t>
            </w:r>
          </w:p>
        </w:tc>
        <w:tc>
          <w:tcPr>
            <w:tcW w:w="533" w:type="dxa"/>
            <w:tcBorders>
              <w:top w:val="nil"/>
              <w:left w:val="nil"/>
              <w:bottom w:val="nil"/>
              <w:right w:val="nil"/>
            </w:tcBorders>
            <w:shd w:val="clear" w:color="auto" w:fill="auto"/>
            <w:vAlign w:val="bottom"/>
            <w:hideMark/>
          </w:tcPr>
          <w:p w14:paraId="0FD5ADF3" w14:textId="77777777" w:rsidR="00271005" w:rsidRPr="00271005" w:rsidRDefault="00271005" w:rsidP="00271005">
            <w:pPr>
              <w:rPr>
                <w:rFonts w:ascii="Arial CE" w:hAnsi="Arial CE" w:cs="Arial CE"/>
                <w:b/>
                <w:bCs/>
              </w:rPr>
            </w:pPr>
          </w:p>
        </w:tc>
        <w:tc>
          <w:tcPr>
            <w:tcW w:w="3113" w:type="dxa"/>
            <w:gridSpan w:val="2"/>
            <w:tcBorders>
              <w:top w:val="nil"/>
              <w:left w:val="nil"/>
              <w:bottom w:val="single" w:sz="4" w:space="0" w:color="auto"/>
              <w:right w:val="nil"/>
            </w:tcBorders>
            <w:shd w:val="clear" w:color="auto" w:fill="auto"/>
            <w:vAlign w:val="center"/>
            <w:hideMark/>
          </w:tcPr>
          <w:p w14:paraId="137EECB7" w14:textId="77777777" w:rsidR="00271005" w:rsidRPr="00271005" w:rsidRDefault="00271005" w:rsidP="00271005">
            <w:pPr>
              <w:jc w:val="center"/>
              <w:rPr>
                <w:rFonts w:ascii="Arial CE" w:hAnsi="Arial CE" w:cs="Arial CE"/>
                <w:b/>
                <w:bCs/>
              </w:rPr>
            </w:pPr>
            <w:bookmarkStart w:id="68" w:name="RANGE!D34"/>
            <w:r w:rsidRPr="00271005">
              <w:rPr>
                <w:rFonts w:ascii="Arial CE" w:hAnsi="Arial CE" w:cs="Arial CE"/>
                <w:b/>
                <w:bCs/>
              </w:rPr>
              <w:t> </w:t>
            </w:r>
            <w:bookmarkEnd w:id="68"/>
          </w:p>
        </w:tc>
        <w:tc>
          <w:tcPr>
            <w:tcW w:w="746" w:type="dxa"/>
            <w:tcBorders>
              <w:top w:val="nil"/>
              <w:left w:val="nil"/>
              <w:bottom w:val="nil"/>
              <w:right w:val="nil"/>
            </w:tcBorders>
            <w:shd w:val="clear" w:color="auto" w:fill="auto"/>
            <w:noWrap/>
            <w:vAlign w:val="bottom"/>
            <w:hideMark/>
          </w:tcPr>
          <w:p w14:paraId="074BED1E" w14:textId="77777777" w:rsidR="00271005" w:rsidRPr="00271005" w:rsidRDefault="00271005" w:rsidP="00271005">
            <w:pPr>
              <w:jc w:val="center"/>
              <w:rPr>
                <w:rFonts w:ascii="Arial CE" w:hAnsi="Arial CE" w:cs="Arial CE"/>
                <w:b/>
                <w:bCs/>
              </w:rPr>
            </w:pPr>
          </w:p>
        </w:tc>
        <w:tc>
          <w:tcPr>
            <w:tcW w:w="3064" w:type="dxa"/>
            <w:gridSpan w:val="3"/>
            <w:tcBorders>
              <w:top w:val="nil"/>
              <w:left w:val="nil"/>
              <w:bottom w:val="single" w:sz="4" w:space="0" w:color="auto"/>
              <w:right w:val="nil"/>
            </w:tcBorders>
            <w:shd w:val="clear" w:color="auto" w:fill="auto"/>
            <w:noWrap/>
            <w:vAlign w:val="center"/>
            <w:hideMark/>
          </w:tcPr>
          <w:p w14:paraId="06D45A10" w14:textId="77777777" w:rsidR="00271005" w:rsidRPr="00271005" w:rsidRDefault="00271005" w:rsidP="00271005">
            <w:pPr>
              <w:jc w:val="center"/>
              <w:rPr>
                <w:rFonts w:ascii="Arial CE" w:hAnsi="Arial CE" w:cs="Arial CE"/>
                <w:b/>
                <w:bCs/>
              </w:rPr>
            </w:pPr>
            <w:bookmarkStart w:id="69" w:name="RANGE!G34"/>
            <w:r w:rsidRPr="00271005">
              <w:rPr>
                <w:rFonts w:ascii="Arial CE" w:hAnsi="Arial CE" w:cs="Arial CE"/>
                <w:b/>
                <w:bCs/>
              </w:rPr>
              <w:t> </w:t>
            </w:r>
            <w:bookmarkEnd w:id="69"/>
          </w:p>
        </w:tc>
        <w:tc>
          <w:tcPr>
            <w:tcW w:w="569" w:type="dxa"/>
            <w:tcBorders>
              <w:top w:val="nil"/>
              <w:left w:val="nil"/>
              <w:bottom w:val="nil"/>
              <w:right w:val="single" w:sz="8" w:space="0" w:color="auto"/>
            </w:tcBorders>
            <w:shd w:val="clear" w:color="auto" w:fill="auto"/>
            <w:noWrap/>
            <w:vAlign w:val="bottom"/>
            <w:hideMark/>
          </w:tcPr>
          <w:p w14:paraId="1B8FDA34" w14:textId="77777777" w:rsidR="00271005" w:rsidRPr="00271005" w:rsidRDefault="00271005" w:rsidP="00271005">
            <w:pPr>
              <w:jc w:val="right"/>
              <w:rPr>
                <w:rFonts w:ascii="Arial CE" w:hAnsi="Arial CE" w:cs="Arial CE"/>
                <w:b/>
                <w:bCs/>
              </w:rPr>
            </w:pPr>
            <w:r w:rsidRPr="00271005">
              <w:rPr>
                <w:rFonts w:ascii="Arial CE" w:hAnsi="Arial CE" w:cs="Arial CE"/>
                <w:b/>
                <w:bCs/>
              </w:rPr>
              <w:t> </w:t>
            </w:r>
          </w:p>
        </w:tc>
      </w:tr>
      <w:tr w:rsidR="00271005" w:rsidRPr="00271005" w14:paraId="3683DA91" w14:textId="77777777" w:rsidTr="00271005">
        <w:trPr>
          <w:trHeight w:val="261"/>
        </w:trPr>
        <w:tc>
          <w:tcPr>
            <w:tcW w:w="2392" w:type="dxa"/>
            <w:tcBorders>
              <w:top w:val="nil"/>
              <w:left w:val="single" w:sz="8" w:space="0" w:color="auto"/>
              <w:bottom w:val="nil"/>
              <w:right w:val="nil"/>
            </w:tcBorders>
            <w:shd w:val="clear" w:color="auto" w:fill="auto"/>
            <w:noWrap/>
            <w:vAlign w:val="bottom"/>
            <w:hideMark/>
          </w:tcPr>
          <w:p w14:paraId="79C31C37" w14:textId="77777777" w:rsidR="00271005" w:rsidRPr="00271005" w:rsidRDefault="00271005" w:rsidP="00271005">
            <w:pPr>
              <w:rPr>
                <w:rFonts w:ascii="Arial CE" w:hAnsi="Arial CE" w:cs="Arial CE"/>
              </w:rPr>
            </w:pPr>
            <w:r w:rsidRPr="00271005">
              <w:rPr>
                <w:rFonts w:ascii="Arial CE" w:hAnsi="Arial CE" w:cs="Arial CE"/>
              </w:rPr>
              <w:t> </w:t>
            </w:r>
          </w:p>
        </w:tc>
        <w:tc>
          <w:tcPr>
            <w:tcW w:w="533" w:type="dxa"/>
            <w:tcBorders>
              <w:top w:val="nil"/>
              <w:left w:val="nil"/>
              <w:bottom w:val="nil"/>
              <w:right w:val="nil"/>
            </w:tcBorders>
            <w:shd w:val="clear" w:color="auto" w:fill="auto"/>
            <w:vAlign w:val="bottom"/>
            <w:hideMark/>
          </w:tcPr>
          <w:p w14:paraId="4D1E5C65" w14:textId="77777777" w:rsidR="00271005" w:rsidRPr="00271005" w:rsidRDefault="00271005" w:rsidP="00271005">
            <w:pPr>
              <w:rPr>
                <w:rFonts w:ascii="Arial CE" w:hAnsi="Arial CE" w:cs="Arial CE"/>
              </w:rPr>
            </w:pPr>
          </w:p>
        </w:tc>
        <w:tc>
          <w:tcPr>
            <w:tcW w:w="3113" w:type="dxa"/>
            <w:gridSpan w:val="2"/>
            <w:tcBorders>
              <w:top w:val="single" w:sz="4" w:space="0" w:color="auto"/>
              <w:left w:val="nil"/>
              <w:bottom w:val="nil"/>
              <w:right w:val="nil"/>
            </w:tcBorders>
            <w:shd w:val="clear" w:color="auto" w:fill="auto"/>
            <w:vAlign w:val="bottom"/>
            <w:hideMark/>
          </w:tcPr>
          <w:p w14:paraId="20CB769F" w14:textId="77777777" w:rsidR="00271005" w:rsidRPr="00271005" w:rsidRDefault="00271005" w:rsidP="00271005">
            <w:pPr>
              <w:jc w:val="center"/>
              <w:rPr>
                <w:rFonts w:ascii="Arial CE" w:hAnsi="Arial CE" w:cs="Arial CE"/>
              </w:rPr>
            </w:pPr>
            <w:r w:rsidRPr="00271005">
              <w:rPr>
                <w:rFonts w:ascii="Arial CE" w:hAnsi="Arial CE" w:cs="Arial CE"/>
              </w:rPr>
              <w:t>Za zhotovitele</w:t>
            </w:r>
          </w:p>
        </w:tc>
        <w:tc>
          <w:tcPr>
            <w:tcW w:w="746" w:type="dxa"/>
            <w:tcBorders>
              <w:top w:val="nil"/>
              <w:left w:val="nil"/>
              <w:bottom w:val="nil"/>
              <w:right w:val="nil"/>
            </w:tcBorders>
            <w:shd w:val="clear" w:color="auto" w:fill="auto"/>
            <w:noWrap/>
            <w:vAlign w:val="bottom"/>
            <w:hideMark/>
          </w:tcPr>
          <w:p w14:paraId="389262C4" w14:textId="77777777" w:rsidR="00271005" w:rsidRPr="00271005" w:rsidRDefault="00271005" w:rsidP="00271005">
            <w:pPr>
              <w:jc w:val="center"/>
              <w:rPr>
                <w:rFonts w:ascii="Arial CE" w:hAnsi="Arial CE" w:cs="Arial CE"/>
              </w:rPr>
            </w:pPr>
          </w:p>
        </w:tc>
        <w:tc>
          <w:tcPr>
            <w:tcW w:w="201" w:type="dxa"/>
            <w:tcBorders>
              <w:top w:val="nil"/>
              <w:left w:val="nil"/>
              <w:bottom w:val="nil"/>
              <w:right w:val="nil"/>
            </w:tcBorders>
            <w:shd w:val="clear" w:color="auto" w:fill="auto"/>
            <w:noWrap/>
            <w:vAlign w:val="bottom"/>
            <w:hideMark/>
          </w:tcPr>
          <w:p w14:paraId="62E3CB19" w14:textId="77777777" w:rsidR="00271005" w:rsidRPr="00271005" w:rsidRDefault="00271005" w:rsidP="00271005"/>
        </w:tc>
        <w:tc>
          <w:tcPr>
            <w:tcW w:w="1527" w:type="dxa"/>
            <w:tcBorders>
              <w:top w:val="nil"/>
              <w:left w:val="nil"/>
              <w:bottom w:val="nil"/>
              <w:right w:val="nil"/>
            </w:tcBorders>
            <w:shd w:val="clear" w:color="auto" w:fill="auto"/>
            <w:noWrap/>
            <w:vAlign w:val="bottom"/>
            <w:hideMark/>
          </w:tcPr>
          <w:p w14:paraId="57F36C60" w14:textId="77777777" w:rsidR="00271005" w:rsidRPr="00271005" w:rsidRDefault="00271005" w:rsidP="00271005">
            <w:pPr>
              <w:jc w:val="center"/>
              <w:rPr>
                <w:rFonts w:ascii="Arial CE" w:hAnsi="Arial CE" w:cs="Arial CE"/>
              </w:rPr>
            </w:pPr>
            <w:r w:rsidRPr="00271005">
              <w:rPr>
                <w:rFonts w:ascii="Arial CE" w:hAnsi="Arial CE" w:cs="Arial CE"/>
              </w:rPr>
              <w:t>Za objednatele</w:t>
            </w:r>
          </w:p>
        </w:tc>
        <w:tc>
          <w:tcPr>
            <w:tcW w:w="1336" w:type="dxa"/>
            <w:tcBorders>
              <w:top w:val="nil"/>
              <w:left w:val="nil"/>
              <w:bottom w:val="nil"/>
              <w:right w:val="nil"/>
            </w:tcBorders>
            <w:shd w:val="clear" w:color="auto" w:fill="auto"/>
            <w:noWrap/>
            <w:vAlign w:val="bottom"/>
            <w:hideMark/>
          </w:tcPr>
          <w:p w14:paraId="3091871A" w14:textId="77777777" w:rsidR="00271005" w:rsidRPr="00271005" w:rsidRDefault="00271005" w:rsidP="00271005">
            <w:pPr>
              <w:jc w:val="center"/>
              <w:rPr>
                <w:rFonts w:ascii="Arial CE" w:hAnsi="Arial CE" w:cs="Arial CE"/>
              </w:rPr>
            </w:pPr>
          </w:p>
        </w:tc>
        <w:tc>
          <w:tcPr>
            <w:tcW w:w="569" w:type="dxa"/>
            <w:tcBorders>
              <w:top w:val="nil"/>
              <w:left w:val="nil"/>
              <w:bottom w:val="nil"/>
              <w:right w:val="single" w:sz="8" w:space="0" w:color="auto"/>
            </w:tcBorders>
            <w:shd w:val="clear" w:color="auto" w:fill="auto"/>
            <w:noWrap/>
            <w:vAlign w:val="bottom"/>
            <w:hideMark/>
          </w:tcPr>
          <w:p w14:paraId="59F8BD52" w14:textId="77777777" w:rsidR="00271005" w:rsidRPr="00271005" w:rsidRDefault="00271005" w:rsidP="00271005">
            <w:pPr>
              <w:jc w:val="right"/>
              <w:rPr>
                <w:rFonts w:ascii="Arial CE" w:hAnsi="Arial CE" w:cs="Arial CE"/>
              </w:rPr>
            </w:pPr>
            <w:r w:rsidRPr="00271005">
              <w:rPr>
                <w:rFonts w:ascii="Arial CE" w:hAnsi="Arial CE" w:cs="Arial CE"/>
              </w:rPr>
              <w:t> </w:t>
            </w:r>
          </w:p>
        </w:tc>
      </w:tr>
      <w:tr w:rsidR="00271005" w:rsidRPr="00271005" w14:paraId="4852C11E" w14:textId="77777777" w:rsidTr="00271005">
        <w:trPr>
          <w:trHeight w:val="277"/>
        </w:trPr>
        <w:tc>
          <w:tcPr>
            <w:tcW w:w="2392" w:type="dxa"/>
            <w:tcBorders>
              <w:top w:val="nil"/>
              <w:left w:val="single" w:sz="8" w:space="0" w:color="auto"/>
              <w:bottom w:val="single" w:sz="8" w:space="0" w:color="auto"/>
              <w:right w:val="nil"/>
            </w:tcBorders>
            <w:shd w:val="clear" w:color="auto" w:fill="auto"/>
            <w:noWrap/>
            <w:vAlign w:val="bottom"/>
            <w:hideMark/>
          </w:tcPr>
          <w:p w14:paraId="7B64B61A" w14:textId="77777777" w:rsidR="00271005" w:rsidRPr="00271005" w:rsidRDefault="00271005" w:rsidP="00271005">
            <w:pPr>
              <w:rPr>
                <w:rFonts w:ascii="Arial CE" w:hAnsi="Arial CE" w:cs="Arial CE"/>
              </w:rPr>
            </w:pPr>
            <w:r w:rsidRPr="00271005">
              <w:rPr>
                <w:rFonts w:ascii="Arial CE" w:hAnsi="Arial CE" w:cs="Arial CE"/>
              </w:rPr>
              <w:t> </w:t>
            </w:r>
          </w:p>
        </w:tc>
        <w:tc>
          <w:tcPr>
            <w:tcW w:w="533" w:type="dxa"/>
            <w:tcBorders>
              <w:top w:val="nil"/>
              <w:left w:val="nil"/>
              <w:bottom w:val="single" w:sz="8" w:space="0" w:color="auto"/>
              <w:right w:val="nil"/>
            </w:tcBorders>
            <w:shd w:val="clear" w:color="auto" w:fill="auto"/>
            <w:vAlign w:val="bottom"/>
            <w:hideMark/>
          </w:tcPr>
          <w:p w14:paraId="61AB03F2" w14:textId="77777777" w:rsidR="00271005" w:rsidRPr="00271005" w:rsidRDefault="00271005" w:rsidP="00271005">
            <w:pPr>
              <w:rPr>
                <w:rFonts w:ascii="Arial CE" w:hAnsi="Arial CE" w:cs="Arial CE"/>
              </w:rPr>
            </w:pPr>
            <w:r w:rsidRPr="00271005">
              <w:rPr>
                <w:rFonts w:ascii="Arial CE" w:hAnsi="Arial CE" w:cs="Arial CE"/>
              </w:rPr>
              <w:t> </w:t>
            </w:r>
          </w:p>
        </w:tc>
        <w:tc>
          <w:tcPr>
            <w:tcW w:w="2357" w:type="dxa"/>
            <w:tcBorders>
              <w:top w:val="nil"/>
              <w:left w:val="nil"/>
              <w:bottom w:val="single" w:sz="8" w:space="0" w:color="auto"/>
              <w:right w:val="nil"/>
            </w:tcBorders>
            <w:shd w:val="clear" w:color="auto" w:fill="auto"/>
            <w:vAlign w:val="bottom"/>
            <w:hideMark/>
          </w:tcPr>
          <w:p w14:paraId="78C34888" w14:textId="77777777" w:rsidR="00271005" w:rsidRPr="00271005" w:rsidRDefault="00271005" w:rsidP="00271005">
            <w:pPr>
              <w:rPr>
                <w:rFonts w:ascii="Arial CE" w:hAnsi="Arial CE" w:cs="Arial CE"/>
              </w:rPr>
            </w:pPr>
            <w:r w:rsidRPr="00271005">
              <w:rPr>
                <w:rFonts w:ascii="Arial CE" w:hAnsi="Arial CE" w:cs="Arial CE"/>
              </w:rPr>
              <w:t> </w:t>
            </w:r>
          </w:p>
        </w:tc>
        <w:tc>
          <w:tcPr>
            <w:tcW w:w="756" w:type="dxa"/>
            <w:tcBorders>
              <w:top w:val="nil"/>
              <w:left w:val="nil"/>
              <w:bottom w:val="single" w:sz="8" w:space="0" w:color="auto"/>
              <w:right w:val="nil"/>
            </w:tcBorders>
            <w:shd w:val="clear" w:color="auto" w:fill="auto"/>
            <w:vAlign w:val="bottom"/>
            <w:hideMark/>
          </w:tcPr>
          <w:p w14:paraId="76C27FA4" w14:textId="77777777" w:rsidR="00271005" w:rsidRPr="00271005" w:rsidRDefault="00271005" w:rsidP="00271005">
            <w:pPr>
              <w:rPr>
                <w:rFonts w:ascii="Arial CE" w:hAnsi="Arial CE" w:cs="Arial CE"/>
              </w:rPr>
            </w:pPr>
            <w:r w:rsidRPr="00271005">
              <w:rPr>
                <w:rFonts w:ascii="Arial CE" w:hAnsi="Arial CE" w:cs="Arial CE"/>
              </w:rPr>
              <w:t> </w:t>
            </w:r>
          </w:p>
        </w:tc>
        <w:tc>
          <w:tcPr>
            <w:tcW w:w="746" w:type="dxa"/>
            <w:tcBorders>
              <w:top w:val="nil"/>
              <w:left w:val="nil"/>
              <w:bottom w:val="single" w:sz="8" w:space="0" w:color="auto"/>
              <w:right w:val="nil"/>
            </w:tcBorders>
            <w:shd w:val="clear" w:color="auto" w:fill="auto"/>
            <w:noWrap/>
            <w:vAlign w:val="bottom"/>
            <w:hideMark/>
          </w:tcPr>
          <w:p w14:paraId="1EA7A8B2" w14:textId="77777777" w:rsidR="00271005" w:rsidRPr="00271005" w:rsidRDefault="00271005" w:rsidP="00271005">
            <w:pPr>
              <w:rPr>
                <w:rFonts w:ascii="Arial CE" w:hAnsi="Arial CE" w:cs="Arial CE"/>
              </w:rPr>
            </w:pPr>
            <w:r w:rsidRPr="00271005">
              <w:rPr>
                <w:rFonts w:ascii="Arial CE" w:hAnsi="Arial CE" w:cs="Arial CE"/>
              </w:rPr>
              <w:t> </w:t>
            </w:r>
          </w:p>
        </w:tc>
        <w:tc>
          <w:tcPr>
            <w:tcW w:w="201" w:type="dxa"/>
            <w:tcBorders>
              <w:top w:val="nil"/>
              <w:left w:val="nil"/>
              <w:bottom w:val="single" w:sz="8" w:space="0" w:color="auto"/>
              <w:right w:val="nil"/>
            </w:tcBorders>
            <w:shd w:val="clear" w:color="auto" w:fill="auto"/>
            <w:noWrap/>
            <w:vAlign w:val="bottom"/>
            <w:hideMark/>
          </w:tcPr>
          <w:p w14:paraId="20FF80B8" w14:textId="77777777" w:rsidR="00271005" w:rsidRPr="00271005" w:rsidRDefault="00271005" w:rsidP="00271005">
            <w:pPr>
              <w:rPr>
                <w:rFonts w:ascii="Arial CE" w:hAnsi="Arial CE" w:cs="Arial CE"/>
              </w:rPr>
            </w:pPr>
            <w:r w:rsidRPr="00271005">
              <w:rPr>
                <w:rFonts w:ascii="Arial CE" w:hAnsi="Arial CE" w:cs="Arial CE"/>
              </w:rPr>
              <w:t> </w:t>
            </w:r>
          </w:p>
        </w:tc>
        <w:tc>
          <w:tcPr>
            <w:tcW w:w="1527" w:type="dxa"/>
            <w:tcBorders>
              <w:top w:val="nil"/>
              <w:left w:val="nil"/>
              <w:bottom w:val="single" w:sz="8" w:space="0" w:color="auto"/>
              <w:right w:val="nil"/>
            </w:tcBorders>
            <w:shd w:val="clear" w:color="auto" w:fill="auto"/>
            <w:noWrap/>
            <w:vAlign w:val="bottom"/>
            <w:hideMark/>
          </w:tcPr>
          <w:p w14:paraId="04F9D456" w14:textId="77777777" w:rsidR="00271005" w:rsidRPr="00271005" w:rsidRDefault="00271005" w:rsidP="00271005">
            <w:pPr>
              <w:rPr>
                <w:rFonts w:ascii="Arial CE" w:hAnsi="Arial CE" w:cs="Arial CE"/>
              </w:rPr>
            </w:pPr>
            <w:r w:rsidRPr="00271005">
              <w:rPr>
                <w:rFonts w:ascii="Arial CE" w:hAnsi="Arial CE" w:cs="Arial CE"/>
              </w:rPr>
              <w:t> </w:t>
            </w:r>
          </w:p>
        </w:tc>
        <w:tc>
          <w:tcPr>
            <w:tcW w:w="1336" w:type="dxa"/>
            <w:tcBorders>
              <w:top w:val="nil"/>
              <w:left w:val="nil"/>
              <w:bottom w:val="single" w:sz="8" w:space="0" w:color="auto"/>
              <w:right w:val="nil"/>
            </w:tcBorders>
            <w:shd w:val="clear" w:color="auto" w:fill="auto"/>
            <w:noWrap/>
            <w:vAlign w:val="bottom"/>
            <w:hideMark/>
          </w:tcPr>
          <w:p w14:paraId="7F539146" w14:textId="77777777" w:rsidR="00271005" w:rsidRPr="00271005" w:rsidRDefault="00271005" w:rsidP="00271005">
            <w:pPr>
              <w:rPr>
                <w:rFonts w:ascii="Arial CE" w:hAnsi="Arial CE" w:cs="Arial CE"/>
              </w:rPr>
            </w:pPr>
            <w:r w:rsidRPr="00271005">
              <w:rPr>
                <w:rFonts w:ascii="Arial CE" w:hAnsi="Arial CE" w:cs="Arial CE"/>
              </w:rPr>
              <w:t> </w:t>
            </w:r>
          </w:p>
        </w:tc>
        <w:tc>
          <w:tcPr>
            <w:tcW w:w="569" w:type="dxa"/>
            <w:tcBorders>
              <w:top w:val="nil"/>
              <w:left w:val="nil"/>
              <w:bottom w:val="single" w:sz="8" w:space="0" w:color="auto"/>
              <w:right w:val="single" w:sz="8" w:space="0" w:color="auto"/>
            </w:tcBorders>
            <w:shd w:val="clear" w:color="auto" w:fill="auto"/>
            <w:noWrap/>
            <w:vAlign w:val="bottom"/>
            <w:hideMark/>
          </w:tcPr>
          <w:p w14:paraId="43F926D0" w14:textId="77777777" w:rsidR="00271005" w:rsidRPr="00271005" w:rsidRDefault="00271005" w:rsidP="00271005">
            <w:pPr>
              <w:jc w:val="right"/>
              <w:rPr>
                <w:rFonts w:ascii="Arial CE" w:hAnsi="Arial CE" w:cs="Arial CE"/>
              </w:rPr>
            </w:pPr>
            <w:r w:rsidRPr="00271005">
              <w:rPr>
                <w:rFonts w:ascii="Arial CE" w:hAnsi="Arial CE" w:cs="Arial CE"/>
              </w:rPr>
              <w:t> </w:t>
            </w:r>
          </w:p>
        </w:tc>
      </w:tr>
    </w:tbl>
    <w:p w14:paraId="4BF38295" w14:textId="160C0FB1" w:rsidR="00271005" w:rsidRPr="00526B1E" w:rsidRDefault="00271005" w:rsidP="00654D89">
      <w:pPr>
        <w:spacing w:before="120"/>
        <w:contextualSpacing/>
        <w:rPr>
          <w:rFonts w:ascii="Arial" w:hAnsi="Arial" w:cs="Arial"/>
        </w:rPr>
      </w:pPr>
    </w:p>
    <w:sectPr w:rsidR="00271005" w:rsidRPr="00526B1E" w:rsidSect="00271005">
      <w:headerReference w:type="default" r:id="rId10"/>
      <w:footerReference w:type="default" r:id="rId11"/>
      <w:pgSz w:w="11906" w:h="16838"/>
      <w:pgMar w:top="720" w:right="720" w:bottom="720" w:left="720" w:header="709" w:footer="709"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E23C43" w16cex:dateUtc="2025-01-04T21:25:00Z"/>
  <w16cex:commentExtensible w16cex:durableId="40D42C42" w16cex:dateUtc="2025-01-04T21:42:00Z"/>
  <w16cex:commentExtensible w16cex:durableId="4E2EABEA" w16cex:dateUtc="2025-01-04T21:43:00Z"/>
  <w16cex:commentExtensible w16cex:durableId="4C8E0C58" w16cex:dateUtc="2025-01-04T22:06:00Z"/>
  <w16cex:commentExtensible w16cex:durableId="11E7DFD1" w16cex:dateUtc="2025-01-04T2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CF9DD" w14:textId="77777777" w:rsidR="00437210" w:rsidRDefault="00437210">
      <w:r>
        <w:separator/>
      </w:r>
    </w:p>
  </w:endnote>
  <w:endnote w:type="continuationSeparator" w:id="0">
    <w:p w14:paraId="31AAEBC0" w14:textId="77777777" w:rsidR="00437210" w:rsidRDefault="00437210">
      <w:r>
        <w:continuationSeparator/>
      </w:r>
    </w:p>
  </w:endnote>
  <w:endnote w:type="continuationNotice" w:id="1">
    <w:p w14:paraId="28884FCF" w14:textId="77777777" w:rsidR="00437210" w:rsidRDefault="00437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CFD7" w14:textId="77777777" w:rsidR="009842A2" w:rsidRDefault="009842A2" w:rsidP="00320A75"/>
  <w:p w14:paraId="549452A8" w14:textId="77777777" w:rsidR="009842A2" w:rsidRPr="003A41D1" w:rsidRDefault="009842A2" w:rsidP="00B55DF9">
    <w:pPr>
      <w:pStyle w:val="Zpat"/>
      <w:tabs>
        <w:tab w:val="clear" w:pos="4536"/>
        <w:tab w:val="clear" w:pos="9072"/>
        <w:tab w:val="right" w:pos="9356"/>
      </w:tabs>
      <w:rPr>
        <w:rFonts w:ascii="Arial" w:hAnsi="Arial" w:cs="Arial"/>
        <w:sz w:val="16"/>
        <w:szCs w:val="18"/>
      </w:rPr>
    </w:pPr>
    <w:r w:rsidRPr="00EE1C28">
      <w:rPr>
        <w:rFonts w:ascii="Arial" w:hAnsi="Arial" w:cs="Arial"/>
        <w:sz w:val="16"/>
      </w:rPr>
      <w:t xml:space="preserve">Úprava </w:t>
    </w:r>
    <w:proofErr w:type="spellStart"/>
    <w:r w:rsidRPr="00EE1C28">
      <w:rPr>
        <w:rFonts w:ascii="Arial" w:hAnsi="Arial" w:cs="Arial"/>
        <w:sz w:val="16"/>
      </w:rPr>
      <w:t>předprostoru</w:t>
    </w:r>
    <w:proofErr w:type="spellEnd"/>
    <w:r w:rsidRPr="00EE1C28">
      <w:rPr>
        <w:rFonts w:ascii="Arial" w:hAnsi="Arial" w:cs="Arial"/>
        <w:sz w:val="16"/>
      </w:rPr>
      <w:t xml:space="preserve"> Knihovny Kroměřížska</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22BE" w14:textId="77777777" w:rsidR="00271005" w:rsidRDefault="00271005" w:rsidP="00320A75"/>
  <w:p w14:paraId="33197DCF" w14:textId="73FC3D2C" w:rsidR="00271005" w:rsidRPr="003A41D1" w:rsidRDefault="00271005" w:rsidP="00B55DF9">
    <w:pPr>
      <w:pStyle w:val="Zpat"/>
      <w:tabs>
        <w:tab w:val="clear" w:pos="4536"/>
        <w:tab w:val="clear" w:pos="9072"/>
        <w:tab w:val="right" w:pos="9356"/>
      </w:tabs>
      <w:rPr>
        <w:rFonts w:ascii="Arial" w:hAnsi="Arial"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7384E" w14:textId="77777777" w:rsidR="00437210" w:rsidRDefault="00437210">
      <w:r>
        <w:separator/>
      </w:r>
    </w:p>
  </w:footnote>
  <w:footnote w:type="continuationSeparator" w:id="0">
    <w:p w14:paraId="5D1772F5" w14:textId="77777777" w:rsidR="00437210" w:rsidRDefault="00437210">
      <w:r>
        <w:continuationSeparator/>
      </w:r>
    </w:p>
  </w:footnote>
  <w:footnote w:type="continuationNotice" w:id="1">
    <w:p w14:paraId="4F6E331F" w14:textId="77777777" w:rsidR="00437210" w:rsidRDefault="00437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8D4F" w14:textId="77777777" w:rsidR="009842A2" w:rsidRPr="00B55DF9" w:rsidRDefault="009842A2" w:rsidP="00B55DF9">
    <w:pPr>
      <w:pStyle w:val="Zhlav"/>
      <w:tabs>
        <w:tab w:val="clear" w:pos="4536"/>
        <w:tab w:val="clear" w:pos="9072"/>
      </w:tabs>
      <w:rPr>
        <w:rFonts w:ascii="Arial" w:hAnsi="Arial" w:cs="Arial"/>
        <w:iCs/>
      </w:rPr>
    </w:pPr>
  </w:p>
  <w:p w14:paraId="1A4510F4" w14:textId="77777777" w:rsidR="009842A2" w:rsidRPr="00D66AA0" w:rsidRDefault="009842A2" w:rsidP="00D66AA0">
    <w:pPr>
      <w:pStyle w:val="Zpat"/>
      <w:jc w:val="center"/>
      <w:rPr>
        <w:color w:val="FFFFFF"/>
      </w:rPr>
    </w:pPr>
    <w:r w:rsidRPr="00854DA2">
      <w:rPr>
        <w:rFonts w:ascii="Arial" w:hAnsi="Arial" w:cs="Arial"/>
        <w:noProof/>
      </w:rPr>
      <w:drawing>
        <wp:inline distT="0" distB="0" distL="0" distR="0" wp14:anchorId="6B38F876" wp14:editId="03A0C820">
          <wp:extent cx="4037965" cy="497205"/>
          <wp:effectExtent l="0" t="0" r="0" b="0"/>
          <wp:docPr id="1" name="obrázek 4" descr="Logo irop na doku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irop na doku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7965" cy="497205"/>
                  </a:xfrm>
                  <a:prstGeom prst="rect">
                    <a:avLst/>
                  </a:prstGeom>
                  <a:noFill/>
                  <a:ln>
                    <a:noFill/>
                  </a:ln>
                </pic:spPr>
              </pic:pic>
            </a:graphicData>
          </a:graphic>
        </wp:inline>
      </w:drawing>
    </w:r>
    <w:r w:rsidRPr="00D66AA0">
      <w:rPr>
        <w:color w:val="FFFFFF"/>
      </w:rPr>
      <w:t>ve</w:t>
    </w:r>
    <w:r w:rsidRPr="006B1E36">
      <w:rPr>
        <w:noProof/>
      </w:rPr>
      <w:drawing>
        <wp:inline distT="0" distB="0" distL="0" distR="0" wp14:anchorId="4A2A1904" wp14:editId="4C0E7A6E">
          <wp:extent cx="1323975" cy="490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490220"/>
                  </a:xfrm>
                  <a:prstGeom prst="rect">
                    <a:avLst/>
                  </a:prstGeom>
                  <a:noFill/>
                  <a:ln>
                    <a:noFill/>
                  </a:ln>
                </pic:spPr>
              </pic:pic>
            </a:graphicData>
          </a:graphic>
        </wp:inline>
      </w:drawing>
    </w:r>
    <w:r w:rsidRPr="00D66AA0">
      <w:rPr>
        <w:color w:val="FFFFFF"/>
      </w:rPr>
      <w:t>5-2023</w:t>
    </w:r>
  </w:p>
  <w:p w14:paraId="66A820DA" w14:textId="77777777" w:rsidR="009842A2" w:rsidRDefault="009842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9123" w14:textId="77777777" w:rsidR="00271005" w:rsidRPr="00B55DF9" w:rsidRDefault="00271005" w:rsidP="00B55DF9">
    <w:pPr>
      <w:pStyle w:val="Zhlav"/>
      <w:tabs>
        <w:tab w:val="clear" w:pos="4536"/>
        <w:tab w:val="clear" w:pos="9072"/>
      </w:tabs>
      <w:rPr>
        <w:rFonts w:ascii="Arial" w:hAnsi="Arial" w:cs="Arial"/>
        <w:iCs/>
      </w:rPr>
    </w:pPr>
  </w:p>
  <w:p w14:paraId="626ED164" w14:textId="74A9EDE7" w:rsidR="00271005" w:rsidRPr="00D66AA0" w:rsidRDefault="00271005" w:rsidP="00D66AA0">
    <w:pPr>
      <w:pStyle w:val="Zpat"/>
      <w:jc w:val="center"/>
      <w:rPr>
        <w:color w:val="FFFFFF"/>
      </w:rPr>
    </w:pPr>
    <w:r w:rsidRPr="00D66AA0">
      <w:rPr>
        <w:color w:val="FFFFFF"/>
      </w:rPr>
      <w:t>ve5-2023</w:t>
    </w:r>
  </w:p>
  <w:p w14:paraId="5063D5D3" w14:textId="77777777" w:rsidR="00271005" w:rsidRDefault="0027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5"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3"/>
  </w:num>
  <w:num w:numId="6">
    <w:abstractNumId w:val="13"/>
  </w:num>
  <w:num w:numId="7">
    <w:abstractNumId w:val="17"/>
  </w:num>
  <w:num w:numId="8">
    <w:abstractNumId w:val="8"/>
  </w:num>
  <w:num w:numId="9">
    <w:abstractNumId w:val="9"/>
  </w:num>
  <w:num w:numId="10">
    <w:abstractNumId w:val="18"/>
  </w:num>
  <w:num w:numId="11">
    <w:abstractNumId w:val="16"/>
  </w:num>
  <w:num w:numId="12">
    <w:abstractNumId w:val="19"/>
  </w:num>
  <w:num w:numId="13">
    <w:abstractNumId w:val="21"/>
  </w:num>
  <w:num w:numId="14">
    <w:abstractNumId w:val="12"/>
  </w:num>
  <w:num w:numId="15">
    <w:abstractNumId w:val="6"/>
  </w:num>
  <w:num w:numId="16">
    <w:abstractNumId w:val="11"/>
  </w:num>
  <w:num w:numId="17">
    <w:abstractNumId w:val="10"/>
  </w:num>
  <w:num w:numId="18">
    <w:abstractNumId w:val="15"/>
  </w:num>
  <w:num w:numId="19">
    <w:abstractNumId w:val="13"/>
  </w:num>
  <w:num w:numId="20">
    <w:abstractNumId w:val="13"/>
  </w:num>
  <w:num w:numId="21">
    <w:abstractNumId w:val="14"/>
  </w:num>
  <w:num w:numId="22">
    <w:abstractNumId w:val="13"/>
  </w:num>
  <w:num w:numId="23">
    <w:abstractNumId w:val="20"/>
  </w:num>
  <w:num w:numId="24">
    <w:abstractNumId w:val="13"/>
  </w:num>
  <w:num w:numId="25">
    <w:abstractNumId w:val="13"/>
  </w:num>
  <w:num w:numId="26">
    <w:abstractNumId w:val="4"/>
  </w:num>
  <w:num w:numId="27">
    <w:abstractNumId w:val="5"/>
  </w:num>
  <w:num w:numId="28">
    <w:abstractNumId w:val="7"/>
  </w:num>
  <w:num w:numId="29">
    <w:abstractNumId w:val="22"/>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EF8"/>
    <w:rsid w:val="00005B4C"/>
    <w:rsid w:val="00005C05"/>
    <w:rsid w:val="0000770F"/>
    <w:rsid w:val="00007775"/>
    <w:rsid w:val="00011F76"/>
    <w:rsid w:val="00012065"/>
    <w:rsid w:val="000148C4"/>
    <w:rsid w:val="00020140"/>
    <w:rsid w:val="000202DF"/>
    <w:rsid w:val="0002046A"/>
    <w:rsid w:val="0002086A"/>
    <w:rsid w:val="00021898"/>
    <w:rsid w:val="000233F8"/>
    <w:rsid w:val="00025842"/>
    <w:rsid w:val="000261E1"/>
    <w:rsid w:val="00026A13"/>
    <w:rsid w:val="00027FF6"/>
    <w:rsid w:val="00034879"/>
    <w:rsid w:val="00036445"/>
    <w:rsid w:val="00036502"/>
    <w:rsid w:val="00036E60"/>
    <w:rsid w:val="0003700A"/>
    <w:rsid w:val="000376A2"/>
    <w:rsid w:val="00037C23"/>
    <w:rsid w:val="000422AA"/>
    <w:rsid w:val="00044ACC"/>
    <w:rsid w:val="00045B90"/>
    <w:rsid w:val="00050AF2"/>
    <w:rsid w:val="000514AA"/>
    <w:rsid w:val="00052330"/>
    <w:rsid w:val="00052403"/>
    <w:rsid w:val="000529A6"/>
    <w:rsid w:val="00053DB8"/>
    <w:rsid w:val="00054722"/>
    <w:rsid w:val="00055883"/>
    <w:rsid w:val="000561C8"/>
    <w:rsid w:val="00056F3E"/>
    <w:rsid w:val="00057716"/>
    <w:rsid w:val="00060989"/>
    <w:rsid w:val="0006235D"/>
    <w:rsid w:val="00064446"/>
    <w:rsid w:val="00064714"/>
    <w:rsid w:val="00066D3B"/>
    <w:rsid w:val="00074800"/>
    <w:rsid w:val="0007561D"/>
    <w:rsid w:val="00075687"/>
    <w:rsid w:val="000830AB"/>
    <w:rsid w:val="00083D2C"/>
    <w:rsid w:val="000844EC"/>
    <w:rsid w:val="0008689A"/>
    <w:rsid w:val="00090805"/>
    <w:rsid w:val="0009128B"/>
    <w:rsid w:val="000915D8"/>
    <w:rsid w:val="00091FAD"/>
    <w:rsid w:val="00094B95"/>
    <w:rsid w:val="000961E3"/>
    <w:rsid w:val="00096258"/>
    <w:rsid w:val="00096805"/>
    <w:rsid w:val="000A0BF2"/>
    <w:rsid w:val="000A4525"/>
    <w:rsid w:val="000A78B7"/>
    <w:rsid w:val="000B00A4"/>
    <w:rsid w:val="000B16E8"/>
    <w:rsid w:val="000B3005"/>
    <w:rsid w:val="000B46F8"/>
    <w:rsid w:val="000B782D"/>
    <w:rsid w:val="000B7990"/>
    <w:rsid w:val="000C03F1"/>
    <w:rsid w:val="000C12A2"/>
    <w:rsid w:val="000C1745"/>
    <w:rsid w:val="000C33E0"/>
    <w:rsid w:val="000C37B8"/>
    <w:rsid w:val="000C47EC"/>
    <w:rsid w:val="000C5A16"/>
    <w:rsid w:val="000C6357"/>
    <w:rsid w:val="000C693D"/>
    <w:rsid w:val="000C6A06"/>
    <w:rsid w:val="000C7066"/>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101027"/>
    <w:rsid w:val="0010146C"/>
    <w:rsid w:val="00102499"/>
    <w:rsid w:val="0010309B"/>
    <w:rsid w:val="00103ACC"/>
    <w:rsid w:val="001058BE"/>
    <w:rsid w:val="00105DE5"/>
    <w:rsid w:val="001065BF"/>
    <w:rsid w:val="001114A5"/>
    <w:rsid w:val="00111D9E"/>
    <w:rsid w:val="001144E2"/>
    <w:rsid w:val="0012332A"/>
    <w:rsid w:val="00123E27"/>
    <w:rsid w:val="0012413A"/>
    <w:rsid w:val="00124806"/>
    <w:rsid w:val="001260E4"/>
    <w:rsid w:val="0012703B"/>
    <w:rsid w:val="001276E0"/>
    <w:rsid w:val="001310A1"/>
    <w:rsid w:val="001314F4"/>
    <w:rsid w:val="00131E5F"/>
    <w:rsid w:val="00133EE7"/>
    <w:rsid w:val="00134706"/>
    <w:rsid w:val="0013497E"/>
    <w:rsid w:val="00134DAF"/>
    <w:rsid w:val="0013579E"/>
    <w:rsid w:val="00135975"/>
    <w:rsid w:val="00140AA7"/>
    <w:rsid w:val="00140CC7"/>
    <w:rsid w:val="0014222D"/>
    <w:rsid w:val="0014291F"/>
    <w:rsid w:val="001460D3"/>
    <w:rsid w:val="00146F17"/>
    <w:rsid w:val="00147EEA"/>
    <w:rsid w:val="00150146"/>
    <w:rsid w:val="00150E18"/>
    <w:rsid w:val="001561FA"/>
    <w:rsid w:val="001606F2"/>
    <w:rsid w:val="00160C1B"/>
    <w:rsid w:val="0016124D"/>
    <w:rsid w:val="00163501"/>
    <w:rsid w:val="001656AD"/>
    <w:rsid w:val="00165CFE"/>
    <w:rsid w:val="001660EE"/>
    <w:rsid w:val="0016672E"/>
    <w:rsid w:val="0016692D"/>
    <w:rsid w:val="00170E7E"/>
    <w:rsid w:val="00172CA4"/>
    <w:rsid w:val="00173E91"/>
    <w:rsid w:val="00174B86"/>
    <w:rsid w:val="00174B8E"/>
    <w:rsid w:val="00180B3B"/>
    <w:rsid w:val="00181A1E"/>
    <w:rsid w:val="0018735A"/>
    <w:rsid w:val="001876EB"/>
    <w:rsid w:val="00187A22"/>
    <w:rsid w:val="00190A82"/>
    <w:rsid w:val="00190FFD"/>
    <w:rsid w:val="0019402B"/>
    <w:rsid w:val="00197090"/>
    <w:rsid w:val="00197CBD"/>
    <w:rsid w:val="00197EBC"/>
    <w:rsid w:val="001A11B8"/>
    <w:rsid w:val="001A6B43"/>
    <w:rsid w:val="001A7366"/>
    <w:rsid w:val="001B0289"/>
    <w:rsid w:val="001B2ECB"/>
    <w:rsid w:val="001B43F9"/>
    <w:rsid w:val="001B4C21"/>
    <w:rsid w:val="001B4F81"/>
    <w:rsid w:val="001B5FBE"/>
    <w:rsid w:val="001B5FE2"/>
    <w:rsid w:val="001C1ACB"/>
    <w:rsid w:val="001C2664"/>
    <w:rsid w:val="001C31F0"/>
    <w:rsid w:val="001C4A6F"/>
    <w:rsid w:val="001C50CF"/>
    <w:rsid w:val="001C7897"/>
    <w:rsid w:val="001D1D82"/>
    <w:rsid w:val="001D2770"/>
    <w:rsid w:val="001D42DF"/>
    <w:rsid w:val="001D50DE"/>
    <w:rsid w:val="001D5AE9"/>
    <w:rsid w:val="001D74AB"/>
    <w:rsid w:val="001E0299"/>
    <w:rsid w:val="001E0B3F"/>
    <w:rsid w:val="001E133E"/>
    <w:rsid w:val="001E2A65"/>
    <w:rsid w:val="001E2EE4"/>
    <w:rsid w:val="001E2FD5"/>
    <w:rsid w:val="001E4145"/>
    <w:rsid w:val="001E46E0"/>
    <w:rsid w:val="001F0B45"/>
    <w:rsid w:val="001F5116"/>
    <w:rsid w:val="001F54A8"/>
    <w:rsid w:val="001F6C9F"/>
    <w:rsid w:val="001F6D63"/>
    <w:rsid w:val="001F75E1"/>
    <w:rsid w:val="0020301E"/>
    <w:rsid w:val="00204ED4"/>
    <w:rsid w:val="00205EA2"/>
    <w:rsid w:val="00206917"/>
    <w:rsid w:val="00207376"/>
    <w:rsid w:val="002079DB"/>
    <w:rsid w:val="00213B94"/>
    <w:rsid w:val="00214EC6"/>
    <w:rsid w:val="00215733"/>
    <w:rsid w:val="00220CB1"/>
    <w:rsid w:val="00220CE2"/>
    <w:rsid w:val="00225F05"/>
    <w:rsid w:val="00225FC3"/>
    <w:rsid w:val="002270F3"/>
    <w:rsid w:val="0023294E"/>
    <w:rsid w:val="00232C7A"/>
    <w:rsid w:val="0023362C"/>
    <w:rsid w:val="00234057"/>
    <w:rsid w:val="00240515"/>
    <w:rsid w:val="002425F8"/>
    <w:rsid w:val="002426FC"/>
    <w:rsid w:val="00243129"/>
    <w:rsid w:val="002471F6"/>
    <w:rsid w:val="002502FB"/>
    <w:rsid w:val="00250797"/>
    <w:rsid w:val="00251203"/>
    <w:rsid w:val="0025273B"/>
    <w:rsid w:val="00255B61"/>
    <w:rsid w:val="00256296"/>
    <w:rsid w:val="0026043B"/>
    <w:rsid w:val="0026198B"/>
    <w:rsid w:val="0026205C"/>
    <w:rsid w:val="00262737"/>
    <w:rsid w:val="00263226"/>
    <w:rsid w:val="002636D0"/>
    <w:rsid w:val="002648E1"/>
    <w:rsid w:val="00265FFC"/>
    <w:rsid w:val="0027061E"/>
    <w:rsid w:val="00271005"/>
    <w:rsid w:val="002716A7"/>
    <w:rsid w:val="002726EC"/>
    <w:rsid w:val="00272723"/>
    <w:rsid w:val="002761BC"/>
    <w:rsid w:val="0027687E"/>
    <w:rsid w:val="002800DB"/>
    <w:rsid w:val="002813D4"/>
    <w:rsid w:val="00281E32"/>
    <w:rsid w:val="00282AA0"/>
    <w:rsid w:val="002833F5"/>
    <w:rsid w:val="00284A20"/>
    <w:rsid w:val="00285B7A"/>
    <w:rsid w:val="00285C42"/>
    <w:rsid w:val="002916E0"/>
    <w:rsid w:val="00293B4E"/>
    <w:rsid w:val="0029681F"/>
    <w:rsid w:val="002A0286"/>
    <w:rsid w:val="002A4613"/>
    <w:rsid w:val="002A5158"/>
    <w:rsid w:val="002A5E02"/>
    <w:rsid w:val="002B04C7"/>
    <w:rsid w:val="002B0A73"/>
    <w:rsid w:val="002B0EBD"/>
    <w:rsid w:val="002B6B4B"/>
    <w:rsid w:val="002C125F"/>
    <w:rsid w:val="002C2220"/>
    <w:rsid w:val="002C2356"/>
    <w:rsid w:val="002C2B23"/>
    <w:rsid w:val="002C367F"/>
    <w:rsid w:val="002C3AA3"/>
    <w:rsid w:val="002C3B64"/>
    <w:rsid w:val="002C54BA"/>
    <w:rsid w:val="002D150E"/>
    <w:rsid w:val="002D2BD5"/>
    <w:rsid w:val="002D49BD"/>
    <w:rsid w:val="002D58CE"/>
    <w:rsid w:val="002D65C1"/>
    <w:rsid w:val="002E22E2"/>
    <w:rsid w:val="002E2BD4"/>
    <w:rsid w:val="002E4F29"/>
    <w:rsid w:val="002E5D7A"/>
    <w:rsid w:val="002E5FBE"/>
    <w:rsid w:val="002F4311"/>
    <w:rsid w:val="002F5DD7"/>
    <w:rsid w:val="002F6E61"/>
    <w:rsid w:val="00300BE4"/>
    <w:rsid w:val="00301AE5"/>
    <w:rsid w:val="00301C7B"/>
    <w:rsid w:val="00303719"/>
    <w:rsid w:val="00303FEE"/>
    <w:rsid w:val="00306A31"/>
    <w:rsid w:val="00311DCF"/>
    <w:rsid w:val="00311EF1"/>
    <w:rsid w:val="003124A1"/>
    <w:rsid w:val="00312934"/>
    <w:rsid w:val="00313C88"/>
    <w:rsid w:val="00313D9E"/>
    <w:rsid w:val="00316DAC"/>
    <w:rsid w:val="00320A75"/>
    <w:rsid w:val="00320FFA"/>
    <w:rsid w:val="0032371F"/>
    <w:rsid w:val="0032408E"/>
    <w:rsid w:val="00325B9E"/>
    <w:rsid w:val="00326BD9"/>
    <w:rsid w:val="00326CC1"/>
    <w:rsid w:val="0032748C"/>
    <w:rsid w:val="003318A9"/>
    <w:rsid w:val="00332F8C"/>
    <w:rsid w:val="00336721"/>
    <w:rsid w:val="003468E3"/>
    <w:rsid w:val="00346B56"/>
    <w:rsid w:val="00347E8D"/>
    <w:rsid w:val="00347F92"/>
    <w:rsid w:val="0035053F"/>
    <w:rsid w:val="00351FA0"/>
    <w:rsid w:val="00352BE0"/>
    <w:rsid w:val="00352F05"/>
    <w:rsid w:val="003555D9"/>
    <w:rsid w:val="003576C0"/>
    <w:rsid w:val="0036532C"/>
    <w:rsid w:val="00370512"/>
    <w:rsid w:val="0037294B"/>
    <w:rsid w:val="0037539D"/>
    <w:rsid w:val="00375AD7"/>
    <w:rsid w:val="00375F02"/>
    <w:rsid w:val="003768D6"/>
    <w:rsid w:val="00376D76"/>
    <w:rsid w:val="00377098"/>
    <w:rsid w:val="00377C7E"/>
    <w:rsid w:val="0038488C"/>
    <w:rsid w:val="00384F6B"/>
    <w:rsid w:val="00390699"/>
    <w:rsid w:val="00390874"/>
    <w:rsid w:val="00393980"/>
    <w:rsid w:val="00394F0D"/>
    <w:rsid w:val="003950F2"/>
    <w:rsid w:val="00396BDC"/>
    <w:rsid w:val="003A00AA"/>
    <w:rsid w:val="003A14A3"/>
    <w:rsid w:val="003A41D1"/>
    <w:rsid w:val="003A4798"/>
    <w:rsid w:val="003A67B9"/>
    <w:rsid w:val="003A6C0F"/>
    <w:rsid w:val="003A6C5C"/>
    <w:rsid w:val="003A7376"/>
    <w:rsid w:val="003A749E"/>
    <w:rsid w:val="003B3E38"/>
    <w:rsid w:val="003B64BF"/>
    <w:rsid w:val="003B68BA"/>
    <w:rsid w:val="003B6D45"/>
    <w:rsid w:val="003B747C"/>
    <w:rsid w:val="003C013C"/>
    <w:rsid w:val="003C04C5"/>
    <w:rsid w:val="003C3367"/>
    <w:rsid w:val="003C560E"/>
    <w:rsid w:val="003C6DA7"/>
    <w:rsid w:val="003C7426"/>
    <w:rsid w:val="003C7FFC"/>
    <w:rsid w:val="003D4E71"/>
    <w:rsid w:val="003D75BD"/>
    <w:rsid w:val="003E0BBA"/>
    <w:rsid w:val="003E1638"/>
    <w:rsid w:val="003E2864"/>
    <w:rsid w:val="003E2DEA"/>
    <w:rsid w:val="003E36AE"/>
    <w:rsid w:val="003E3C5D"/>
    <w:rsid w:val="003E4C4D"/>
    <w:rsid w:val="003E5CC9"/>
    <w:rsid w:val="003E6776"/>
    <w:rsid w:val="003F005B"/>
    <w:rsid w:val="003F375E"/>
    <w:rsid w:val="003F41DD"/>
    <w:rsid w:val="003F56B3"/>
    <w:rsid w:val="004011CF"/>
    <w:rsid w:val="00401F61"/>
    <w:rsid w:val="00403C8A"/>
    <w:rsid w:val="00404E18"/>
    <w:rsid w:val="00410C71"/>
    <w:rsid w:val="00410DC0"/>
    <w:rsid w:val="00411B78"/>
    <w:rsid w:val="00412961"/>
    <w:rsid w:val="0041731D"/>
    <w:rsid w:val="0041744E"/>
    <w:rsid w:val="0042028B"/>
    <w:rsid w:val="00420E0B"/>
    <w:rsid w:val="00421A5D"/>
    <w:rsid w:val="00421AAD"/>
    <w:rsid w:val="00422A38"/>
    <w:rsid w:val="00430596"/>
    <w:rsid w:val="00430E63"/>
    <w:rsid w:val="00431F65"/>
    <w:rsid w:val="0043343F"/>
    <w:rsid w:val="00434849"/>
    <w:rsid w:val="004354BD"/>
    <w:rsid w:val="00437122"/>
    <w:rsid w:val="00437210"/>
    <w:rsid w:val="004375C7"/>
    <w:rsid w:val="004379DD"/>
    <w:rsid w:val="00441CA0"/>
    <w:rsid w:val="00442E4B"/>
    <w:rsid w:val="00444869"/>
    <w:rsid w:val="004448DC"/>
    <w:rsid w:val="004463B8"/>
    <w:rsid w:val="00447001"/>
    <w:rsid w:val="00452AA9"/>
    <w:rsid w:val="00452B32"/>
    <w:rsid w:val="00452BB7"/>
    <w:rsid w:val="00453491"/>
    <w:rsid w:val="004534D4"/>
    <w:rsid w:val="004556FD"/>
    <w:rsid w:val="00457B55"/>
    <w:rsid w:val="0046278A"/>
    <w:rsid w:val="00464A95"/>
    <w:rsid w:val="00464DE8"/>
    <w:rsid w:val="00464E9C"/>
    <w:rsid w:val="004746E9"/>
    <w:rsid w:val="00474833"/>
    <w:rsid w:val="0047512B"/>
    <w:rsid w:val="004815DA"/>
    <w:rsid w:val="0048193A"/>
    <w:rsid w:val="00481A65"/>
    <w:rsid w:val="00482283"/>
    <w:rsid w:val="00483526"/>
    <w:rsid w:val="00484ABC"/>
    <w:rsid w:val="0048531D"/>
    <w:rsid w:val="00486597"/>
    <w:rsid w:val="00486F22"/>
    <w:rsid w:val="00492E06"/>
    <w:rsid w:val="004938A3"/>
    <w:rsid w:val="00493EE9"/>
    <w:rsid w:val="00495A19"/>
    <w:rsid w:val="00497A14"/>
    <w:rsid w:val="00497EC9"/>
    <w:rsid w:val="004A019E"/>
    <w:rsid w:val="004A1037"/>
    <w:rsid w:val="004A23A9"/>
    <w:rsid w:val="004A472D"/>
    <w:rsid w:val="004A5F5B"/>
    <w:rsid w:val="004B0152"/>
    <w:rsid w:val="004B354F"/>
    <w:rsid w:val="004B4E73"/>
    <w:rsid w:val="004B59FF"/>
    <w:rsid w:val="004B6C74"/>
    <w:rsid w:val="004B6F77"/>
    <w:rsid w:val="004C1B1C"/>
    <w:rsid w:val="004C1FB8"/>
    <w:rsid w:val="004C2433"/>
    <w:rsid w:val="004C30CE"/>
    <w:rsid w:val="004C4009"/>
    <w:rsid w:val="004C5586"/>
    <w:rsid w:val="004C59EA"/>
    <w:rsid w:val="004C69EC"/>
    <w:rsid w:val="004D1367"/>
    <w:rsid w:val="004D1852"/>
    <w:rsid w:val="004D2A34"/>
    <w:rsid w:val="004D351C"/>
    <w:rsid w:val="004D36B3"/>
    <w:rsid w:val="004D6769"/>
    <w:rsid w:val="004D75C8"/>
    <w:rsid w:val="004E18C8"/>
    <w:rsid w:val="004E1E8D"/>
    <w:rsid w:val="004E26B5"/>
    <w:rsid w:val="004E2DD9"/>
    <w:rsid w:val="004E396F"/>
    <w:rsid w:val="004E3F17"/>
    <w:rsid w:val="004E4715"/>
    <w:rsid w:val="004E5C4C"/>
    <w:rsid w:val="004E784E"/>
    <w:rsid w:val="004E7BCB"/>
    <w:rsid w:val="004F018F"/>
    <w:rsid w:val="004F207F"/>
    <w:rsid w:val="004F279F"/>
    <w:rsid w:val="004F4C3A"/>
    <w:rsid w:val="004F703D"/>
    <w:rsid w:val="004F76FF"/>
    <w:rsid w:val="00500161"/>
    <w:rsid w:val="00502B0A"/>
    <w:rsid w:val="00503802"/>
    <w:rsid w:val="00505457"/>
    <w:rsid w:val="00505AE5"/>
    <w:rsid w:val="0050679D"/>
    <w:rsid w:val="00511A15"/>
    <w:rsid w:val="00511CDA"/>
    <w:rsid w:val="00513104"/>
    <w:rsid w:val="0051329F"/>
    <w:rsid w:val="0051488F"/>
    <w:rsid w:val="005154F4"/>
    <w:rsid w:val="005169E1"/>
    <w:rsid w:val="00521672"/>
    <w:rsid w:val="00522BCA"/>
    <w:rsid w:val="00523C7E"/>
    <w:rsid w:val="00524A6E"/>
    <w:rsid w:val="00526B1E"/>
    <w:rsid w:val="005279F6"/>
    <w:rsid w:val="00530B00"/>
    <w:rsid w:val="00530F9C"/>
    <w:rsid w:val="00531EFD"/>
    <w:rsid w:val="00532130"/>
    <w:rsid w:val="00532994"/>
    <w:rsid w:val="00532F32"/>
    <w:rsid w:val="00534331"/>
    <w:rsid w:val="00535213"/>
    <w:rsid w:val="00537DB5"/>
    <w:rsid w:val="005401DA"/>
    <w:rsid w:val="00542DD7"/>
    <w:rsid w:val="005464D3"/>
    <w:rsid w:val="00550AC9"/>
    <w:rsid w:val="005519E7"/>
    <w:rsid w:val="005537C4"/>
    <w:rsid w:val="005555E6"/>
    <w:rsid w:val="00556767"/>
    <w:rsid w:val="00556CB7"/>
    <w:rsid w:val="00557034"/>
    <w:rsid w:val="00557EA4"/>
    <w:rsid w:val="00560E42"/>
    <w:rsid w:val="0056383D"/>
    <w:rsid w:val="00563E86"/>
    <w:rsid w:val="00563EA7"/>
    <w:rsid w:val="00565140"/>
    <w:rsid w:val="00566C73"/>
    <w:rsid w:val="00566E22"/>
    <w:rsid w:val="00567400"/>
    <w:rsid w:val="005701F2"/>
    <w:rsid w:val="005703B9"/>
    <w:rsid w:val="005715D9"/>
    <w:rsid w:val="00573916"/>
    <w:rsid w:val="00573B56"/>
    <w:rsid w:val="00581148"/>
    <w:rsid w:val="0058212F"/>
    <w:rsid w:val="00594538"/>
    <w:rsid w:val="00595A2E"/>
    <w:rsid w:val="00595A34"/>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733B"/>
    <w:rsid w:val="005D106A"/>
    <w:rsid w:val="005D3150"/>
    <w:rsid w:val="005D6919"/>
    <w:rsid w:val="005D76DC"/>
    <w:rsid w:val="005E0122"/>
    <w:rsid w:val="005E09BC"/>
    <w:rsid w:val="005E2329"/>
    <w:rsid w:val="005E371B"/>
    <w:rsid w:val="005E3960"/>
    <w:rsid w:val="005E3D65"/>
    <w:rsid w:val="005E63BF"/>
    <w:rsid w:val="005F00C8"/>
    <w:rsid w:val="005F09EE"/>
    <w:rsid w:val="005F1EF7"/>
    <w:rsid w:val="005F427F"/>
    <w:rsid w:val="005F68BA"/>
    <w:rsid w:val="005F6ACD"/>
    <w:rsid w:val="0060092A"/>
    <w:rsid w:val="00601611"/>
    <w:rsid w:val="00601924"/>
    <w:rsid w:val="00602026"/>
    <w:rsid w:val="00603636"/>
    <w:rsid w:val="006041D4"/>
    <w:rsid w:val="00604EA6"/>
    <w:rsid w:val="00605703"/>
    <w:rsid w:val="006068C8"/>
    <w:rsid w:val="00606989"/>
    <w:rsid w:val="00607DB6"/>
    <w:rsid w:val="00610263"/>
    <w:rsid w:val="00610F16"/>
    <w:rsid w:val="0061135B"/>
    <w:rsid w:val="00611B2F"/>
    <w:rsid w:val="00612038"/>
    <w:rsid w:val="00612D9A"/>
    <w:rsid w:val="00613AF7"/>
    <w:rsid w:val="006141DE"/>
    <w:rsid w:val="006156E3"/>
    <w:rsid w:val="00617D8F"/>
    <w:rsid w:val="00620846"/>
    <w:rsid w:val="00622714"/>
    <w:rsid w:val="00624518"/>
    <w:rsid w:val="00624AF9"/>
    <w:rsid w:val="006258CF"/>
    <w:rsid w:val="00626367"/>
    <w:rsid w:val="00627D61"/>
    <w:rsid w:val="006309DD"/>
    <w:rsid w:val="00631970"/>
    <w:rsid w:val="00631B7D"/>
    <w:rsid w:val="00631F01"/>
    <w:rsid w:val="00633F5C"/>
    <w:rsid w:val="00634219"/>
    <w:rsid w:val="00635971"/>
    <w:rsid w:val="00636053"/>
    <w:rsid w:val="00636584"/>
    <w:rsid w:val="00637347"/>
    <w:rsid w:val="0064001A"/>
    <w:rsid w:val="00640611"/>
    <w:rsid w:val="00640D5C"/>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77E2"/>
    <w:rsid w:val="00663488"/>
    <w:rsid w:val="006652C7"/>
    <w:rsid w:val="006661E3"/>
    <w:rsid w:val="00667A59"/>
    <w:rsid w:val="00670F4E"/>
    <w:rsid w:val="00675A6A"/>
    <w:rsid w:val="006767B6"/>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E31"/>
    <w:rsid w:val="006C7EEA"/>
    <w:rsid w:val="006D1ABC"/>
    <w:rsid w:val="006D2C2C"/>
    <w:rsid w:val="006E2146"/>
    <w:rsid w:val="006E27EA"/>
    <w:rsid w:val="006E3596"/>
    <w:rsid w:val="006E3804"/>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44C"/>
    <w:rsid w:val="007237AC"/>
    <w:rsid w:val="007256AC"/>
    <w:rsid w:val="0072585E"/>
    <w:rsid w:val="00725B26"/>
    <w:rsid w:val="007261A2"/>
    <w:rsid w:val="00726873"/>
    <w:rsid w:val="0072780D"/>
    <w:rsid w:val="00731DCC"/>
    <w:rsid w:val="00733334"/>
    <w:rsid w:val="00733BF7"/>
    <w:rsid w:val="00734E9F"/>
    <w:rsid w:val="00736138"/>
    <w:rsid w:val="00736BDA"/>
    <w:rsid w:val="0073725E"/>
    <w:rsid w:val="00740A62"/>
    <w:rsid w:val="00742A0C"/>
    <w:rsid w:val="0074367C"/>
    <w:rsid w:val="007440E3"/>
    <w:rsid w:val="00745EBA"/>
    <w:rsid w:val="0075207D"/>
    <w:rsid w:val="00754A78"/>
    <w:rsid w:val="00754C0A"/>
    <w:rsid w:val="0075547E"/>
    <w:rsid w:val="00755F37"/>
    <w:rsid w:val="007574BA"/>
    <w:rsid w:val="00760054"/>
    <w:rsid w:val="007603E0"/>
    <w:rsid w:val="00760E56"/>
    <w:rsid w:val="00761EAC"/>
    <w:rsid w:val="00763E3E"/>
    <w:rsid w:val="00763EBA"/>
    <w:rsid w:val="00765722"/>
    <w:rsid w:val="00765F67"/>
    <w:rsid w:val="0076640E"/>
    <w:rsid w:val="00766B96"/>
    <w:rsid w:val="00766D3F"/>
    <w:rsid w:val="0077060F"/>
    <w:rsid w:val="007711D8"/>
    <w:rsid w:val="00771C8F"/>
    <w:rsid w:val="00772CBE"/>
    <w:rsid w:val="00774A31"/>
    <w:rsid w:val="007753E1"/>
    <w:rsid w:val="00776C9C"/>
    <w:rsid w:val="00782C6D"/>
    <w:rsid w:val="007839F7"/>
    <w:rsid w:val="00785464"/>
    <w:rsid w:val="0078600F"/>
    <w:rsid w:val="00787889"/>
    <w:rsid w:val="007928E4"/>
    <w:rsid w:val="007939C5"/>
    <w:rsid w:val="00793F81"/>
    <w:rsid w:val="007A2243"/>
    <w:rsid w:val="007A30AD"/>
    <w:rsid w:val="007A38D0"/>
    <w:rsid w:val="007B0553"/>
    <w:rsid w:val="007B0BF0"/>
    <w:rsid w:val="007B28E7"/>
    <w:rsid w:val="007B3C19"/>
    <w:rsid w:val="007B4DCE"/>
    <w:rsid w:val="007C0A5D"/>
    <w:rsid w:val="007C1BD3"/>
    <w:rsid w:val="007C327E"/>
    <w:rsid w:val="007C559F"/>
    <w:rsid w:val="007D0CA5"/>
    <w:rsid w:val="007D282B"/>
    <w:rsid w:val="007D581D"/>
    <w:rsid w:val="007D6F0A"/>
    <w:rsid w:val="007E1C26"/>
    <w:rsid w:val="007E1D14"/>
    <w:rsid w:val="007E296B"/>
    <w:rsid w:val="007E6CC2"/>
    <w:rsid w:val="007F0BFA"/>
    <w:rsid w:val="007F1DAE"/>
    <w:rsid w:val="007F2E36"/>
    <w:rsid w:val="007F3793"/>
    <w:rsid w:val="007F38A2"/>
    <w:rsid w:val="007F5415"/>
    <w:rsid w:val="008008FC"/>
    <w:rsid w:val="00802FCA"/>
    <w:rsid w:val="00803BA6"/>
    <w:rsid w:val="00804D40"/>
    <w:rsid w:val="00807B2C"/>
    <w:rsid w:val="008112A0"/>
    <w:rsid w:val="008154A3"/>
    <w:rsid w:val="00815D52"/>
    <w:rsid w:val="008160A7"/>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691D"/>
    <w:rsid w:val="008403F5"/>
    <w:rsid w:val="00840ECD"/>
    <w:rsid w:val="008418A2"/>
    <w:rsid w:val="008442CD"/>
    <w:rsid w:val="00844A54"/>
    <w:rsid w:val="008450CE"/>
    <w:rsid w:val="00845133"/>
    <w:rsid w:val="008512AF"/>
    <w:rsid w:val="008531A5"/>
    <w:rsid w:val="00854A44"/>
    <w:rsid w:val="00854AA0"/>
    <w:rsid w:val="00854D92"/>
    <w:rsid w:val="00854DA2"/>
    <w:rsid w:val="00855024"/>
    <w:rsid w:val="008562C5"/>
    <w:rsid w:val="008577F5"/>
    <w:rsid w:val="008578F4"/>
    <w:rsid w:val="008605D4"/>
    <w:rsid w:val="0086095F"/>
    <w:rsid w:val="00861C5D"/>
    <w:rsid w:val="00865A9D"/>
    <w:rsid w:val="00866C1A"/>
    <w:rsid w:val="00866D9F"/>
    <w:rsid w:val="008717BE"/>
    <w:rsid w:val="00874C68"/>
    <w:rsid w:val="0087607D"/>
    <w:rsid w:val="0087619C"/>
    <w:rsid w:val="00876903"/>
    <w:rsid w:val="00880666"/>
    <w:rsid w:val="00881C5D"/>
    <w:rsid w:val="00882888"/>
    <w:rsid w:val="00884931"/>
    <w:rsid w:val="00890B9C"/>
    <w:rsid w:val="00891AEA"/>
    <w:rsid w:val="00892B05"/>
    <w:rsid w:val="00892C30"/>
    <w:rsid w:val="00893703"/>
    <w:rsid w:val="00893BD9"/>
    <w:rsid w:val="0089511F"/>
    <w:rsid w:val="0089564D"/>
    <w:rsid w:val="00897358"/>
    <w:rsid w:val="008A0452"/>
    <w:rsid w:val="008A15BC"/>
    <w:rsid w:val="008A18FB"/>
    <w:rsid w:val="008A2361"/>
    <w:rsid w:val="008A5493"/>
    <w:rsid w:val="008A7F01"/>
    <w:rsid w:val="008B0D3C"/>
    <w:rsid w:val="008B11B3"/>
    <w:rsid w:val="008B3015"/>
    <w:rsid w:val="008B40AE"/>
    <w:rsid w:val="008B4C91"/>
    <w:rsid w:val="008C0FA5"/>
    <w:rsid w:val="008C1848"/>
    <w:rsid w:val="008C27EF"/>
    <w:rsid w:val="008C2957"/>
    <w:rsid w:val="008C2FA5"/>
    <w:rsid w:val="008C4A59"/>
    <w:rsid w:val="008C5B1D"/>
    <w:rsid w:val="008C7088"/>
    <w:rsid w:val="008C7110"/>
    <w:rsid w:val="008D1763"/>
    <w:rsid w:val="008D22A9"/>
    <w:rsid w:val="008D2A74"/>
    <w:rsid w:val="008D42FD"/>
    <w:rsid w:val="008D54BB"/>
    <w:rsid w:val="008D78C4"/>
    <w:rsid w:val="008E05B4"/>
    <w:rsid w:val="008E108F"/>
    <w:rsid w:val="008E2B93"/>
    <w:rsid w:val="008E33CE"/>
    <w:rsid w:val="008E4FC9"/>
    <w:rsid w:val="008E6B31"/>
    <w:rsid w:val="008E6EC0"/>
    <w:rsid w:val="008E7700"/>
    <w:rsid w:val="008F0B72"/>
    <w:rsid w:val="008F1616"/>
    <w:rsid w:val="008F226A"/>
    <w:rsid w:val="008F33CB"/>
    <w:rsid w:val="008F3D5A"/>
    <w:rsid w:val="008F5984"/>
    <w:rsid w:val="008F5BDD"/>
    <w:rsid w:val="008F6374"/>
    <w:rsid w:val="008F7D01"/>
    <w:rsid w:val="00900D73"/>
    <w:rsid w:val="00902081"/>
    <w:rsid w:val="00903F84"/>
    <w:rsid w:val="00905A09"/>
    <w:rsid w:val="00911077"/>
    <w:rsid w:val="00912654"/>
    <w:rsid w:val="009144FA"/>
    <w:rsid w:val="00916689"/>
    <w:rsid w:val="00916CC8"/>
    <w:rsid w:val="009203A5"/>
    <w:rsid w:val="009206E6"/>
    <w:rsid w:val="00920CF5"/>
    <w:rsid w:val="00921615"/>
    <w:rsid w:val="00922DB5"/>
    <w:rsid w:val="00922DF2"/>
    <w:rsid w:val="0092302B"/>
    <w:rsid w:val="00923856"/>
    <w:rsid w:val="0092389B"/>
    <w:rsid w:val="00923DF3"/>
    <w:rsid w:val="00925425"/>
    <w:rsid w:val="00926B9F"/>
    <w:rsid w:val="00927A6C"/>
    <w:rsid w:val="00931712"/>
    <w:rsid w:val="00935924"/>
    <w:rsid w:val="0093748C"/>
    <w:rsid w:val="009375E7"/>
    <w:rsid w:val="0094012E"/>
    <w:rsid w:val="00943719"/>
    <w:rsid w:val="0094535A"/>
    <w:rsid w:val="00945A2C"/>
    <w:rsid w:val="00945FA9"/>
    <w:rsid w:val="00946519"/>
    <w:rsid w:val="009502DC"/>
    <w:rsid w:val="00950A53"/>
    <w:rsid w:val="00950F57"/>
    <w:rsid w:val="009538B7"/>
    <w:rsid w:val="00961C13"/>
    <w:rsid w:val="0096265D"/>
    <w:rsid w:val="009627D7"/>
    <w:rsid w:val="00964639"/>
    <w:rsid w:val="00967551"/>
    <w:rsid w:val="0097469A"/>
    <w:rsid w:val="0097778C"/>
    <w:rsid w:val="00977852"/>
    <w:rsid w:val="009811CB"/>
    <w:rsid w:val="0098164D"/>
    <w:rsid w:val="00983319"/>
    <w:rsid w:val="00983BF4"/>
    <w:rsid w:val="009842A2"/>
    <w:rsid w:val="00984C3C"/>
    <w:rsid w:val="00986A99"/>
    <w:rsid w:val="00987147"/>
    <w:rsid w:val="00990164"/>
    <w:rsid w:val="00990594"/>
    <w:rsid w:val="0099226F"/>
    <w:rsid w:val="009922AE"/>
    <w:rsid w:val="00993066"/>
    <w:rsid w:val="0099491D"/>
    <w:rsid w:val="0099526C"/>
    <w:rsid w:val="00995FD2"/>
    <w:rsid w:val="009A1407"/>
    <w:rsid w:val="009A5AF8"/>
    <w:rsid w:val="009A7B9C"/>
    <w:rsid w:val="009B0A1A"/>
    <w:rsid w:val="009B226D"/>
    <w:rsid w:val="009B325A"/>
    <w:rsid w:val="009C0B35"/>
    <w:rsid w:val="009C0D9D"/>
    <w:rsid w:val="009C1D00"/>
    <w:rsid w:val="009C575E"/>
    <w:rsid w:val="009C5C2E"/>
    <w:rsid w:val="009D094E"/>
    <w:rsid w:val="009D1F83"/>
    <w:rsid w:val="009D6CB8"/>
    <w:rsid w:val="009D78F6"/>
    <w:rsid w:val="009E0210"/>
    <w:rsid w:val="009E0408"/>
    <w:rsid w:val="009E3D2F"/>
    <w:rsid w:val="009E70A9"/>
    <w:rsid w:val="009E70B6"/>
    <w:rsid w:val="009E72E5"/>
    <w:rsid w:val="009E77CD"/>
    <w:rsid w:val="009F11F3"/>
    <w:rsid w:val="009F134E"/>
    <w:rsid w:val="009F13AE"/>
    <w:rsid w:val="009F36C9"/>
    <w:rsid w:val="009F3EFE"/>
    <w:rsid w:val="009F518F"/>
    <w:rsid w:val="009F54C6"/>
    <w:rsid w:val="009F6093"/>
    <w:rsid w:val="009F7770"/>
    <w:rsid w:val="00A01D26"/>
    <w:rsid w:val="00A027D8"/>
    <w:rsid w:val="00A06A38"/>
    <w:rsid w:val="00A11005"/>
    <w:rsid w:val="00A20B6E"/>
    <w:rsid w:val="00A215B0"/>
    <w:rsid w:val="00A2181B"/>
    <w:rsid w:val="00A21EA4"/>
    <w:rsid w:val="00A220FF"/>
    <w:rsid w:val="00A23477"/>
    <w:rsid w:val="00A236E1"/>
    <w:rsid w:val="00A25A6E"/>
    <w:rsid w:val="00A25C26"/>
    <w:rsid w:val="00A26330"/>
    <w:rsid w:val="00A2785A"/>
    <w:rsid w:val="00A30261"/>
    <w:rsid w:val="00A31D72"/>
    <w:rsid w:val="00A320A7"/>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816"/>
    <w:rsid w:val="00A76A85"/>
    <w:rsid w:val="00A76BB3"/>
    <w:rsid w:val="00A772B3"/>
    <w:rsid w:val="00A81F87"/>
    <w:rsid w:val="00A831AD"/>
    <w:rsid w:val="00A839BA"/>
    <w:rsid w:val="00A84611"/>
    <w:rsid w:val="00A864BE"/>
    <w:rsid w:val="00A900D0"/>
    <w:rsid w:val="00A924E0"/>
    <w:rsid w:val="00A9257C"/>
    <w:rsid w:val="00A9352F"/>
    <w:rsid w:val="00A936EA"/>
    <w:rsid w:val="00A93F45"/>
    <w:rsid w:val="00A94219"/>
    <w:rsid w:val="00A942EA"/>
    <w:rsid w:val="00A95C1C"/>
    <w:rsid w:val="00A97D0D"/>
    <w:rsid w:val="00AA07A7"/>
    <w:rsid w:val="00AA14B1"/>
    <w:rsid w:val="00AA2783"/>
    <w:rsid w:val="00AA761C"/>
    <w:rsid w:val="00AB09A6"/>
    <w:rsid w:val="00AB0A1C"/>
    <w:rsid w:val="00AB0DDB"/>
    <w:rsid w:val="00AB1306"/>
    <w:rsid w:val="00AB1319"/>
    <w:rsid w:val="00AB250F"/>
    <w:rsid w:val="00AB33C3"/>
    <w:rsid w:val="00AB3BBC"/>
    <w:rsid w:val="00AB48F2"/>
    <w:rsid w:val="00AB4A97"/>
    <w:rsid w:val="00AB4EFA"/>
    <w:rsid w:val="00AB5633"/>
    <w:rsid w:val="00AB7B71"/>
    <w:rsid w:val="00AC0354"/>
    <w:rsid w:val="00AC055B"/>
    <w:rsid w:val="00AC14D8"/>
    <w:rsid w:val="00AC2ADF"/>
    <w:rsid w:val="00AC2B22"/>
    <w:rsid w:val="00AC52C6"/>
    <w:rsid w:val="00AC5C82"/>
    <w:rsid w:val="00AC67F6"/>
    <w:rsid w:val="00AD03BC"/>
    <w:rsid w:val="00AD0F3E"/>
    <w:rsid w:val="00AD10A0"/>
    <w:rsid w:val="00AD178A"/>
    <w:rsid w:val="00AD1A78"/>
    <w:rsid w:val="00AD3957"/>
    <w:rsid w:val="00AD58A7"/>
    <w:rsid w:val="00AD5D9D"/>
    <w:rsid w:val="00AD67BB"/>
    <w:rsid w:val="00AD688F"/>
    <w:rsid w:val="00AE0FA7"/>
    <w:rsid w:val="00AE30C8"/>
    <w:rsid w:val="00AE3424"/>
    <w:rsid w:val="00AE46F7"/>
    <w:rsid w:val="00AE5108"/>
    <w:rsid w:val="00AE63BD"/>
    <w:rsid w:val="00AE656A"/>
    <w:rsid w:val="00AF0B86"/>
    <w:rsid w:val="00AF1DB3"/>
    <w:rsid w:val="00AF2C40"/>
    <w:rsid w:val="00AF2E05"/>
    <w:rsid w:val="00AF3462"/>
    <w:rsid w:val="00AF662C"/>
    <w:rsid w:val="00AF745E"/>
    <w:rsid w:val="00B00360"/>
    <w:rsid w:val="00B005BE"/>
    <w:rsid w:val="00B026E1"/>
    <w:rsid w:val="00B02E0D"/>
    <w:rsid w:val="00B03180"/>
    <w:rsid w:val="00B06838"/>
    <w:rsid w:val="00B10007"/>
    <w:rsid w:val="00B10D4F"/>
    <w:rsid w:val="00B16687"/>
    <w:rsid w:val="00B17FFD"/>
    <w:rsid w:val="00B2076A"/>
    <w:rsid w:val="00B213EB"/>
    <w:rsid w:val="00B219C5"/>
    <w:rsid w:val="00B2303E"/>
    <w:rsid w:val="00B231CF"/>
    <w:rsid w:val="00B2367A"/>
    <w:rsid w:val="00B2447E"/>
    <w:rsid w:val="00B24682"/>
    <w:rsid w:val="00B25444"/>
    <w:rsid w:val="00B255D3"/>
    <w:rsid w:val="00B271A9"/>
    <w:rsid w:val="00B27D4B"/>
    <w:rsid w:val="00B30371"/>
    <w:rsid w:val="00B3111E"/>
    <w:rsid w:val="00B34B81"/>
    <w:rsid w:val="00B34B90"/>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34AF"/>
    <w:rsid w:val="00B63F70"/>
    <w:rsid w:val="00B64F38"/>
    <w:rsid w:val="00B656F5"/>
    <w:rsid w:val="00B6572B"/>
    <w:rsid w:val="00B66275"/>
    <w:rsid w:val="00B6637A"/>
    <w:rsid w:val="00B66D73"/>
    <w:rsid w:val="00B67191"/>
    <w:rsid w:val="00B73E9C"/>
    <w:rsid w:val="00B75847"/>
    <w:rsid w:val="00B77331"/>
    <w:rsid w:val="00B777B9"/>
    <w:rsid w:val="00B8158E"/>
    <w:rsid w:val="00B8218D"/>
    <w:rsid w:val="00B82557"/>
    <w:rsid w:val="00B82DB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754C"/>
    <w:rsid w:val="00BB3FEE"/>
    <w:rsid w:val="00BB43DB"/>
    <w:rsid w:val="00BB472D"/>
    <w:rsid w:val="00BB4AE8"/>
    <w:rsid w:val="00BB5A50"/>
    <w:rsid w:val="00BC0916"/>
    <w:rsid w:val="00BC0E14"/>
    <w:rsid w:val="00BC39D9"/>
    <w:rsid w:val="00BC440C"/>
    <w:rsid w:val="00BC719F"/>
    <w:rsid w:val="00BD04F7"/>
    <w:rsid w:val="00BD14CD"/>
    <w:rsid w:val="00BE082E"/>
    <w:rsid w:val="00BE12D3"/>
    <w:rsid w:val="00BE76BD"/>
    <w:rsid w:val="00BF102C"/>
    <w:rsid w:val="00BF2FFB"/>
    <w:rsid w:val="00C00C29"/>
    <w:rsid w:val="00C0192E"/>
    <w:rsid w:val="00C022DB"/>
    <w:rsid w:val="00C024F6"/>
    <w:rsid w:val="00C048A4"/>
    <w:rsid w:val="00C05957"/>
    <w:rsid w:val="00C066C6"/>
    <w:rsid w:val="00C0739B"/>
    <w:rsid w:val="00C07BFD"/>
    <w:rsid w:val="00C127F2"/>
    <w:rsid w:val="00C13E39"/>
    <w:rsid w:val="00C14979"/>
    <w:rsid w:val="00C14CDD"/>
    <w:rsid w:val="00C15B52"/>
    <w:rsid w:val="00C167C1"/>
    <w:rsid w:val="00C16D93"/>
    <w:rsid w:val="00C200B8"/>
    <w:rsid w:val="00C22958"/>
    <w:rsid w:val="00C2448B"/>
    <w:rsid w:val="00C254E8"/>
    <w:rsid w:val="00C27D80"/>
    <w:rsid w:val="00C30C2E"/>
    <w:rsid w:val="00C32543"/>
    <w:rsid w:val="00C33E8D"/>
    <w:rsid w:val="00C340C1"/>
    <w:rsid w:val="00C35993"/>
    <w:rsid w:val="00C363CC"/>
    <w:rsid w:val="00C3699D"/>
    <w:rsid w:val="00C4163F"/>
    <w:rsid w:val="00C41C23"/>
    <w:rsid w:val="00C4270F"/>
    <w:rsid w:val="00C4333F"/>
    <w:rsid w:val="00C469A1"/>
    <w:rsid w:val="00C502A2"/>
    <w:rsid w:val="00C509DA"/>
    <w:rsid w:val="00C50F19"/>
    <w:rsid w:val="00C51A2D"/>
    <w:rsid w:val="00C51F5D"/>
    <w:rsid w:val="00C53220"/>
    <w:rsid w:val="00C53BFB"/>
    <w:rsid w:val="00C5424C"/>
    <w:rsid w:val="00C54DC6"/>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3A5D"/>
    <w:rsid w:val="00C83CBC"/>
    <w:rsid w:val="00C8415F"/>
    <w:rsid w:val="00C85BB9"/>
    <w:rsid w:val="00C86002"/>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B0"/>
    <w:rsid w:val="00CA6DF8"/>
    <w:rsid w:val="00CB05C8"/>
    <w:rsid w:val="00CB0925"/>
    <w:rsid w:val="00CB0D0F"/>
    <w:rsid w:val="00CB40A1"/>
    <w:rsid w:val="00CB453B"/>
    <w:rsid w:val="00CC1926"/>
    <w:rsid w:val="00CC30A8"/>
    <w:rsid w:val="00CC43E3"/>
    <w:rsid w:val="00CC5134"/>
    <w:rsid w:val="00CC524F"/>
    <w:rsid w:val="00CC767E"/>
    <w:rsid w:val="00CD0B02"/>
    <w:rsid w:val="00CD294F"/>
    <w:rsid w:val="00CD37E1"/>
    <w:rsid w:val="00CD438E"/>
    <w:rsid w:val="00CE05A1"/>
    <w:rsid w:val="00CE0B5B"/>
    <w:rsid w:val="00CE1453"/>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56AD"/>
    <w:rsid w:val="00D15844"/>
    <w:rsid w:val="00D17424"/>
    <w:rsid w:val="00D212EC"/>
    <w:rsid w:val="00D2155A"/>
    <w:rsid w:val="00D257B3"/>
    <w:rsid w:val="00D25BE0"/>
    <w:rsid w:val="00D25CEF"/>
    <w:rsid w:val="00D27420"/>
    <w:rsid w:val="00D27429"/>
    <w:rsid w:val="00D32399"/>
    <w:rsid w:val="00D33D3B"/>
    <w:rsid w:val="00D37EF0"/>
    <w:rsid w:val="00D40089"/>
    <w:rsid w:val="00D40150"/>
    <w:rsid w:val="00D40741"/>
    <w:rsid w:val="00D4421B"/>
    <w:rsid w:val="00D44BB5"/>
    <w:rsid w:val="00D45081"/>
    <w:rsid w:val="00D45C83"/>
    <w:rsid w:val="00D47CC5"/>
    <w:rsid w:val="00D52608"/>
    <w:rsid w:val="00D52EBE"/>
    <w:rsid w:val="00D53A9D"/>
    <w:rsid w:val="00D5426E"/>
    <w:rsid w:val="00D548E2"/>
    <w:rsid w:val="00D54B0F"/>
    <w:rsid w:val="00D61045"/>
    <w:rsid w:val="00D61BEA"/>
    <w:rsid w:val="00D632FB"/>
    <w:rsid w:val="00D63681"/>
    <w:rsid w:val="00D64901"/>
    <w:rsid w:val="00D65B35"/>
    <w:rsid w:val="00D66985"/>
    <w:rsid w:val="00D66AA0"/>
    <w:rsid w:val="00D66FA1"/>
    <w:rsid w:val="00D67E3B"/>
    <w:rsid w:val="00D703ED"/>
    <w:rsid w:val="00D738DB"/>
    <w:rsid w:val="00D747E6"/>
    <w:rsid w:val="00D753A4"/>
    <w:rsid w:val="00D767D8"/>
    <w:rsid w:val="00D7767C"/>
    <w:rsid w:val="00D80B36"/>
    <w:rsid w:val="00D81865"/>
    <w:rsid w:val="00D82520"/>
    <w:rsid w:val="00D82DD2"/>
    <w:rsid w:val="00D8353F"/>
    <w:rsid w:val="00D8396E"/>
    <w:rsid w:val="00D83B54"/>
    <w:rsid w:val="00D8424D"/>
    <w:rsid w:val="00D94503"/>
    <w:rsid w:val="00D972D7"/>
    <w:rsid w:val="00D97906"/>
    <w:rsid w:val="00DA00CE"/>
    <w:rsid w:val="00DA30FF"/>
    <w:rsid w:val="00DA4DEB"/>
    <w:rsid w:val="00DA6987"/>
    <w:rsid w:val="00DA74B9"/>
    <w:rsid w:val="00DA7771"/>
    <w:rsid w:val="00DB0839"/>
    <w:rsid w:val="00DB0CCD"/>
    <w:rsid w:val="00DB3349"/>
    <w:rsid w:val="00DB45CD"/>
    <w:rsid w:val="00DB468F"/>
    <w:rsid w:val="00DB5C3F"/>
    <w:rsid w:val="00DB6685"/>
    <w:rsid w:val="00DB6AFD"/>
    <w:rsid w:val="00DC026A"/>
    <w:rsid w:val="00DC104F"/>
    <w:rsid w:val="00DC2CC8"/>
    <w:rsid w:val="00DC3766"/>
    <w:rsid w:val="00DC3D60"/>
    <w:rsid w:val="00DC4249"/>
    <w:rsid w:val="00DC45FA"/>
    <w:rsid w:val="00DC73B1"/>
    <w:rsid w:val="00DD0228"/>
    <w:rsid w:val="00DD19D3"/>
    <w:rsid w:val="00DD27CF"/>
    <w:rsid w:val="00DD38C1"/>
    <w:rsid w:val="00DD41ED"/>
    <w:rsid w:val="00DD4392"/>
    <w:rsid w:val="00DD604D"/>
    <w:rsid w:val="00DD63D5"/>
    <w:rsid w:val="00DD64A3"/>
    <w:rsid w:val="00DD6B38"/>
    <w:rsid w:val="00DD7FAC"/>
    <w:rsid w:val="00DE327A"/>
    <w:rsid w:val="00DE32C7"/>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7CB6"/>
    <w:rsid w:val="00E10466"/>
    <w:rsid w:val="00E115FF"/>
    <w:rsid w:val="00E149DB"/>
    <w:rsid w:val="00E172EB"/>
    <w:rsid w:val="00E17C92"/>
    <w:rsid w:val="00E20548"/>
    <w:rsid w:val="00E222B4"/>
    <w:rsid w:val="00E228AA"/>
    <w:rsid w:val="00E24350"/>
    <w:rsid w:val="00E24BCC"/>
    <w:rsid w:val="00E254C7"/>
    <w:rsid w:val="00E35008"/>
    <w:rsid w:val="00E36709"/>
    <w:rsid w:val="00E371B0"/>
    <w:rsid w:val="00E40F67"/>
    <w:rsid w:val="00E44403"/>
    <w:rsid w:val="00E50145"/>
    <w:rsid w:val="00E5117C"/>
    <w:rsid w:val="00E51CF2"/>
    <w:rsid w:val="00E550BC"/>
    <w:rsid w:val="00E60485"/>
    <w:rsid w:val="00E61DFB"/>
    <w:rsid w:val="00E623A6"/>
    <w:rsid w:val="00E644BF"/>
    <w:rsid w:val="00E649C7"/>
    <w:rsid w:val="00E64B0C"/>
    <w:rsid w:val="00E70312"/>
    <w:rsid w:val="00E70F17"/>
    <w:rsid w:val="00E70F7A"/>
    <w:rsid w:val="00E710CA"/>
    <w:rsid w:val="00E7259F"/>
    <w:rsid w:val="00E727C0"/>
    <w:rsid w:val="00E7463C"/>
    <w:rsid w:val="00E760A7"/>
    <w:rsid w:val="00E7673A"/>
    <w:rsid w:val="00E82280"/>
    <w:rsid w:val="00E854BD"/>
    <w:rsid w:val="00E85B7F"/>
    <w:rsid w:val="00E861FC"/>
    <w:rsid w:val="00E87420"/>
    <w:rsid w:val="00E93C0E"/>
    <w:rsid w:val="00E941E6"/>
    <w:rsid w:val="00EA071A"/>
    <w:rsid w:val="00EA2B9D"/>
    <w:rsid w:val="00EA4A01"/>
    <w:rsid w:val="00EA59E8"/>
    <w:rsid w:val="00EA6FF0"/>
    <w:rsid w:val="00EB22DF"/>
    <w:rsid w:val="00EB2CD7"/>
    <w:rsid w:val="00EB4A34"/>
    <w:rsid w:val="00EB7757"/>
    <w:rsid w:val="00EC28F4"/>
    <w:rsid w:val="00EC4348"/>
    <w:rsid w:val="00EC5663"/>
    <w:rsid w:val="00EC700F"/>
    <w:rsid w:val="00EC72AB"/>
    <w:rsid w:val="00EC75AC"/>
    <w:rsid w:val="00ED11E4"/>
    <w:rsid w:val="00ED33C7"/>
    <w:rsid w:val="00ED34B0"/>
    <w:rsid w:val="00ED3968"/>
    <w:rsid w:val="00ED5CAA"/>
    <w:rsid w:val="00ED73AA"/>
    <w:rsid w:val="00EE1C28"/>
    <w:rsid w:val="00EE410D"/>
    <w:rsid w:val="00EE56DC"/>
    <w:rsid w:val="00EF0060"/>
    <w:rsid w:val="00EF0864"/>
    <w:rsid w:val="00EF0D6B"/>
    <w:rsid w:val="00EF1832"/>
    <w:rsid w:val="00EF2908"/>
    <w:rsid w:val="00EF2A4E"/>
    <w:rsid w:val="00EF3C11"/>
    <w:rsid w:val="00EF42BF"/>
    <w:rsid w:val="00EF698C"/>
    <w:rsid w:val="00F013E8"/>
    <w:rsid w:val="00F020D3"/>
    <w:rsid w:val="00F0355D"/>
    <w:rsid w:val="00F054A8"/>
    <w:rsid w:val="00F061D9"/>
    <w:rsid w:val="00F06817"/>
    <w:rsid w:val="00F07B78"/>
    <w:rsid w:val="00F07D74"/>
    <w:rsid w:val="00F11C9E"/>
    <w:rsid w:val="00F12541"/>
    <w:rsid w:val="00F12715"/>
    <w:rsid w:val="00F14E31"/>
    <w:rsid w:val="00F166F0"/>
    <w:rsid w:val="00F21536"/>
    <w:rsid w:val="00F22C08"/>
    <w:rsid w:val="00F27C36"/>
    <w:rsid w:val="00F3171D"/>
    <w:rsid w:val="00F33AAF"/>
    <w:rsid w:val="00F371F7"/>
    <w:rsid w:val="00F415C3"/>
    <w:rsid w:val="00F419B6"/>
    <w:rsid w:val="00F42427"/>
    <w:rsid w:val="00F44C55"/>
    <w:rsid w:val="00F45DBD"/>
    <w:rsid w:val="00F462B6"/>
    <w:rsid w:val="00F46984"/>
    <w:rsid w:val="00F5012D"/>
    <w:rsid w:val="00F50F3C"/>
    <w:rsid w:val="00F52262"/>
    <w:rsid w:val="00F5403A"/>
    <w:rsid w:val="00F61C25"/>
    <w:rsid w:val="00F62145"/>
    <w:rsid w:val="00F64288"/>
    <w:rsid w:val="00F647C4"/>
    <w:rsid w:val="00F66450"/>
    <w:rsid w:val="00F70D5D"/>
    <w:rsid w:val="00F710BD"/>
    <w:rsid w:val="00F710C4"/>
    <w:rsid w:val="00F726D5"/>
    <w:rsid w:val="00F74525"/>
    <w:rsid w:val="00F749DF"/>
    <w:rsid w:val="00F74A3D"/>
    <w:rsid w:val="00F74F58"/>
    <w:rsid w:val="00F77340"/>
    <w:rsid w:val="00F77BE0"/>
    <w:rsid w:val="00F8362C"/>
    <w:rsid w:val="00F83937"/>
    <w:rsid w:val="00F852A7"/>
    <w:rsid w:val="00F87D76"/>
    <w:rsid w:val="00F90879"/>
    <w:rsid w:val="00F94250"/>
    <w:rsid w:val="00FA0157"/>
    <w:rsid w:val="00FA155E"/>
    <w:rsid w:val="00FA2946"/>
    <w:rsid w:val="00FA44E6"/>
    <w:rsid w:val="00FA4E1F"/>
    <w:rsid w:val="00FA53EC"/>
    <w:rsid w:val="00FA5437"/>
    <w:rsid w:val="00FA6775"/>
    <w:rsid w:val="00FA6E20"/>
    <w:rsid w:val="00FA70F9"/>
    <w:rsid w:val="00FB1354"/>
    <w:rsid w:val="00FB2C12"/>
    <w:rsid w:val="00FB3B97"/>
    <w:rsid w:val="00FC15A5"/>
    <w:rsid w:val="00FC4910"/>
    <w:rsid w:val="00FC6A1E"/>
    <w:rsid w:val="00FC6AA1"/>
    <w:rsid w:val="00FD104A"/>
    <w:rsid w:val="00FD122A"/>
    <w:rsid w:val="00FD196D"/>
    <w:rsid w:val="00FD1B49"/>
    <w:rsid w:val="00FD20AC"/>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B878E"/>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723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3443042">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 w:id="21164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28E8-2CDE-423B-B2DC-10354D73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14260</Words>
  <Characters>84138</Characters>
  <Application>Microsoft Office Word</Application>
  <DocSecurity>0</DocSecurity>
  <Lines>701</Lines>
  <Paragraphs>196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98202</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Nováková Pavlína</cp:lastModifiedBy>
  <cp:revision>2</cp:revision>
  <cp:lastPrinted>2025-03-11T13:04:00Z</cp:lastPrinted>
  <dcterms:created xsi:type="dcterms:W3CDTF">2025-03-17T13:08:00Z</dcterms:created>
  <dcterms:modified xsi:type="dcterms:W3CDTF">2025-03-17T13:08:00Z</dcterms:modified>
</cp:coreProperties>
</file>