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5F7F7093"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553C2F">
        <w:rPr>
          <w:rFonts w:ascii="Times New Roman" w:eastAsia="Times New Roman" w:hAnsi="Times New Roman" w:cs="Times New Roman"/>
          <w:b/>
          <w:sz w:val="20"/>
          <w:szCs w:val="20"/>
          <w:lang w:eastAsia="cs-CZ"/>
        </w:rPr>
        <w:t>„</w:t>
      </w:r>
      <w:proofErr w:type="gramStart"/>
      <w:r w:rsidR="00553C2F" w:rsidRPr="00553C2F">
        <w:rPr>
          <w:rFonts w:ascii="Times New Roman" w:eastAsia="Times New Roman" w:hAnsi="Times New Roman" w:cs="Times New Roman"/>
          <w:b/>
          <w:sz w:val="20"/>
          <w:szCs w:val="20"/>
          <w:lang w:eastAsia="cs-CZ"/>
        </w:rPr>
        <w:t>3D</w:t>
      </w:r>
      <w:proofErr w:type="gramEnd"/>
      <w:r w:rsidR="00553C2F" w:rsidRPr="00553C2F">
        <w:rPr>
          <w:rFonts w:ascii="Times New Roman" w:eastAsia="Times New Roman" w:hAnsi="Times New Roman" w:cs="Times New Roman"/>
          <w:b/>
          <w:sz w:val="20"/>
          <w:szCs w:val="20"/>
          <w:lang w:eastAsia="cs-CZ"/>
        </w:rPr>
        <w:t xml:space="preserve"> tisk obtížně dostupných náhradních dílů a individuálního příslušenství automobilů</w:t>
      </w:r>
      <w:r w:rsidR="00553C2F">
        <w:rPr>
          <w:rFonts w:ascii="Times New Roman" w:eastAsia="Times New Roman" w:hAnsi="Times New Roman" w:cs="Times New Roman"/>
          <w:b/>
          <w:sz w:val="20"/>
          <w:szCs w:val="20"/>
          <w:lang w:eastAsia="cs-CZ"/>
        </w:rPr>
        <w:t xml:space="preserve">“, </w:t>
      </w:r>
      <w:proofErr w:type="spellStart"/>
      <w:r w:rsidR="00553C2F">
        <w:rPr>
          <w:rFonts w:ascii="Times New Roman" w:eastAsia="Times New Roman" w:hAnsi="Times New Roman" w:cs="Times New Roman"/>
          <w:b/>
          <w:sz w:val="20"/>
          <w:szCs w:val="20"/>
          <w:lang w:eastAsia="cs-CZ"/>
        </w:rPr>
        <w:t>reg</w:t>
      </w:r>
      <w:proofErr w:type="spellEnd"/>
      <w:r w:rsidR="00553C2F">
        <w:rPr>
          <w:rFonts w:ascii="Times New Roman" w:eastAsia="Times New Roman" w:hAnsi="Times New Roman" w:cs="Times New Roman"/>
          <w:b/>
          <w:sz w:val="20"/>
          <w:szCs w:val="20"/>
          <w:lang w:eastAsia="cs-CZ"/>
        </w:rPr>
        <w:t xml:space="preserve">. č. </w:t>
      </w:r>
      <w:r w:rsidR="00553C2F" w:rsidRPr="00553C2F">
        <w:rPr>
          <w:rFonts w:ascii="Times New Roman" w:eastAsia="Times New Roman" w:hAnsi="Times New Roman" w:cs="Times New Roman"/>
          <w:b/>
          <w:sz w:val="20"/>
          <w:szCs w:val="20"/>
          <w:lang w:eastAsia="cs-CZ"/>
        </w:rPr>
        <w:t>TN02000033/DP66</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20E89E0E"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w:t>
      </w:r>
      <w:r w:rsidR="00D76A1C" w:rsidRPr="00D76A1C">
        <w:rPr>
          <w:rFonts w:ascii="Times New Roman" w:eastAsia="Times New Roman" w:hAnsi="Times New Roman" w:cs="Times New Roman"/>
          <w:bCs/>
          <w:sz w:val="20"/>
          <w:szCs w:val="20"/>
          <w:lang w:eastAsia="cs-CZ"/>
        </w:rPr>
        <w:t xml:space="preserve">, </w:t>
      </w:r>
      <w:proofErr w:type="spellStart"/>
      <w:r w:rsidR="00D76A1C" w:rsidRPr="00D76A1C">
        <w:rPr>
          <w:rFonts w:ascii="Times New Roman" w:eastAsia="Times New Roman" w:hAnsi="Times New Roman" w:cs="Times New Roman"/>
          <w:bCs/>
          <w:sz w:val="20"/>
          <w:szCs w:val="20"/>
          <w:lang w:eastAsia="cs-CZ"/>
        </w:rPr>
        <w:t>dr.h.c</w:t>
      </w:r>
      <w:proofErr w:type="spellEnd"/>
      <w:r w:rsidR="00D76A1C" w:rsidRPr="00D76A1C">
        <w:rPr>
          <w:rFonts w:ascii="Times New Roman" w:eastAsia="Times New Roman" w:hAnsi="Times New Roman" w:cs="Times New Roman"/>
          <w:bCs/>
          <w:sz w:val="20"/>
          <w:szCs w:val="20"/>
          <w:lang w:eastAsia="cs-CZ"/>
        </w:rPr>
        <w:t>.</w:t>
      </w:r>
      <w:r w:rsidRPr="00E9090D">
        <w:rPr>
          <w:rFonts w:ascii="Times New Roman" w:eastAsia="Times New Roman" w:hAnsi="Times New Roman" w:cs="Times New Roman"/>
          <w:bCs/>
          <w:sz w:val="20"/>
          <w:szCs w:val="20"/>
          <w:lang w:eastAsia="cs-CZ"/>
        </w:rPr>
        <w:t>, rektor</w:t>
      </w:r>
    </w:p>
    <w:p w14:paraId="616AA464" w14:textId="6B7C70ED" w:rsidR="008E7B78" w:rsidRPr="00E9090D" w:rsidRDefault="008E7B78" w:rsidP="008E7B78">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085CD6">
        <w:rPr>
          <w:rFonts w:ascii="Times New Roman" w:eastAsia="Times New Roman" w:hAnsi="Times New Roman" w:cs="Times New Roman"/>
          <w:sz w:val="20"/>
          <w:szCs w:val="20"/>
          <w:lang w:eastAsia="cs-CZ"/>
        </w:rPr>
        <w:t>xxx</w:t>
      </w:r>
      <w:proofErr w:type="spellEnd"/>
    </w:p>
    <w:p w14:paraId="53316B11" w14:textId="55E03DE8" w:rsidR="008E7B78" w:rsidRDefault="008E7B78" w:rsidP="008E7B78">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085CD6">
        <w:rPr>
          <w:rFonts w:ascii="Times New Roman" w:eastAsia="Times New Roman" w:hAnsi="Times New Roman" w:cs="Times New Roman"/>
          <w:sz w:val="20"/>
          <w:szCs w:val="20"/>
          <w:lang w:eastAsia="cs-CZ"/>
        </w:rPr>
        <w:t>xxx</w:t>
      </w:r>
      <w:proofErr w:type="spellEnd"/>
    </w:p>
    <w:p w14:paraId="45192E72" w14:textId="79BC87F1" w:rsidR="0069685D" w:rsidRDefault="0069685D" w:rsidP="008E7B78">
      <w:pPr>
        <w:autoSpaceDE w:val="0"/>
        <w:autoSpaceDN w:val="0"/>
        <w:spacing w:after="0" w:line="240" w:lineRule="auto"/>
        <w:ind w:firstLine="708"/>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Číslo smlouvy: S/CXI/8400/2025/</w:t>
      </w:r>
      <w:r w:rsidR="005D2BC5">
        <w:rPr>
          <w:rFonts w:ascii="Times New Roman" w:eastAsia="Times New Roman" w:hAnsi="Times New Roman" w:cs="Times New Roman"/>
          <w:sz w:val="20"/>
          <w:szCs w:val="20"/>
          <w:lang w:eastAsia="cs-CZ"/>
        </w:rPr>
        <w:t>15</w:t>
      </w:r>
    </w:p>
    <w:p w14:paraId="56FB2326" w14:textId="20D4A82D" w:rsidR="00E9090D" w:rsidRDefault="00E9090D" w:rsidP="00E9090D">
      <w:pPr>
        <w:autoSpaceDE w:val="0"/>
        <w:autoSpaceDN w:val="0"/>
        <w:spacing w:after="0" w:line="240" w:lineRule="auto"/>
        <w:ind w:firstLine="708"/>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6277E">
        <w:rPr>
          <w:rFonts w:ascii="Times New Roman" w:eastAsia="Times New Roman" w:hAnsi="Times New Roman" w:cs="Times New Roman"/>
          <w:sz w:val="20"/>
          <w:szCs w:val="20"/>
          <w:lang w:eastAsia="cs-CZ"/>
        </w:rPr>
        <w:t xml:space="preserve"> za Projekt</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42498792" w14:textId="6B64D7F0" w:rsidR="0086277E" w:rsidRPr="00A73995" w:rsidRDefault="0086277E" w:rsidP="00E9090D">
      <w:pPr>
        <w:autoSpaceDE w:val="0"/>
        <w:autoSpaceDN w:val="0"/>
        <w:spacing w:after="0" w:line="240" w:lineRule="auto"/>
        <w:ind w:firstLine="708"/>
        <w:jc w:val="both"/>
        <w:rPr>
          <w:rFonts w:ascii="Times New Roman" w:eastAsia="Times New Roman" w:hAnsi="Times New Roman" w:cs="Times New Roman"/>
          <w:b/>
          <w:bCs/>
          <w:sz w:val="20"/>
          <w:szCs w:val="20"/>
          <w:lang w:eastAsia="cs-CZ"/>
        </w:rPr>
      </w:pPr>
      <w:r w:rsidRPr="00D30DC7">
        <w:rPr>
          <w:rFonts w:ascii="Times New Roman" w:eastAsia="Times New Roman" w:hAnsi="Times New Roman" w:cs="Times New Roman"/>
          <w:bCs/>
          <w:sz w:val="20"/>
          <w:szCs w:val="20"/>
          <w:lang w:eastAsia="cs-CZ"/>
        </w:rPr>
        <w:t>O</w:t>
      </w:r>
      <w:r w:rsidRPr="0086277E">
        <w:rPr>
          <w:rFonts w:ascii="Times New Roman" w:eastAsia="Times New Roman" w:hAnsi="Times New Roman" w:cs="Times New Roman"/>
          <w:bCs/>
          <w:sz w:val="20"/>
          <w:szCs w:val="20"/>
          <w:lang w:eastAsia="cs-CZ"/>
        </w:rPr>
        <w:t>dp</w:t>
      </w:r>
      <w:r w:rsidRPr="00D30DC7">
        <w:rPr>
          <w:rFonts w:ascii="Times New Roman" w:eastAsia="Times New Roman" w:hAnsi="Times New Roman" w:cs="Times New Roman"/>
          <w:bCs/>
          <w:sz w:val="20"/>
          <w:szCs w:val="20"/>
          <w:lang w:eastAsia="cs-CZ"/>
        </w:rPr>
        <w:t xml:space="preserve">ovědná osoba za Dílčí projekt: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122AE350" w14:textId="77777777" w:rsidR="0086277E" w:rsidRPr="00E9090D"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p>
    <w:p w14:paraId="7B804DA8" w14:textId="517DB766"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r w:rsidR="0086277E">
        <w:rPr>
          <w:rFonts w:ascii="Times New Roman" w:eastAsia="Times New Roman" w:hAnsi="Times New Roman" w:cs="Times New Roman"/>
          <w:sz w:val="20"/>
          <w:szCs w:val="20"/>
          <w:lang w:eastAsia="cs-CZ"/>
        </w:rPr>
        <w:t xml:space="preserve"> a „</w:t>
      </w:r>
      <w:r w:rsidR="0086277E" w:rsidRPr="00EC1DB2">
        <w:rPr>
          <w:rFonts w:ascii="Times New Roman" w:eastAsia="Times New Roman" w:hAnsi="Times New Roman" w:cs="Times New Roman"/>
          <w:b/>
          <w:sz w:val="20"/>
          <w:szCs w:val="20"/>
          <w:lang w:eastAsia="cs-CZ"/>
        </w:rPr>
        <w:t>Účastník Dílčího projektu</w:t>
      </w:r>
      <w:r w:rsidR="0086277E">
        <w:rPr>
          <w:rFonts w:ascii="Times New Roman" w:eastAsia="Times New Roman" w:hAnsi="Times New Roman" w:cs="Times New Roman"/>
          <w:sz w:val="20"/>
          <w:szCs w:val="20"/>
          <w:lang w:eastAsia="cs-CZ"/>
        </w:rPr>
        <w:t xml:space="preserve"> </w:t>
      </w:r>
      <w:r w:rsidR="00D0787A">
        <w:rPr>
          <w:rFonts w:ascii="Times New Roman" w:eastAsia="Times New Roman" w:hAnsi="Times New Roman" w:cs="Times New Roman"/>
          <w:b/>
          <w:sz w:val="20"/>
          <w:szCs w:val="20"/>
          <w:lang w:eastAsia="cs-CZ"/>
        </w:rPr>
        <w:t>6</w:t>
      </w:r>
      <w:r w:rsidR="0086277E">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0430129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64DEC269" w14:textId="0103163A"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0D52F27" w14:textId="14A6181D" w:rsidR="00E9090D" w:rsidRPr="00E9090D"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2</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5A7C6C">
        <w:rPr>
          <w:rFonts w:ascii="Times New Roman" w:eastAsia="Times New Roman" w:hAnsi="Times New Roman" w:cs="Times New Roman"/>
          <w:b/>
          <w:bCs/>
          <w:sz w:val="20"/>
          <w:szCs w:val="20"/>
          <w:lang w:eastAsia="cs-CZ"/>
        </w:rPr>
        <w:t>Škoda Auto Vysoká škola</w:t>
      </w:r>
      <w:r w:rsidR="005A7C6C" w:rsidRPr="009B7418">
        <w:rPr>
          <w:rFonts w:ascii="Times New Roman" w:eastAsia="Times New Roman" w:hAnsi="Times New Roman" w:cs="Times New Roman"/>
          <w:b/>
          <w:bCs/>
          <w:sz w:val="20"/>
          <w:szCs w:val="20"/>
          <w:lang w:eastAsia="cs-CZ"/>
        </w:rPr>
        <w:t xml:space="preserve"> o.p.s.</w:t>
      </w:r>
    </w:p>
    <w:p w14:paraId="1D7ED26C" w14:textId="31895F24" w:rsidR="00E9090D" w:rsidRPr="00E9090D" w:rsidRDefault="00E9090D" w:rsidP="00E9090D">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A73995" w:rsidRPr="009B7418">
        <w:rPr>
          <w:rFonts w:ascii="Times New Roman" w:eastAsia="Times New Roman" w:hAnsi="Times New Roman" w:cs="Times New Roman"/>
          <w:sz w:val="20"/>
          <w:szCs w:val="20"/>
          <w:lang w:eastAsia="cs-CZ"/>
        </w:rPr>
        <w:t xml:space="preserve">Na </w:t>
      </w:r>
      <w:proofErr w:type="spellStart"/>
      <w:r w:rsidR="00A73995" w:rsidRPr="009B7418">
        <w:rPr>
          <w:rFonts w:ascii="Times New Roman" w:eastAsia="Times New Roman" w:hAnsi="Times New Roman" w:cs="Times New Roman"/>
          <w:sz w:val="20"/>
          <w:szCs w:val="20"/>
          <w:lang w:eastAsia="cs-CZ"/>
        </w:rPr>
        <w:t>Karmeli</w:t>
      </w:r>
      <w:proofErr w:type="spellEnd"/>
      <w:r w:rsidR="00A73995" w:rsidRPr="009B7418">
        <w:rPr>
          <w:rFonts w:ascii="Times New Roman" w:eastAsia="Times New Roman" w:hAnsi="Times New Roman" w:cs="Times New Roman"/>
          <w:sz w:val="20"/>
          <w:szCs w:val="20"/>
          <w:lang w:eastAsia="cs-CZ"/>
        </w:rPr>
        <w:t xml:space="preserve"> 1457, 293 01 Mladá Boleslav</w:t>
      </w:r>
    </w:p>
    <w:p w14:paraId="50D0DE03"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9B7418">
        <w:rPr>
          <w:rFonts w:ascii="Times New Roman" w:eastAsia="Times New Roman" w:hAnsi="Times New Roman" w:cs="Times New Roman"/>
          <w:sz w:val="20"/>
          <w:szCs w:val="20"/>
          <w:lang w:eastAsia="cs-CZ"/>
        </w:rPr>
        <w:t>29142890</w:t>
      </w:r>
    </w:p>
    <w:p w14:paraId="77E1E896"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9B7418">
        <w:rPr>
          <w:rFonts w:ascii="Times New Roman" w:eastAsia="Times New Roman" w:hAnsi="Times New Roman" w:cs="Times New Roman"/>
          <w:sz w:val="20"/>
          <w:szCs w:val="20"/>
          <w:lang w:eastAsia="cs-CZ"/>
        </w:rPr>
        <w:t>CZ29142890</w:t>
      </w:r>
    </w:p>
    <w:p w14:paraId="30A4B7FB" w14:textId="745F6864"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005A7C6C">
        <w:rPr>
          <w:rFonts w:ascii="Times New Roman" w:eastAsia="Times New Roman" w:hAnsi="Times New Roman" w:cs="Times New Roman"/>
          <w:sz w:val="20"/>
          <w:szCs w:val="20"/>
          <w:lang w:eastAsia="cs-CZ"/>
        </w:rPr>
        <w:t xml:space="preserve">Ing. Sandra Lacinová, ředitelka, </w:t>
      </w:r>
      <w:r w:rsidR="005A7C6C" w:rsidRPr="00A73995">
        <w:rPr>
          <w:rFonts w:ascii="Times New Roman" w:eastAsia="Times New Roman" w:hAnsi="Times New Roman" w:cs="Times New Roman"/>
          <w:bCs/>
          <w:sz w:val="20"/>
          <w:szCs w:val="20"/>
          <w:lang w:eastAsia="cs-CZ"/>
        </w:rPr>
        <w:t>prof. Ing. Ondřej Krejcar, Ph.D.</w:t>
      </w:r>
      <w:r w:rsidR="005A7C6C">
        <w:rPr>
          <w:rFonts w:ascii="Times New Roman" w:eastAsia="Times New Roman" w:hAnsi="Times New Roman" w:cs="Times New Roman"/>
          <w:bCs/>
          <w:sz w:val="20"/>
          <w:szCs w:val="20"/>
          <w:lang w:eastAsia="cs-CZ"/>
        </w:rPr>
        <w:t xml:space="preserve">, </w:t>
      </w:r>
      <w:r w:rsidR="005A7C6C" w:rsidRPr="00E9090D">
        <w:rPr>
          <w:rFonts w:ascii="Times New Roman" w:eastAsia="Times New Roman" w:hAnsi="Times New Roman" w:cs="Times New Roman"/>
          <w:bCs/>
          <w:sz w:val="20"/>
          <w:szCs w:val="20"/>
          <w:lang w:eastAsia="cs-CZ"/>
        </w:rPr>
        <w:t>rektor</w:t>
      </w:r>
    </w:p>
    <w:p w14:paraId="0ECB071C" w14:textId="6CD58691" w:rsidR="00A73995"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Bankovní spojení: </w:t>
      </w:r>
      <w:r w:rsidR="005A7C6C">
        <w:rPr>
          <w:rFonts w:ascii="Times New Roman" w:eastAsia="Times New Roman" w:hAnsi="Times New Roman" w:cs="Times New Roman"/>
          <w:sz w:val="20"/>
          <w:szCs w:val="20"/>
          <w:lang w:eastAsia="cs-CZ"/>
        </w:rPr>
        <w:t>Komerční banka</w:t>
      </w:r>
    </w:p>
    <w:p w14:paraId="1DDC67A9" w14:textId="0A6ACB2D" w:rsidR="00A73995"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Účet číslo: </w:t>
      </w:r>
      <w:r w:rsidR="005A7C6C" w:rsidRPr="00E23F86">
        <w:rPr>
          <w:rFonts w:ascii="Times New Roman" w:eastAsia="Times New Roman" w:hAnsi="Times New Roman" w:cs="Times New Roman"/>
          <w:sz w:val="20"/>
          <w:szCs w:val="20"/>
          <w:lang w:eastAsia="cs-CZ"/>
        </w:rPr>
        <w:t>131-2481860237/0100</w:t>
      </w:r>
    </w:p>
    <w:p w14:paraId="2B81717F" w14:textId="351654F5"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35A5087F" w14:textId="48E95E90" w:rsidR="00E9090D" w:rsidRPr="00E9090D" w:rsidRDefault="00E9090D" w:rsidP="00A73995">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častník Dílčího projektu 1</w:t>
      </w:r>
      <w:r w:rsidRPr="00E9090D">
        <w:rPr>
          <w:rFonts w:ascii="Times New Roman" w:eastAsia="Times New Roman" w:hAnsi="Times New Roman" w:cs="Times New Roman"/>
          <w:b/>
          <w:bCs/>
          <w:sz w:val="20"/>
          <w:szCs w:val="20"/>
          <w:lang w:eastAsia="cs-CZ"/>
        </w:rPr>
        <w:t>“)</w:t>
      </w:r>
    </w:p>
    <w:p w14:paraId="1743AFC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756CEE6E" w14:textId="7E84B2C4"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6F03D683"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36166B6" w14:textId="77777777" w:rsidR="00A73995" w:rsidRPr="00E9090D" w:rsidRDefault="00003930" w:rsidP="00A73995">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3</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A73995">
        <w:rPr>
          <w:rFonts w:ascii="Times New Roman" w:eastAsia="Times New Roman" w:hAnsi="Times New Roman" w:cs="Times New Roman"/>
          <w:b/>
          <w:sz w:val="20"/>
          <w:szCs w:val="20"/>
          <w:lang w:eastAsia="cs-CZ"/>
        </w:rPr>
        <w:t xml:space="preserve">Škoda Auto </w:t>
      </w:r>
      <w:r w:rsidR="00A73995" w:rsidRPr="00876821">
        <w:rPr>
          <w:rFonts w:ascii="Times New Roman" w:eastAsia="Times New Roman" w:hAnsi="Times New Roman" w:cs="Times New Roman"/>
          <w:b/>
          <w:sz w:val="20"/>
          <w:szCs w:val="20"/>
          <w:lang w:eastAsia="cs-CZ"/>
        </w:rPr>
        <w:t>a.s.</w:t>
      </w:r>
    </w:p>
    <w:p w14:paraId="3AAE1DFF" w14:textId="77777777" w:rsidR="00A73995" w:rsidRPr="00E9090D" w:rsidRDefault="00A73995" w:rsidP="00A73995">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Pr="00876821">
        <w:rPr>
          <w:rFonts w:ascii="Times New Roman" w:eastAsia="Times New Roman" w:hAnsi="Times New Roman" w:cs="Times New Roman"/>
          <w:sz w:val="20"/>
          <w:szCs w:val="20"/>
          <w:lang w:eastAsia="cs-CZ"/>
        </w:rPr>
        <w:t>tř. Václava Klementa 869, 293 01 Mladá Boleslav</w:t>
      </w:r>
    </w:p>
    <w:p w14:paraId="44C19D39" w14:textId="77777777" w:rsidR="00A73995" w:rsidRPr="00E9090D" w:rsidRDefault="00A73995" w:rsidP="00A73995">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876821">
        <w:rPr>
          <w:rFonts w:ascii="Times New Roman" w:eastAsia="Times New Roman" w:hAnsi="Times New Roman" w:cs="Times New Roman"/>
          <w:sz w:val="20"/>
          <w:szCs w:val="20"/>
          <w:lang w:eastAsia="cs-CZ"/>
        </w:rPr>
        <w:t>00177041</w:t>
      </w:r>
    </w:p>
    <w:p w14:paraId="52B96886" w14:textId="77777777" w:rsidR="00A73995" w:rsidRPr="00E9090D" w:rsidRDefault="00A73995" w:rsidP="00A73995">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876821">
        <w:rPr>
          <w:rFonts w:ascii="Times New Roman" w:eastAsia="Times New Roman" w:hAnsi="Times New Roman" w:cs="Times New Roman"/>
          <w:sz w:val="20"/>
          <w:szCs w:val="20"/>
          <w:lang w:eastAsia="cs-CZ"/>
        </w:rPr>
        <w:t>CZ00177041</w:t>
      </w:r>
    </w:p>
    <w:p w14:paraId="2DEBCE33" w14:textId="7A13F8E9" w:rsidR="00A73995" w:rsidRPr="00E9090D" w:rsidRDefault="00A73995" w:rsidP="00A73995">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Pr="00297197">
        <w:rPr>
          <w:rFonts w:ascii="Times New Roman" w:eastAsia="Times New Roman" w:hAnsi="Times New Roman" w:cs="Times New Roman"/>
          <w:sz w:val="20"/>
          <w:szCs w:val="20"/>
          <w:lang w:eastAsia="cs-CZ"/>
        </w:rPr>
        <w:t xml:space="preserve">Ing. Jiří </w:t>
      </w:r>
      <w:proofErr w:type="spellStart"/>
      <w:r w:rsidRPr="00297197">
        <w:rPr>
          <w:rFonts w:ascii="Times New Roman" w:eastAsia="Times New Roman" w:hAnsi="Times New Roman" w:cs="Times New Roman"/>
          <w:sz w:val="20"/>
          <w:szCs w:val="20"/>
          <w:lang w:eastAsia="cs-CZ"/>
        </w:rPr>
        <w:t>Drbout</w:t>
      </w:r>
      <w:proofErr w:type="spellEnd"/>
      <w:r>
        <w:rPr>
          <w:rFonts w:ascii="Times New Roman" w:eastAsia="Times New Roman" w:hAnsi="Times New Roman" w:cs="Times New Roman"/>
          <w:sz w:val="20"/>
          <w:szCs w:val="20"/>
          <w:lang w:eastAsia="cs-CZ"/>
        </w:rPr>
        <w:t xml:space="preserve">, </w:t>
      </w:r>
      <w:r w:rsidRPr="00297197">
        <w:rPr>
          <w:rFonts w:ascii="Times New Roman" w:eastAsia="Times New Roman" w:hAnsi="Times New Roman" w:cs="Times New Roman"/>
          <w:sz w:val="20"/>
          <w:szCs w:val="20"/>
          <w:lang w:eastAsia="cs-CZ"/>
        </w:rPr>
        <w:t xml:space="preserve">Vedoucí plánování značky (PP) </w:t>
      </w:r>
      <w:r>
        <w:rPr>
          <w:rFonts w:ascii="Times New Roman" w:eastAsia="Times New Roman" w:hAnsi="Times New Roman" w:cs="Times New Roman"/>
          <w:sz w:val="20"/>
          <w:szCs w:val="20"/>
          <w:lang w:eastAsia="cs-CZ"/>
        </w:rPr>
        <w:t xml:space="preserve">a </w:t>
      </w:r>
      <w:r w:rsidRPr="00297197">
        <w:rPr>
          <w:rFonts w:ascii="Times New Roman" w:eastAsia="Times New Roman" w:hAnsi="Times New Roman" w:cs="Times New Roman"/>
          <w:sz w:val="20"/>
          <w:szCs w:val="20"/>
          <w:lang w:eastAsia="cs-CZ"/>
        </w:rPr>
        <w:t xml:space="preserve">Ing. Jan </w:t>
      </w:r>
      <w:proofErr w:type="spellStart"/>
      <w:r w:rsidRPr="00297197">
        <w:rPr>
          <w:rFonts w:ascii="Times New Roman" w:eastAsia="Times New Roman" w:hAnsi="Times New Roman" w:cs="Times New Roman"/>
          <w:sz w:val="20"/>
          <w:szCs w:val="20"/>
          <w:lang w:eastAsia="cs-CZ"/>
        </w:rPr>
        <w:t>Bečvařík</w:t>
      </w:r>
      <w:proofErr w:type="spellEnd"/>
      <w:r w:rsidRPr="00297197">
        <w:rPr>
          <w:rFonts w:ascii="Times New Roman" w:eastAsia="Times New Roman" w:hAnsi="Times New Roman" w:cs="Times New Roman"/>
          <w:sz w:val="20"/>
          <w:szCs w:val="20"/>
          <w:lang w:eastAsia="cs-CZ"/>
        </w:rPr>
        <w:t>, MBA</w:t>
      </w:r>
      <w:r>
        <w:rPr>
          <w:rFonts w:ascii="Times New Roman" w:eastAsia="Times New Roman" w:hAnsi="Times New Roman" w:cs="Times New Roman"/>
          <w:sz w:val="20"/>
          <w:szCs w:val="20"/>
          <w:lang w:eastAsia="cs-CZ"/>
        </w:rPr>
        <w:t xml:space="preserve">, </w:t>
      </w:r>
      <w:r w:rsidRPr="00297197">
        <w:rPr>
          <w:rFonts w:ascii="Times New Roman" w:eastAsia="Times New Roman" w:hAnsi="Times New Roman" w:cs="Times New Roman"/>
          <w:sz w:val="20"/>
          <w:szCs w:val="20"/>
          <w:lang w:eastAsia="cs-CZ"/>
        </w:rPr>
        <w:t>Vedoucí plánování a koordinace (E</w:t>
      </w:r>
      <w:r w:rsidR="00B351B3">
        <w:rPr>
          <w:rFonts w:ascii="Times New Roman" w:eastAsia="Times New Roman" w:hAnsi="Times New Roman" w:cs="Times New Roman"/>
          <w:sz w:val="20"/>
          <w:szCs w:val="20"/>
          <w:lang w:eastAsia="cs-CZ"/>
        </w:rPr>
        <w:t>Y</w:t>
      </w:r>
      <w:r w:rsidRPr="00297197">
        <w:rPr>
          <w:rFonts w:ascii="Times New Roman" w:eastAsia="Times New Roman" w:hAnsi="Times New Roman" w:cs="Times New Roman"/>
          <w:sz w:val="20"/>
          <w:szCs w:val="20"/>
          <w:lang w:eastAsia="cs-CZ"/>
        </w:rPr>
        <w:t>)</w:t>
      </w:r>
    </w:p>
    <w:p w14:paraId="4A52351F"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Městským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Pr="009B7418">
        <w:rPr>
          <w:rFonts w:ascii="Times New Roman" w:eastAsia="Times New Roman" w:hAnsi="Times New Roman" w:cs="Times New Roman"/>
          <w:sz w:val="20"/>
          <w:szCs w:val="20"/>
          <w:lang w:eastAsia="cs-CZ"/>
        </w:rPr>
        <w:t>B 332</w:t>
      </w:r>
    </w:p>
    <w:p w14:paraId="4ECCC1C0" w14:textId="20BE511D"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496A01">
        <w:rPr>
          <w:rFonts w:ascii="Times New Roman" w:eastAsia="Times New Roman" w:hAnsi="Times New Roman" w:cs="Times New Roman"/>
          <w:sz w:val="20"/>
          <w:szCs w:val="20"/>
          <w:lang w:eastAsia="cs-CZ"/>
        </w:rPr>
        <w:t>xxx</w:t>
      </w:r>
      <w:proofErr w:type="spellEnd"/>
    </w:p>
    <w:p w14:paraId="2031B446" w14:textId="454D8911"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496A01">
        <w:rPr>
          <w:rFonts w:ascii="Times New Roman" w:eastAsia="Times New Roman" w:hAnsi="Times New Roman" w:cs="Times New Roman"/>
          <w:sz w:val="20"/>
          <w:szCs w:val="20"/>
          <w:lang w:eastAsia="cs-CZ"/>
        </w:rPr>
        <w:t>xxx</w:t>
      </w:r>
      <w:proofErr w:type="spellEnd"/>
    </w:p>
    <w:p w14:paraId="2DDDACE2" w14:textId="54BDE841"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0D44768B" w14:textId="637A0813" w:rsidR="00E9090D"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 xml:space="preserve">(dále jen jako </w:t>
      </w:r>
      <w:r w:rsidR="00E9090D"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00E9090D" w:rsidRPr="00E9090D">
        <w:rPr>
          <w:rFonts w:ascii="Times New Roman" w:eastAsia="Times New Roman" w:hAnsi="Times New Roman" w:cs="Times New Roman"/>
          <w:b/>
          <w:sz w:val="20"/>
          <w:szCs w:val="20"/>
          <w:lang w:eastAsia="cs-CZ"/>
        </w:rPr>
        <w:t>častník Dílčího projektu 2</w:t>
      </w:r>
      <w:r w:rsidR="00E9090D" w:rsidRPr="00E9090D">
        <w:rPr>
          <w:rFonts w:ascii="Times New Roman" w:eastAsia="Times New Roman" w:hAnsi="Times New Roman" w:cs="Times New Roman"/>
          <w:b/>
          <w:bCs/>
          <w:sz w:val="20"/>
          <w:szCs w:val="20"/>
          <w:lang w:eastAsia="cs-CZ"/>
        </w:rPr>
        <w:t>“)</w:t>
      </w:r>
    </w:p>
    <w:p w14:paraId="5B949ABD" w14:textId="261B1392" w:rsidR="00A73995"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p>
    <w:p w14:paraId="1D354243" w14:textId="62136065"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a</w:t>
      </w:r>
    </w:p>
    <w:p w14:paraId="1F3BD7E3"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7D6A7BFB" w14:textId="77777777" w:rsidR="00A73995" w:rsidRPr="00E9090D"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4</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r>
        <w:rPr>
          <w:rFonts w:ascii="Times New Roman" w:eastAsia="Times New Roman" w:hAnsi="Times New Roman" w:cs="Times New Roman"/>
          <w:b/>
          <w:bCs/>
          <w:sz w:val="20"/>
          <w:szCs w:val="20"/>
          <w:lang w:eastAsia="cs-CZ"/>
        </w:rPr>
        <w:t>Vysoká škola chemicko-technologická v Praze</w:t>
      </w:r>
    </w:p>
    <w:p w14:paraId="79234CD5"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Pr>
          <w:rFonts w:ascii="Times New Roman" w:eastAsia="Times New Roman" w:hAnsi="Times New Roman" w:cs="Times New Roman"/>
          <w:sz w:val="20"/>
          <w:szCs w:val="20"/>
          <w:lang w:eastAsia="cs-CZ"/>
        </w:rPr>
        <w:t>Technická 1905/5, 160 00 Praha 6 - Dejvice</w:t>
      </w:r>
    </w:p>
    <w:p w14:paraId="5A4782EF"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DA7548">
        <w:rPr>
          <w:rFonts w:ascii="Times New Roman" w:eastAsia="Times New Roman" w:hAnsi="Times New Roman" w:cs="Times New Roman"/>
          <w:sz w:val="20"/>
          <w:szCs w:val="20"/>
          <w:lang w:eastAsia="cs-CZ"/>
        </w:rPr>
        <w:t>60461373</w:t>
      </w:r>
    </w:p>
    <w:p w14:paraId="0476F8E6"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DA7548">
        <w:rPr>
          <w:rFonts w:ascii="Times New Roman" w:eastAsia="Times New Roman" w:hAnsi="Times New Roman" w:cs="Times New Roman"/>
          <w:sz w:val="20"/>
          <w:szCs w:val="20"/>
          <w:lang w:eastAsia="cs-CZ"/>
        </w:rPr>
        <w:t>CZ60461373</w:t>
      </w:r>
    </w:p>
    <w:p w14:paraId="63373C83" w14:textId="6DFF806B"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00C71C7C" w:rsidRPr="00C71C7C">
        <w:rPr>
          <w:rFonts w:ascii="Times New Roman" w:eastAsia="Times New Roman" w:hAnsi="Times New Roman" w:cs="Times New Roman"/>
          <w:bCs/>
          <w:sz w:val="20"/>
          <w:szCs w:val="20"/>
          <w:lang w:eastAsia="cs-CZ"/>
        </w:rPr>
        <w:t>prof. Ing. Milan Pospíšil, CSc.</w:t>
      </w:r>
      <w:r>
        <w:rPr>
          <w:rFonts w:ascii="Times New Roman" w:eastAsia="Times New Roman" w:hAnsi="Times New Roman" w:cs="Times New Roman"/>
          <w:bCs/>
          <w:sz w:val="20"/>
          <w:szCs w:val="20"/>
          <w:lang w:eastAsia="cs-CZ"/>
        </w:rPr>
        <w:t xml:space="preserve">, </w:t>
      </w:r>
      <w:r w:rsidRPr="00E9090D">
        <w:rPr>
          <w:rFonts w:ascii="Times New Roman" w:eastAsia="Times New Roman" w:hAnsi="Times New Roman" w:cs="Times New Roman"/>
          <w:bCs/>
          <w:sz w:val="20"/>
          <w:szCs w:val="20"/>
          <w:lang w:eastAsia="cs-CZ"/>
        </w:rPr>
        <w:t>rektor</w:t>
      </w:r>
    </w:p>
    <w:p w14:paraId="591946D4" w14:textId="7D468A1F"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496A01">
        <w:rPr>
          <w:rFonts w:ascii="Times New Roman" w:eastAsia="Times New Roman" w:hAnsi="Times New Roman" w:cs="Times New Roman"/>
          <w:sz w:val="20"/>
          <w:szCs w:val="20"/>
          <w:lang w:eastAsia="cs-CZ"/>
        </w:rPr>
        <w:t>xxx</w:t>
      </w:r>
      <w:proofErr w:type="spellEnd"/>
    </w:p>
    <w:p w14:paraId="39BF19AB" w14:textId="65114227"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496A01">
        <w:rPr>
          <w:rFonts w:ascii="Times New Roman" w:eastAsia="Times New Roman" w:hAnsi="Times New Roman" w:cs="Times New Roman"/>
          <w:sz w:val="20"/>
          <w:szCs w:val="20"/>
          <w:lang w:eastAsia="cs-CZ"/>
        </w:rPr>
        <w:t>xxx</w:t>
      </w:r>
      <w:proofErr w:type="spellEnd"/>
    </w:p>
    <w:p w14:paraId="7348891D" w14:textId="33842248"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38F4242C" w14:textId="4A80D5CD" w:rsidR="00A73995" w:rsidRPr="00E9090D"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3</w:t>
      </w:r>
      <w:r w:rsidRPr="00E9090D">
        <w:rPr>
          <w:rFonts w:ascii="Times New Roman" w:eastAsia="Times New Roman" w:hAnsi="Times New Roman" w:cs="Times New Roman"/>
          <w:b/>
          <w:bCs/>
          <w:sz w:val="20"/>
          <w:szCs w:val="20"/>
          <w:lang w:eastAsia="cs-CZ"/>
        </w:rPr>
        <w:t>“)</w:t>
      </w:r>
    </w:p>
    <w:p w14:paraId="77CA834E" w14:textId="27EFB7A8" w:rsidR="00A73995"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p>
    <w:p w14:paraId="74C2DFD5" w14:textId="77777777"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10FDA742" w14:textId="0B936400"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4CAECF4" w14:textId="77777777" w:rsidR="00A73995" w:rsidRPr="00E9090D"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5</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r w:rsidRPr="00FA7156">
        <w:rPr>
          <w:rFonts w:ascii="Times New Roman" w:eastAsia="Times New Roman" w:hAnsi="Times New Roman" w:cs="Times New Roman"/>
          <w:b/>
          <w:sz w:val="20"/>
          <w:szCs w:val="20"/>
          <w:lang w:eastAsia="cs-CZ"/>
        </w:rPr>
        <w:t xml:space="preserve">Prusa </w:t>
      </w:r>
      <w:proofErr w:type="spellStart"/>
      <w:r w:rsidRPr="00FA7156">
        <w:rPr>
          <w:rFonts w:ascii="Times New Roman" w:eastAsia="Times New Roman" w:hAnsi="Times New Roman" w:cs="Times New Roman"/>
          <w:b/>
          <w:sz w:val="20"/>
          <w:szCs w:val="20"/>
          <w:lang w:eastAsia="cs-CZ"/>
        </w:rPr>
        <w:t>Polymers</w:t>
      </w:r>
      <w:proofErr w:type="spellEnd"/>
      <w:r w:rsidRPr="00FA7156">
        <w:rPr>
          <w:rFonts w:ascii="Times New Roman" w:eastAsia="Times New Roman" w:hAnsi="Times New Roman" w:cs="Times New Roman"/>
          <w:b/>
          <w:sz w:val="20"/>
          <w:szCs w:val="20"/>
          <w:lang w:eastAsia="cs-CZ"/>
        </w:rPr>
        <w:t xml:space="preserve"> a.s.</w:t>
      </w:r>
    </w:p>
    <w:p w14:paraId="17F11ED7" w14:textId="77777777" w:rsidR="00A73995" w:rsidRPr="00E9090D" w:rsidRDefault="00A73995" w:rsidP="00A73995">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Pr="00876821">
        <w:rPr>
          <w:rFonts w:ascii="Times New Roman" w:eastAsia="Times New Roman" w:hAnsi="Times New Roman" w:cs="Times New Roman"/>
          <w:sz w:val="20"/>
          <w:szCs w:val="20"/>
          <w:lang w:eastAsia="cs-CZ"/>
        </w:rPr>
        <w:t>Partyzánská 188/7a, Holešovice, 170 00 Praha 7</w:t>
      </w:r>
    </w:p>
    <w:p w14:paraId="1838DB8D" w14:textId="77777777" w:rsidR="00A73995" w:rsidRPr="00E9090D" w:rsidRDefault="00A73995" w:rsidP="00A73995">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876821">
        <w:rPr>
          <w:rFonts w:ascii="Times New Roman" w:eastAsia="Times New Roman" w:hAnsi="Times New Roman" w:cs="Times New Roman"/>
          <w:sz w:val="20"/>
          <w:szCs w:val="20"/>
          <w:lang w:eastAsia="cs-CZ"/>
        </w:rPr>
        <w:t>06593615</w:t>
      </w:r>
    </w:p>
    <w:p w14:paraId="584B6199" w14:textId="77777777" w:rsidR="00A73995" w:rsidRPr="00E9090D" w:rsidRDefault="00A73995" w:rsidP="00A73995">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876821">
        <w:rPr>
          <w:rFonts w:ascii="Times New Roman" w:eastAsia="Times New Roman" w:hAnsi="Times New Roman" w:cs="Times New Roman"/>
          <w:sz w:val="20"/>
          <w:szCs w:val="20"/>
          <w:lang w:eastAsia="cs-CZ"/>
        </w:rPr>
        <w:t>CZ06593615</w:t>
      </w:r>
    </w:p>
    <w:p w14:paraId="5EEC1F52" w14:textId="6D2E9861" w:rsidR="00A73995" w:rsidRPr="00E9090D" w:rsidRDefault="00A73995" w:rsidP="00A73995">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C71C7C">
        <w:rPr>
          <w:rFonts w:ascii="Times New Roman" w:eastAsia="Times New Roman" w:hAnsi="Times New Roman" w:cs="Times New Roman"/>
          <w:sz w:val="20"/>
          <w:szCs w:val="20"/>
          <w:lang w:eastAsia="cs-CZ"/>
        </w:rPr>
        <w:t>Josef Průša</w:t>
      </w:r>
    </w:p>
    <w:p w14:paraId="237A667B" w14:textId="77777777" w:rsidR="00A73995" w:rsidRPr="00BF3B46" w:rsidRDefault="00A73995" w:rsidP="00A73995">
      <w:pPr>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b/>
      </w: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Městským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Pr="00876821">
        <w:rPr>
          <w:rFonts w:ascii="Times New Roman" w:eastAsia="Times New Roman" w:hAnsi="Times New Roman" w:cs="Times New Roman"/>
          <w:sz w:val="20"/>
          <w:szCs w:val="20"/>
          <w:lang w:eastAsia="cs-CZ"/>
        </w:rPr>
        <w:t>B 22991</w:t>
      </w:r>
    </w:p>
    <w:p w14:paraId="29BA406C" w14:textId="76234E91" w:rsidR="00A73995" w:rsidRPr="00E9090D" w:rsidRDefault="00A73995" w:rsidP="00A73995">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496A01">
        <w:rPr>
          <w:rFonts w:ascii="Times New Roman" w:eastAsia="Times New Roman" w:hAnsi="Times New Roman" w:cs="Times New Roman"/>
          <w:sz w:val="20"/>
          <w:szCs w:val="20"/>
          <w:lang w:eastAsia="cs-CZ"/>
        </w:rPr>
        <w:t>xxx</w:t>
      </w:r>
      <w:proofErr w:type="spellEnd"/>
    </w:p>
    <w:p w14:paraId="69462A80" w14:textId="13464B13"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496A01">
        <w:rPr>
          <w:rFonts w:ascii="Times New Roman" w:eastAsia="Times New Roman" w:hAnsi="Times New Roman" w:cs="Times New Roman"/>
          <w:sz w:val="20"/>
          <w:szCs w:val="20"/>
          <w:lang w:eastAsia="cs-CZ"/>
        </w:rPr>
        <w:t>xxxx</w:t>
      </w:r>
      <w:proofErr w:type="spellEnd"/>
    </w:p>
    <w:p w14:paraId="43D96457" w14:textId="70427723" w:rsidR="00A73995" w:rsidRPr="00E9090D" w:rsidRDefault="00A73995" w:rsidP="00A73995">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78AC0EDC" w14:textId="28DB3A68" w:rsidR="00A73995"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4</w:t>
      </w:r>
      <w:r w:rsidRPr="00E9090D">
        <w:rPr>
          <w:rFonts w:ascii="Times New Roman" w:eastAsia="Times New Roman" w:hAnsi="Times New Roman" w:cs="Times New Roman"/>
          <w:b/>
          <w:bCs/>
          <w:sz w:val="20"/>
          <w:szCs w:val="20"/>
          <w:lang w:eastAsia="cs-CZ"/>
        </w:rPr>
        <w:t>“)</w:t>
      </w:r>
    </w:p>
    <w:p w14:paraId="61B842F4" w14:textId="77777777" w:rsidR="00D0787A" w:rsidRDefault="00D0787A" w:rsidP="00D0787A">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79D34590" w14:textId="052E712B" w:rsidR="00D0787A" w:rsidRPr="00E9090D" w:rsidRDefault="00D0787A" w:rsidP="00D0787A">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7D5C7315" w14:textId="5427F6F7" w:rsidR="00D0787A" w:rsidRDefault="00D0787A" w:rsidP="00A73995">
      <w:pPr>
        <w:autoSpaceDE w:val="0"/>
        <w:autoSpaceDN w:val="0"/>
        <w:spacing w:after="0" w:line="240" w:lineRule="auto"/>
        <w:jc w:val="both"/>
        <w:rPr>
          <w:rFonts w:ascii="Times New Roman" w:eastAsia="Times New Roman" w:hAnsi="Times New Roman" w:cs="Times New Roman"/>
          <w:b/>
          <w:bCs/>
          <w:sz w:val="20"/>
          <w:szCs w:val="20"/>
          <w:lang w:eastAsia="cs-CZ"/>
        </w:rPr>
      </w:pPr>
    </w:p>
    <w:p w14:paraId="2130A5CE" w14:textId="77777777" w:rsidR="00D0787A" w:rsidRPr="00E9090D" w:rsidRDefault="00D0787A" w:rsidP="00D0787A">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6</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proofErr w:type="spellStart"/>
      <w:r w:rsidRPr="00DB3A57">
        <w:rPr>
          <w:rFonts w:ascii="Times New Roman" w:eastAsia="Times New Roman" w:hAnsi="Times New Roman" w:cs="Times New Roman"/>
          <w:b/>
          <w:sz w:val="20"/>
          <w:szCs w:val="20"/>
          <w:lang w:eastAsia="cs-CZ"/>
        </w:rPr>
        <w:t>Entry</w:t>
      </w:r>
      <w:proofErr w:type="spellEnd"/>
      <w:r w:rsidRPr="00DB3A57">
        <w:rPr>
          <w:rFonts w:ascii="Times New Roman" w:eastAsia="Times New Roman" w:hAnsi="Times New Roman" w:cs="Times New Roman"/>
          <w:b/>
          <w:sz w:val="20"/>
          <w:szCs w:val="20"/>
          <w:lang w:eastAsia="cs-CZ"/>
        </w:rPr>
        <w:t xml:space="preserve"> </w:t>
      </w:r>
      <w:proofErr w:type="spellStart"/>
      <w:r w:rsidRPr="00DB3A57">
        <w:rPr>
          <w:rFonts w:ascii="Times New Roman" w:eastAsia="Times New Roman" w:hAnsi="Times New Roman" w:cs="Times New Roman"/>
          <w:b/>
          <w:sz w:val="20"/>
          <w:szCs w:val="20"/>
          <w:lang w:eastAsia="cs-CZ"/>
        </w:rPr>
        <w:t>Engineering</w:t>
      </w:r>
      <w:proofErr w:type="spellEnd"/>
      <w:r w:rsidRPr="00DB3A57">
        <w:rPr>
          <w:rFonts w:ascii="Times New Roman" w:eastAsia="Times New Roman" w:hAnsi="Times New Roman" w:cs="Times New Roman"/>
          <w:b/>
          <w:sz w:val="20"/>
          <w:szCs w:val="20"/>
          <w:lang w:eastAsia="cs-CZ"/>
        </w:rPr>
        <w:t xml:space="preserve"> s.r.o.</w:t>
      </w:r>
    </w:p>
    <w:p w14:paraId="6255869B" w14:textId="77777777" w:rsidR="00D0787A" w:rsidRPr="00E9090D" w:rsidRDefault="00D0787A" w:rsidP="00D0787A">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Pr="00DB3A57">
        <w:rPr>
          <w:rFonts w:ascii="Times New Roman" w:eastAsia="Times New Roman" w:hAnsi="Times New Roman" w:cs="Times New Roman"/>
          <w:sz w:val="20"/>
          <w:szCs w:val="20"/>
          <w:lang w:eastAsia="cs-CZ"/>
        </w:rPr>
        <w:t>1. máje 871/13, 460 07 Liberec</w:t>
      </w:r>
    </w:p>
    <w:p w14:paraId="0619E00C" w14:textId="77777777" w:rsidR="00D0787A" w:rsidRPr="00E9090D" w:rsidRDefault="00D0787A" w:rsidP="00D0787A">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Pr="00DB3A57">
        <w:rPr>
          <w:rFonts w:ascii="Times New Roman" w:eastAsia="Times New Roman" w:hAnsi="Times New Roman" w:cs="Times New Roman"/>
          <w:sz w:val="20"/>
          <w:szCs w:val="20"/>
          <w:lang w:eastAsia="cs-CZ"/>
        </w:rPr>
        <w:t>28750098</w:t>
      </w:r>
    </w:p>
    <w:p w14:paraId="29B4E9E1" w14:textId="77777777" w:rsidR="00D0787A" w:rsidRPr="00E9090D" w:rsidRDefault="00D0787A" w:rsidP="00D0787A">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Pr="00DB3A57">
        <w:rPr>
          <w:rFonts w:ascii="Times New Roman" w:eastAsia="Times New Roman" w:hAnsi="Times New Roman" w:cs="Times New Roman"/>
          <w:sz w:val="20"/>
          <w:szCs w:val="20"/>
          <w:lang w:eastAsia="cs-CZ"/>
        </w:rPr>
        <w:t>CZ28750098</w:t>
      </w:r>
    </w:p>
    <w:p w14:paraId="1C7D1516" w14:textId="77777777" w:rsidR="00D0787A" w:rsidRPr="00E9090D" w:rsidRDefault="00D0787A" w:rsidP="00D0787A">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Pr="00DB3A57">
        <w:rPr>
          <w:rFonts w:ascii="Times New Roman" w:eastAsia="Times New Roman" w:hAnsi="Times New Roman" w:cs="Times New Roman"/>
          <w:sz w:val="20"/>
          <w:szCs w:val="20"/>
          <w:lang w:eastAsia="cs-CZ"/>
        </w:rPr>
        <w:t xml:space="preserve">Ing. Pavel </w:t>
      </w:r>
      <w:proofErr w:type="spellStart"/>
      <w:r w:rsidRPr="00DB3A57">
        <w:rPr>
          <w:rFonts w:ascii="Times New Roman" w:eastAsia="Times New Roman" w:hAnsi="Times New Roman" w:cs="Times New Roman"/>
          <w:sz w:val="20"/>
          <w:szCs w:val="20"/>
          <w:lang w:eastAsia="cs-CZ"/>
        </w:rPr>
        <w:t>Paickr</w:t>
      </w:r>
      <w:proofErr w:type="spellEnd"/>
    </w:p>
    <w:p w14:paraId="059EB740" w14:textId="77777777" w:rsidR="00D0787A" w:rsidRPr="00E9090D" w:rsidRDefault="00D0787A" w:rsidP="00D0787A">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Pr>
          <w:rFonts w:ascii="Times New Roman" w:eastAsia="Times New Roman" w:hAnsi="Times New Roman" w:cs="Times New Roman"/>
          <w:sz w:val="20"/>
          <w:szCs w:val="20"/>
          <w:lang w:eastAsia="cs-CZ"/>
        </w:rPr>
        <w:t xml:space="preserve"> Ústí nad Labem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Pr>
          <w:rFonts w:ascii="Times New Roman" w:eastAsia="Times New Roman" w:hAnsi="Times New Roman" w:cs="Times New Roman"/>
          <w:sz w:val="20"/>
          <w:szCs w:val="20"/>
          <w:lang w:eastAsia="cs-CZ"/>
        </w:rPr>
        <w:t>C 30678</w:t>
      </w:r>
    </w:p>
    <w:p w14:paraId="34E8C5F4" w14:textId="27A9FC7F" w:rsidR="00D0787A" w:rsidRPr="00E9090D" w:rsidRDefault="00D0787A" w:rsidP="00D0787A">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496A01">
        <w:rPr>
          <w:rFonts w:ascii="Times New Roman" w:eastAsia="Times New Roman" w:hAnsi="Times New Roman" w:cs="Times New Roman"/>
          <w:sz w:val="20"/>
          <w:szCs w:val="20"/>
          <w:lang w:eastAsia="cs-CZ"/>
        </w:rPr>
        <w:t>xxx</w:t>
      </w:r>
      <w:proofErr w:type="spellEnd"/>
    </w:p>
    <w:p w14:paraId="60FEE1DA" w14:textId="1985CB5E" w:rsidR="00D0787A" w:rsidRPr="00E9090D" w:rsidRDefault="00D0787A" w:rsidP="00D0787A">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496A01">
        <w:rPr>
          <w:rFonts w:ascii="Times New Roman" w:eastAsia="Times New Roman" w:hAnsi="Times New Roman" w:cs="Times New Roman"/>
          <w:sz w:val="20"/>
          <w:szCs w:val="20"/>
          <w:lang w:eastAsia="cs-CZ"/>
        </w:rPr>
        <w:t>xxx</w:t>
      </w:r>
      <w:proofErr w:type="spellEnd"/>
    </w:p>
    <w:p w14:paraId="2D2B5B96" w14:textId="5F1B56EA" w:rsidR="00D0787A" w:rsidRPr="00E9090D" w:rsidRDefault="00D0787A" w:rsidP="00D0787A">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028A64AB" w14:textId="0B5E07E9" w:rsidR="00D0787A" w:rsidRPr="00E9090D" w:rsidRDefault="00D0787A" w:rsidP="00D0787A">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ab/>
      </w: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5</w:t>
      </w:r>
      <w:r w:rsidRPr="00E9090D">
        <w:rPr>
          <w:rFonts w:ascii="Times New Roman" w:eastAsia="Times New Roman" w:hAnsi="Times New Roman" w:cs="Times New Roman"/>
          <w:b/>
          <w:bCs/>
          <w:sz w:val="20"/>
          <w:szCs w:val="20"/>
          <w:lang w:eastAsia="cs-CZ"/>
        </w:rPr>
        <w:t>“)</w:t>
      </w:r>
    </w:p>
    <w:p w14:paraId="32658013" w14:textId="3348FEE9" w:rsidR="00A73995" w:rsidRPr="00E9090D" w:rsidRDefault="00A73995" w:rsidP="00A73995">
      <w:pPr>
        <w:autoSpaceDE w:val="0"/>
        <w:autoSpaceDN w:val="0"/>
        <w:spacing w:after="0" w:line="240" w:lineRule="auto"/>
        <w:jc w:val="both"/>
        <w:rPr>
          <w:rFonts w:ascii="Times New Roman" w:eastAsia="Times New Roman" w:hAnsi="Times New Roman" w:cs="Times New Roman"/>
          <w:b/>
          <w:bCs/>
          <w:sz w:val="20"/>
          <w:szCs w:val="20"/>
          <w:lang w:eastAsia="cs-CZ"/>
        </w:rPr>
      </w:pP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400F220" w14:textId="29A6B2CA"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355ADE2" w14:textId="77777777"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p>
    <w:p w14:paraId="68FCA578" w14:textId="7B25AFE5"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61392641"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„Centrum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prostřednictvím Smlouvy o poskytnutí 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03461F10" w:rsidR="00E9090D" w:rsidRPr="00E9090D" w:rsidRDefault="00E9090D" w:rsidP="00EC1DB2">
      <w:pPr>
        <w:numPr>
          <w:ilvl w:val="0"/>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EC1DB2" w:rsidRPr="00EC1DB2">
        <w:rPr>
          <w:rFonts w:ascii="Times New Roman" w:eastAsia="Times New Roman" w:hAnsi="Times New Roman" w:cs="Times New Roman"/>
          <w:b/>
          <w:sz w:val="20"/>
          <w:szCs w:val="20"/>
          <w:lang w:eastAsia="cs-CZ"/>
        </w:rPr>
        <w:t>„3D tisk obtížně dostupných náhradních dílů a individuálního příslušenství automobilů“</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3EA05B86" w14:textId="77777777" w:rsidR="00A526C8" w:rsidRPr="002F5EB6" w:rsidRDefault="00A526C8" w:rsidP="00A526C8">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 případě, že Hlavní příjemce je současně Účastníkem Dílčího projektu, vztahují se na něj, dle povahy dané věci, jak práva a povinnosti vyplývající z této smlouvy pro Hlavního příjemce, tak pro Účastníka Dílčího projektu.  </w:t>
      </w:r>
    </w:p>
    <w:p w14:paraId="686C2941" w14:textId="77777777" w:rsidR="00A526C8" w:rsidRPr="00E9090D" w:rsidRDefault="00A526C8" w:rsidP="00D30DC7">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6A6AD452"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4CCE432C" w14:textId="0F4F7E79" w:rsidR="00386B19" w:rsidRPr="00E9090D" w:rsidRDefault="00386B19"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lastRenderedPageBreak/>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49B57BE7" w:rsidR="00E9090D" w:rsidRPr="00E9090D" w:rsidRDefault="00E9090D" w:rsidP="00EC1DB2">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Název: </w:t>
      </w:r>
      <w:r w:rsidR="00EC1DB2" w:rsidRPr="00EC1DB2">
        <w:rPr>
          <w:rFonts w:ascii="Times New Roman" w:eastAsia="Times New Roman" w:hAnsi="Times New Roman" w:cs="Times New Roman"/>
          <w:b/>
          <w:sz w:val="20"/>
          <w:szCs w:val="20"/>
          <w:lang w:eastAsia="cs-CZ"/>
        </w:rPr>
        <w:t>3D tisk obtížně dostupných náhradních dílů a individuálního příslušenství automobilů</w:t>
      </w:r>
    </w:p>
    <w:p w14:paraId="2C6C0A0E" w14:textId="35593C3D" w:rsidR="00E9090D" w:rsidRPr="00E9090D" w:rsidRDefault="00E9090D" w:rsidP="00EC1DB2">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EC1DB2">
        <w:rPr>
          <w:rFonts w:ascii="Times New Roman" w:eastAsia="Times New Roman" w:hAnsi="Times New Roman" w:cs="Times New Roman"/>
          <w:b/>
          <w:sz w:val="20"/>
          <w:szCs w:val="20"/>
          <w:lang w:eastAsia="cs-CZ"/>
        </w:rPr>
        <w:t>TN02000033/</w:t>
      </w:r>
      <w:r w:rsidR="00EC1DB2" w:rsidRPr="00EC1DB2">
        <w:rPr>
          <w:rFonts w:ascii="Times New Roman" w:eastAsia="Times New Roman" w:hAnsi="Times New Roman" w:cs="Times New Roman"/>
          <w:b/>
          <w:sz w:val="20"/>
          <w:szCs w:val="20"/>
          <w:lang w:eastAsia="cs-CZ"/>
        </w:rPr>
        <w:t>66</w:t>
      </w:r>
    </w:p>
    <w:p w14:paraId="47CA918E" w14:textId="6C81495B"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EC1DB2" w:rsidRPr="00EC1DB2">
        <w:rPr>
          <w:rFonts w:ascii="Times New Roman" w:eastAsia="Times New Roman" w:hAnsi="Times New Roman" w:cs="Times New Roman"/>
          <w:b/>
          <w:sz w:val="20"/>
          <w:szCs w:val="20"/>
          <w:lang w:eastAsia="cs-CZ"/>
        </w:rPr>
        <w:t>1/2025 – 12/2026</w:t>
      </w:r>
      <w:bookmarkStart w:id="0" w:name="_GoBack"/>
      <w:bookmarkEnd w:id="0"/>
    </w:p>
    <w:p w14:paraId="413EBF97" w14:textId="0D9E5AEA"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sidR="00EC1DB2">
        <w:rPr>
          <w:rFonts w:ascii="Times New Roman" w:eastAsia="Times New Roman" w:hAnsi="Times New Roman" w:cs="Times New Roman"/>
          <w:sz w:val="20"/>
          <w:szCs w:val="20"/>
          <w:lang w:eastAsia="cs-CZ"/>
        </w:rPr>
        <w:t xml:space="preserve"> </w:t>
      </w:r>
      <w:r w:rsidR="00003930">
        <w:rPr>
          <w:rFonts w:ascii="Times New Roman" w:eastAsia="Times New Roman" w:hAnsi="Times New Roman" w:cs="Times New Roman"/>
          <w:sz w:val="20"/>
          <w:szCs w:val="20"/>
          <w:lang w:eastAsia="cs-CZ"/>
        </w:rPr>
        <w:t>Dílčího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EC1DB2" w:rsidRPr="009B7418">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sz w:val="20"/>
          <w:szCs w:val="20"/>
          <w:lang w:eastAsia="cs-CZ"/>
        </w:rPr>
        <w:t xml:space="preserve"> (dále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5317B385"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3D4C677C" w14:textId="1145957D" w:rsidR="00EC1DB2" w:rsidRDefault="00E9090D"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003930">
        <w:rPr>
          <w:rFonts w:ascii="Times New Roman" w:eastAsia="Times New Roman" w:hAnsi="Times New Roman" w:cs="Times New Roman"/>
          <w:sz w:val="20"/>
          <w:szCs w:val="20"/>
          <w:lang w:eastAsia="cs-CZ"/>
        </w:rPr>
        <w:t>Ú</w:t>
      </w:r>
      <w:r w:rsidR="00EC1DB2">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4868331B" w14:textId="57B47DAA" w:rsidR="00E9090D" w:rsidRDefault="00EC1DB2"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 xml:space="preserve">Účastníka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3</w:t>
      </w:r>
      <w:r w:rsidRPr="00E9090D">
        <w:rPr>
          <w:rFonts w:ascii="Times New Roman" w:eastAsia="Times New Roman" w:hAnsi="Times New Roman" w:cs="Times New Roman"/>
          <w:sz w:val="20"/>
          <w:szCs w:val="20"/>
          <w:lang w:eastAsia="cs-CZ"/>
        </w:rPr>
        <w:t>:</w:t>
      </w:r>
      <w:r w:rsidR="00391075">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5D752E0F" w14:textId="1DDF767A" w:rsidR="00EC1DB2" w:rsidRDefault="00EC1DB2"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 xml:space="preserve">Účastníka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4</w:t>
      </w:r>
      <w:r w:rsidRPr="00E9090D">
        <w:rPr>
          <w:rFonts w:ascii="Times New Roman" w:eastAsia="Times New Roman" w:hAnsi="Times New Roman" w:cs="Times New Roman"/>
          <w:sz w:val="20"/>
          <w:szCs w:val="20"/>
          <w:lang w:eastAsia="cs-CZ"/>
        </w:rPr>
        <w:t>:</w:t>
      </w:r>
      <w:r w:rsidR="00391075" w:rsidRPr="00391075">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3AE5D3B5" w14:textId="548752BF" w:rsidR="00EC1DB2" w:rsidRDefault="00EC1DB2"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 xml:space="preserve">Účastníka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5</w:t>
      </w:r>
      <w:r w:rsidRPr="00E9090D">
        <w:rPr>
          <w:rFonts w:ascii="Times New Roman" w:eastAsia="Times New Roman" w:hAnsi="Times New Roman" w:cs="Times New Roman"/>
          <w:sz w:val="20"/>
          <w:szCs w:val="20"/>
          <w:lang w:eastAsia="cs-CZ"/>
        </w:rPr>
        <w:t>:</w:t>
      </w:r>
      <w:r w:rsidR="00391075">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79A91796" w14:textId="27D21E1F" w:rsidR="00EC1DB2" w:rsidRPr="00EC1DB2" w:rsidRDefault="00EC1DB2" w:rsidP="00F476FA">
      <w:pPr>
        <w:numPr>
          <w:ilvl w:val="2"/>
          <w:numId w:val="14"/>
        </w:numPr>
        <w:autoSpaceDE w:val="0"/>
        <w:autoSpaceDN w:val="0"/>
        <w:spacing w:after="0" w:line="240" w:lineRule="auto"/>
        <w:jc w:val="both"/>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w:t>
      </w:r>
      <w:r>
        <w:rPr>
          <w:rFonts w:ascii="Times New Roman" w:eastAsia="Times New Roman" w:hAnsi="Times New Roman" w:cs="Times New Roman"/>
          <w:sz w:val="20"/>
          <w:szCs w:val="20"/>
          <w:lang w:eastAsia="cs-CZ"/>
        </w:rPr>
        <w:t xml:space="preserve"> 6</w:t>
      </w:r>
      <w:r w:rsidRPr="00E9090D">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r w:rsidR="003074DC">
        <w:rPr>
          <w:rFonts w:ascii="Times New Roman" w:eastAsia="Times New Roman" w:hAnsi="Times New Roman" w:cs="Times New Roman"/>
          <w:b/>
          <w:sz w:val="20"/>
          <w:szCs w:val="20"/>
          <w:lang w:eastAsia="cs-CZ"/>
        </w:rPr>
        <w:t xml:space="preserve"> </w:t>
      </w:r>
      <w:proofErr w:type="spellStart"/>
      <w:r w:rsidR="003074DC">
        <w:rPr>
          <w:rFonts w:ascii="Times New Roman" w:eastAsia="Times New Roman" w:hAnsi="Times New Roman" w:cs="Times New Roman"/>
          <w:b/>
          <w:sz w:val="20"/>
          <w:szCs w:val="20"/>
          <w:lang w:eastAsia="cs-CZ"/>
        </w:rPr>
        <w:t>xxx</w:t>
      </w:r>
      <w:proofErr w:type="spellEnd"/>
    </w:p>
    <w:p w14:paraId="45621DA0" w14:textId="77777777" w:rsidR="00E9090D" w:rsidRPr="00E9090D" w:rsidRDefault="00E9090D" w:rsidP="00E9090D">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77777777" w:rsidR="00E51D49" w:rsidRPr="00E9090D"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441E4D26"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003930">
        <w:rPr>
          <w:rFonts w:ascii="Times New Roman" w:eastAsia="Times New Roman" w:hAnsi="Times New Roman" w:cs="Times New Roman"/>
          <w:sz w:val="20"/>
          <w:szCs w:val="20"/>
          <w:lang w:eastAsia="cs-CZ"/>
        </w:rPr>
        <w:t xml:space="preserve">Účastník Dílčího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707594E8"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C1DB2">
        <w:rPr>
          <w:rFonts w:ascii="Times New Roman" w:eastAsia="Times New Roman" w:hAnsi="Times New Roman" w:cs="Times New Roman"/>
          <w:sz w:val="20"/>
          <w:szCs w:val="20"/>
          <w:lang w:eastAsia="cs-CZ"/>
        </w:rPr>
        <w:t>Všichni další účastníci Dílčího projektu se zavazují poskytnout Hlavnímu řešiteli veškerou nezbytnou a potřebnou spolupráci a s</w:t>
      </w:r>
      <w:r w:rsidR="00EC1DB2" w:rsidRPr="00EC1DB2">
        <w:rPr>
          <w:rFonts w:ascii="Times New Roman" w:eastAsia="Times New Roman" w:hAnsi="Times New Roman" w:cs="Times New Roman"/>
          <w:sz w:val="20"/>
          <w:szCs w:val="20"/>
          <w:lang w:eastAsia="cs-CZ"/>
        </w:rPr>
        <w:t>oučinnost k tomu, aby Účastník</w:t>
      </w:r>
      <w:r w:rsidR="00EC1DB2">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Dílčího projektu</w:t>
      </w:r>
      <w:r w:rsidR="0032206D">
        <w:rPr>
          <w:rFonts w:ascii="Times New Roman" w:eastAsia="Times New Roman" w:hAnsi="Times New Roman" w:cs="Times New Roman"/>
          <w:sz w:val="20"/>
          <w:szCs w:val="20"/>
          <w:lang w:eastAsia="cs-CZ"/>
        </w:rPr>
        <w:t xml:space="preserve"> 1</w:t>
      </w:r>
      <w:r>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Pr>
          <w:rFonts w:ascii="Times New Roman" w:eastAsia="Times New Roman" w:hAnsi="Times New Roman" w:cs="Times New Roman"/>
          <w:sz w:val="20"/>
          <w:szCs w:val="20"/>
          <w:lang w:eastAsia="cs-CZ"/>
        </w:rPr>
        <w:t>5</w:t>
      </w:r>
      <w:r w:rsidR="00EC1DB2">
        <w:rPr>
          <w:rFonts w:ascii="Times New Roman" w:eastAsia="Times New Roman" w:hAnsi="Times New Roman" w:cs="Times New Roman"/>
          <w:sz w:val="20"/>
          <w:szCs w:val="20"/>
          <w:lang w:eastAsia="cs-CZ"/>
        </w:rPr>
        <w:t xml:space="preserve">.2. </w:t>
      </w:r>
      <w:r>
        <w:rPr>
          <w:rFonts w:ascii="Times New Roman" w:eastAsia="Times New Roman" w:hAnsi="Times New Roman" w:cs="Times New Roman"/>
          <w:sz w:val="20"/>
          <w:szCs w:val="20"/>
          <w:lang w:eastAsia="cs-CZ"/>
        </w:rPr>
        <w:t>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lastRenderedPageBreak/>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77777777"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343E12D2"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 xml:space="preserve">Účastník </w:t>
      </w:r>
      <w:r w:rsidRPr="00E9090D">
        <w:rPr>
          <w:rFonts w:ascii="Times New Roman" w:eastAsia="Times New Roman" w:hAnsi="Times New Roman" w:cs="Times New Roman"/>
          <w:sz w:val="20"/>
          <w:szCs w:val="20"/>
          <w:lang w:eastAsia="cs-CZ"/>
        </w:rPr>
        <w:t xml:space="preserve">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Schválené náklady vynaložené na řešení Dílčího projektu v době přede dnem nabytí účinnosti této smlouvy, avšak nikoliv dříve než je den uvedený jako začátek řešení Dílčího projektu v Závazných </w:t>
      </w:r>
      <w:r w:rsidRPr="00E9090D">
        <w:rPr>
          <w:rFonts w:ascii="Times New Roman" w:eastAsia="Times New Roman" w:hAnsi="Times New Roman" w:cs="Times New Roman"/>
          <w:sz w:val="20"/>
          <w:szCs w:val="20"/>
          <w:lang w:eastAsia="cs-CZ"/>
        </w:rPr>
        <w:lastRenderedPageBreak/>
        <w:t>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B351B3"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Pr="00B351B3" w:rsidRDefault="00E51D49" w:rsidP="00E51D49">
      <w:pPr>
        <w:pStyle w:val="Odstavecseseznamem"/>
        <w:rPr>
          <w:rFonts w:ascii="Tms Rmn" w:hAnsi="Tms Rmn"/>
          <w:sz w:val="20"/>
          <w:szCs w:val="24"/>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4C98A8B" w14:textId="05DDDC19" w:rsidR="00E9090D" w:rsidRDefault="00E9090D" w:rsidP="00E9090D">
      <w:pPr>
        <w:spacing w:after="0" w:line="240" w:lineRule="auto"/>
        <w:ind w:left="720"/>
        <w:contextualSpacing/>
        <w:jc w:val="both"/>
        <w:rPr>
          <w:rFonts w:ascii="Times New Roman" w:eastAsia="Times New Roman" w:hAnsi="Times New Roman" w:cs="Times New Roman"/>
          <w:sz w:val="20"/>
          <w:szCs w:val="20"/>
          <w:lang w:eastAsia="cs-CZ"/>
        </w:rPr>
      </w:pP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lastRenderedPageBreak/>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0912D926" w14:textId="4E67BF5E" w:rsidR="00386B19" w:rsidRDefault="00386B1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lastRenderedPageBreak/>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13A4FCD7"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375BFD">
        <w:rPr>
          <w:sz w:val="20"/>
        </w:rPr>
        <w:t>m</w:t>
      </w:r>
      <w:r w:rsidRPr="00C364E1">
        <w:rPr>
          <w:sz w:val="20"/>
        </w:rPr>
        <w:t>:</w:t>
      </w:r>
    </w:p>
    <w:p w14:paraId="08E4CE05" w14:textId="28D5137B" w:rsidR="00C364E1" w:rsidRPr="00E9090D" w:rsidRDefault="00C364E1" w:rsidP="00D84E3F">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1</w:t>
      </w:r>
      <w:r w:rsidRPr="00E9090D">
        <w:rPr>
          <w:rFonts w:ascii="Times New Roman" w:eastAsia="Times New Roman" w:hAnsi="Times New Roman" w:cs="Times New Roman"/>
          <w:sz w:val="20"/>
          <w:szCs w:val="20"/>
          <w:lang w:eastAsia="cs-CZ"/>
        </w:rPr>
        <w:t xml:space="preserve">: </w:t>
      </w:r>
      <w:r w:rsidR="00D84E3F" w:rsidRPr="00B56344">
        <w:rPr>
          <w:rFonts w:ascii="Times New Roman" w:eastAsia="Times New Roman" w:hAnsi="Times New Roman" w:cs="Times New Roman"/>
          <w:b/>
          <w:sz w:val="20"/>
          <w:szCs w:val="20"/>
          <w:lang w:eastAsia="cs-CZ"/>
        </w:rPr>
        <w:t>ŠA VŠ</w:t>
      </w:r>
      <w:r w:rsidR="00D84E3F">
        <w:rPr>
          <w:rFonts w:ascii="Times New Roman" w:eastAsia="Times New Roman" w:hAnsi="Times New Roman" w:cs="Times New Roman"/>
          <w:sz w:val="20"/>
          <w:szCs w:val="20"/>
          <w:lang w:eastAsia="cs-CZ"/>
        </w:rPr>
        <w:t xml:space="preserve"> vstupuje do DP s p</w:t>
      </w:r>
      <w:r w:rsidR="00D84E3F" w:rsidRPr="00D84E3F">
        <w:rPr>
          <w:rFonts w:ascii="Times New Roman" w:eastAsia="Times New Roman" w:hAnsi="Times New Roman" w:cs="Times New Roman"/>
          <w:sz w:val="20"/>
          <w:szCs w:val="20"/>
          <w:lang w:eastAsia="cs-CZ"/>
        </w:rPr>
        <w:t>řehled</w:t>
      </w:r>
      <w:r w:rsidR="00D84E3F">
        <w:rPr>
          <w:rFonts w:ascii="Times New Roman" w:eastAsia="Times New Roman" w:hAnsi="Times New Roman" w:cs="Times New Roman"/>
          <w:sz w:val="20"/>
          <w:szCs w:val="20"/>
          <w:lang w:eastAsia="cs-CZ"/>
        </w:rPr>
        <w:t>em</w:t>
      </w:r>
      <w:r w:rsidR="00D84E3F" w:rsidRPr="00D84E3F">
        <w:rPr>
          <w:rFonts w:ascii="Times New Roman" w:eastAsia="Times New Roman" w:hAnsi="Times New Roman" w:cs="Times New Roman"/>
          <w:sz w:val="20"/>
          <w:szCs w:val="20"/>
          <w:lang w:eastAsia="cs-CZ"/>
        </w:rPr>
        <w:t xml:space="preserve"> o současně dostupných materiálech, jejich aplikac</w:t>
      </w:r>
      <w:r w:rsidR="00D84E3F">
        <w:rPr>
          <w:rFonts w:ascii="Times New Roman" w:eastAsia="Times New Roman" w:hAnsi="Times New Roman" w:cs="Times New Roman"/>
          <w:sz w:val="20"/>
          <w:szCs w:val="20"/>
          <w:lang w:eastAsia="cs-CZ"/>
        </w:rPr>
        <w:t>ích a technologickém zpracování, z</w:t>
      </w:r>
      <w:r w:rsidR="00D84E3F" w:rsidRPr="00D84E3F">
        <w:rPr>
          <w:rFonts w:ascii="Times New Roman" w:eastAsia="Times New Roman" w:hAnsi="Times New Roman" w:cs="Times New Roman"/>
          <w:sz w:val="20"/>
          <w:szCs w:val="20"/>
          <w:lang w:eastAsia="cs-CZ"/>
        </w:rPr>
        <w:t>nalost</w:t>
      </w:r>
      <w:r w:rsidR="00D84E3F">
        <w:rPr>
          <w:rFonts w:ascii="Times New Roman" w:eastAsia="Times New Roman" w:hAnsi="Times New Roman" w:cs="Times New Roman"/>
          <w:sz w:val="20"/>
          <w:szCs w:val="20"/>
          <w:lang w:eastAsia="cs-CZ"/>
        </w:rPr>
        <w:t>í</w:t>
      </w:r>
      <w:r w:rsidR="00D84E3F" w:rsidRPr="00D84E3F">
        <w:rPr>
          <w:rFonts w:ascii="Times New Roman" w:eastAsia="Times New Roman" w:hAnsi="Times New Roman" w:cs="Times New Roman"/>
          <w:sz w:val="20"/>
          <w:szCs w:val="20"/>
          <w:lang w:eastAsia="cs-CZ"/>
        </w:rPr>
        <w:t xml:space="preserve"> konstrukčních a technologických zvyklostí pro konstrukci a výrobu dílů vyro</w:t>
      </w:r>
      <w:r w:rsidR="00D84E3F">
        <w:rPr>
          <w:rFonts w:ascii="Times New Roman" w:eastAsia="Times New Roman" w:hAnsi="Times New Roman" w:cs="Times New Roman"/>
          <w:sz w:val="20"/>
          <w:szCs w:val="20"/>
          <w:lang w:eastAsia="cs-CZ"/>
        </w:rPr>
        <w:t>bených pomocí 3D tisku. Dále do DP přispěje z</w:t>
      </w:r>
      <w:r w:rsidR="00D84E3F" w:rsidRPr="00D84E3F">
        <w:rPr>
          <w:rFonts w:ascii="Times New Roman" w:eastAsia="Times New Roman" w:hAnsi="Times New Roman" w:cs="Times New Roman"/>
          <w:sz w:val="20"/>
          <w:szCs w:val="20"/>
          <w:lang w:eastAsia="cs-CZ"/>
        </w:rPr>
        <w:t>nalost</w:t>
      </w:r>
      <w:r w:rsidR="00D84E3F">
        <w:rPr>
          <w:rFonts w:ascii="Times New Roman" w:eastAsia="Times New Roman" w:hAnsi="Times New Roman" w:cs="Times New Roman"/>
          <w:sz w:val="20"/>
          <w:szCs w:val="20"/>
          <w:lang w:eastAsia="cs-CZ"/>
        </w:rPr>
        <w:t>í</w:t>
      </w:r>
      <w:r w:rsidR="00D84E3F" w:rsidRPr="00D84E3F">
        <w:rPr>
          <w:rFonts w:ascii="Times New Roman" w:eastAsia="Times New Roman" w:hAnsi="Times New Roman" w:cs="Times New Roman"/>
          <w:sz w:val="20"/>
          <w:szCs w:val="20"/>
          <w:lang w:eastAsia="cs-CZ"/>
        </w:rPr>
        <w:t xml:space="preserve"> a schopnost</w:t>
      </w:r>
      <w:r w:rsidR="00D84E3F">
        <w:rPr>
          <w:rFonts w:ascii="Times New Roman" w:eastAsia="Times New Roman" w:hAnsi="Times New Roman" w:cs="Times New Roman"/>
          <w:sz w:val="20"/>
          <w:szCs w:val="20"/>
          <w:lang w:eastAsia="cs-CZ"/>
        </w:rPr>
        <w:t>í</w:t>
      </w:r>
      <w:r w:rsidR="00D84E3F" w:rsidRPr="00D84E3F">
        <w:rPr>
          <w:rFonts w:ascii="Times New Roman" w:eastAsia="Times New Roman" w:hAnsi="Times New Roman" w:cs="Times New Roman"/>
          <w:sz w:val="20"/>
          <w:szCs w:val="20"/>
          <w:lang w:eastAsia="cs-CZ"/>
        </w:rPr>
        <w:t xml:space="preserve"> normalizovaného testování materiálových vlastností plastů a znalost metod experimentálního testování konkrétních strojních součástí včetně součástí vyrobených pomocí 3D tisku a schopnost tyto experimenty provádět</w:t>
      </w:r>
      <w:r w:rsidR="00D84E3F">
        <w:rPr>
          <w:rFonts w:ascii="Times New Roman" w:eastAsia="Times New Roman" w:hAnsi="Times New Roman" w:cs="Times New Roman"/>
          <w:sz w:val="20"/>
          <w:szCs w:val="20"/>
          <w:lang w:eastAsia="cs-CZ"/>
        </w:rPr>
        <w:t xml:space="preserve"> a s</w:t>
      </w:r>
      <w:r w:rsidR="00D84E3F" w:rsidRPr="00D84E3F">
        <w:rPr>
          <w:rFonts w:ascii="Times New Roman" w:eastAsia="Times New Roman" w:hAnsi="Times New Roman" w:cs="Times New Roman"/>
          <w:sz w:val="20"/>
          <w:szCs w:val="20"/>
          <w:lang w:eastAsia="cs-CZ"/>
        </w:rPr>
        <w:t>chopnost</w:t>
      </w:r>
      <w:r w:rsidR="00D84E3F">
        <w:rPr>
          <w:rFonts w:ascii="Times New Roman" w:eastAsia="Times New Roman" w:hAnsi="Times New Roman" w:cs="Times New Roman"/>
          <w:sz w:val="20"/>
          <w:szCs w:val="20"/>
          <w:lang w:eastAsia="cs-CZ"/>
        </w:rPr>
        <w:t>í</w:t>
      </w:r>
      <w:r w:rsidR="00D84E3F" w:rsidRPr="00D84E3F">
        <w:rPr>
          <w:rFonts w:ascii="Times New Roman" w:eastAsia="Times New Roman" w:hAnsi="Times New Roman" w:cs="Times New Roman"/>
          <w:sz w:val="20"/>
          <w:szCs w:val="20"/>
          <w:lang w:eastAsia="cs-CZ"/>
        </w:rPr>
        <w:t xml:space="preserve"> provádět zkušební tisky na strunových tiskárnách včetně optimalizace technologických parametrů výroby.  </w:t>
      </w:r>
    </w:p>
    <w:p w14:paraId="4CC0543B" w14:textId="1169BF9D" w:rsidR="00C364E1" w:rsidRDefault="00C364E1" w:rsidP="00391075">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2</w:t>
      </w:r>
      <w:r w:rsidRPr="00E9090D">
        <w:rPr>
          <w:rFonts w:ascii="Times New Roman" w:eastAsia="Times New Roman" w:hAnsi="Times New Roman" w:cs="Times New Roman"/>
          <w:sz w:val="20"/>
          <w:szCs w:val="20"/>
          <w:lang w:eastAsia="cs-CZ"/>
        </w:rPr>
        <w:t xml:space="preserve">: </w:t>
      </w:r>
      <w:r w:rsidR="00391075" w:rsidRPr="00B56344">
        <w:rPr>
          <w:rFonts w:ascii="Times New Roman" w:eastAsia="Times New Roman" w:hAnsi="Times New Roman" w:cs="Times New Roman"/>
          <w:b/>
          <w:sz w:val="20"/>
          <w:szCs w:val="20"/>
          <w:lang w:eastAsia="cs-CZ"/>
        </w:rPr>
        <w:t>ŠA</w:t>
      </w:r>
      <w:r w:rsidR="00391075" w:rsidRPr="00391075">
        <w:rPr>
          <w:rFonts w:ascii="Times New Roman" w:eastAsia="Times New Roman" w:hAnsi="Times New Roman" w:cs="Times New Roman"/>
          <w:sz w:val="20"/>
          <w:szCs w:val="20"/>
          <w:lang w:eastAsia="cs-CZ"/>
        </w:rPr>
        <w:t xml:space="preserve"> bude v DP vybírat vhodné náhradní díly a příslušenství pro zákazníky pro dosažení dílčích výsledků projektu. Využívat bude své dlouholeté zkušenosti v oblasti vývoje v automobilovém průmyslu, své znalosti o materiálech vhodných k recyklaci a o postupech vedoucím k homologačním procesům. Zapojí do </w:t>
      </w:r>
      <w:proofErr w:type="spellStart"/>
      <w:r w:rsidR="00391075" w:rsidRPr="00391075">
        <w:rPr>
          <w:rFonts w:ascii="Times New Roman" w:eastAsia="Times New Roman" w:hAnsi="Times New Roman" w:cs="Times New Roman"/>
          <w:sz w:val="20"/>
          <w:szCs w:val="20"/>
          <w:lang w:eastAsia="cs-CZ"/>
        </w:rPr>
        <w:t>VaV</w:t>
      </w:r>
      <w:proofErr w:type="spellEnd"/>
      <w:r w:rsidR="00391075" w:rsidRPr="00391075">
        <w:rPr>
          <w:rFonts w:ascii="Times New Roman" w:eastAsia="Times New Roman" w:hAnsi="Times New Roman" w:cs="Times New Roman"/>
          <w:sz w:val="20"/>
          <w:szCs w:val="20"/>
          <w:lang w:eastAsia="cs-CZ"/>
        </w:rPr>
        <w:t xml:space="preserve"> aktivit své experty a odborná vývojová pracoviště. Bude centralizovat ve své expertní databázi veškeré informace vedoucí ke správnému nastavení tiskových parametrů a umožní jejich použití k budoucí potencionální výrobě v malých sériích.</w:t>
      </w:r>
    </w:p>
    <w:p w14:paraId="10A82508" w14:textId="03E0F253" w:rsidR="00EC1DB2" w:rsidRPr="00E9090D" w:rsidRDefault="00EC1DB2" w:rsidP="00EC1DB2">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3</w:t>
      </w:r>
      <w:r w:rsidRPr="00E9090D">
        <w:rPr>
          <w:rFonts w:ascii="Times New Roman" w:eastAsia="Times New Roman" w:hAnsi="Times New Roman" w:cs="Times New Roman"/>
          <w:sz w:val="20"/>
          <w:szCs w:val="20"/>
          <w:lang w:eastAsia="cs-CZ"/>
        </w:rPr>
        <w:t xml:space="preserve">: </w:t>
      </w:r>
      <w:r w:rsidR="0069685D" w:rsidRPr="00B56344">
        <w:rPr>
          <w:rFonts w:ascii="Times New Roman" w:eastAsia="Times New Roman" w:hAnsi="Times New Roman" w:cs="Times New Roman"/>
          <w:b/>
          <w:sz w:val="20"/>
          <w:szCs w:val="20"/>
          <w:lang w:eastAsia="cs-CZ"/>
        </w:rPr>
        <w:t>VŠCHT</w:t>
      </w:r>
      <w:r w:rsidR="0069685D" w:rsidRPr="0069685D">
        <w:rPr>
          <w:rFonts w:ascii="Times New Roman" w:eastAsia="Times New Roman" w:hAnsi="Times New Roman" w:cs="Times New Roman"/>
          <w:sz w:val="20"/>
          <w:szCs w:val="20"/>
          <w:lang w:eastAsia="cs-CZ"/>
        </w:rPr>
        <w:t xml:space="preserve"> Praha disponuje s</w:t>
      </w:r>
      <w:r w:rsidR="0069685D">
        <w:rPr>
          <w:rFonts w:ascii="Times New Roman" w:eastAsia="Times New Roman" w:hAnsi="Times New Roman" w:cs="Times New Roman"/>
          <w:sz w:val="20"/>
          <w:szCs w:val="20"/>
          <w:lang w:eastAsia="cs-CZ"/>
        </w:rPr>
        <w:t>ilným experimentálním zázemím a </w:t>
      </w:r>
      <w:r w:rsidR="0069685D" w:rsidRPr="0069685D">
        <w:rPr>
          <w:rFonts w:ascii="Times New Roman" w:eastAsia="Times New Roman" w:hAnsi="Times New Roman" w:cs="Times New Roman"/>
          <w:sz w:val="20"/>
          <w:szCs w:val="20"/>
          <w:lang w:eastAsia="cs-CZ"/>
        </w:rPr>
        <w:t>zkušenostmi v oblasti mechanických testů a  testů stárnutí. Disponuje řadou přístrojů, které lze vhodně využít právě pro 3D vytisknuté díly a stanovovat jejich životnost z pohledu mechanických vlastností (např. DMA analýza), ale i povětrnostních (např. komora pro povětrnostní stárnutí).</w:t>
      </w:r>
    </w:p>
    <w:p w14:paraId="2867D633" w14:textId="6474DE6D" w:rsidR="00EC1DB2" w:rsidRPr="00E9090D" w:rsidRDefault="00EC1DB2" w:rsidP="00B56344">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4</w:t>
      </w:r>
      <w:r w:rsidRPr="00E9090D">
        <w:rPr>
          <w:rFonts w:ascii="Times New Roman" w:eastAsia="Times New Roman" w:hAnsi="Times New Roman" w:cs="Times New Roman"/>
          <w:sz w:val="20"/>
          <w:szCs w:val="20"/>
          <w:lang w:eastAsia="cs-CZ"/>
        </w:rPr>
        <w:t xml:space="preserve">: </w:t>
      </w:r>
      <w:r w:rsidR="00B56344" w:rsidRPr="00B56344">
        <w:rPr>
          <w:rFonts w:ascii="Times New Roman" w:eastAsia="Times New Roman" w:hAnsi="Times New Roman" w:cs="Times New Roman"/>
          <w:b/>
          <w:sz w:val="20"/>
          <w:szCs w:val="20"/>
          <w:lang w:eastAsia="cs-CZ"/>
        </w:rPr>
        <w:t xml:space="preserve">Prusa </w:t>
      </w:r>
      <w:proofErr w:type="spellStart"/>
      <w:r w:rsidR="00B56344" w:rsidRPr="00B56344">
        <w:rPr>
          <w:rFonts w:ascii="Times New Roman" w:eastAsia="Times New Roman" w:hAnsi="Times New Roman" w:cs="Times New Roman"/>
          <w:b/>
          <w:sz w:val="20"/>
          <w:szCs w:val="20"/>
          <w:lang w:eastAsia="cs-CZ"/>
        </w:rPr>
        <w:t>Polymers</w:t>
      </w:r>
      <w:proofErr w:type="spellEnd"/>
      <w:r w:rsidR="00B56344" w:rsidRPr="00B56344">
        <w:rPr>
          <w:rFonts w:ascii="Times New Roman" w:eastAsia="Times New Roman" w:hAnsi="Times New Roman" w:cs="Times New Roman"/>
          <w:b/>
          <w:sz w:val="20"/>
          <w:szCs w:val="20"/>
          <w:lang w:eastAsia="cs-CZ"/>
        </w:rPr>
        <w:t xml:space="preserve"> a. s.</w:t>
      </w:r>
      <w:r w:rsidR="00B56344" w:rsidRPr="00B56344">
        <w:rPr>
          <w:rFonts w:ascii="Times New Roman" w:eastAsia="Times New Roman" w:hAnsi="Times New Roman" w:cs="Times New Roman"/>
          <w:sz w:val="20"/>
          <w:szCs w:val="20"/>
          <w:lang w:eastAsia="cs-CZ"/>
        </w:rPr>
        <w:t xml:space="preserve"> disponuje pro potřeby projektu optimalizovanou konstrukcí extruzní linky pro výrobu 3D tiskových strun včetně přídavných zařízení umožňujících s </w:t>
      </w:r>
      <w:r w:rsidR="00B56344" w:rsidRPr="00B56344">
        <w:rPr>
          <w:rFonts w:ascii="Times New Roman" w:eastAsia="Times New Roman" w:hAnsi="Times New Roman" w:cs="Times New Roman"/>
          <w:sz w:val="20"/>
          <w:szCs w:val="20"/>
          <w:lang w:eastAsia="cs-CZ"/>
        </w:rPr>
        <w:lastRenderedPageBreak/>
        <w:t xml:space="preserve">vyvinutým výrobním postupem produkci struny, která se vyznačuje nízkou odchylkou průměru, což se pozitivně odráží na kvalitě tiskových výsledků. Rovněž má k dispozici </w:t>
      </w:r>
      <w:proofErr w:type="spellStart"/>
      <w:r w:rsidR="00B56344" w:rsidRPr="00B56344">
        <w:rPr>
          <w:rFonts w:ascii="Times New Roman" w:eastAsia="Times New Roman" w:hAnsi="Times New Roman" w:cs="Times New Roman"/>
          <w:sz w:val="20"/>
          <w:szCs w:val="20"/>
          <w:lang w:eastAsia="cs-CZ"/>
        </w:rPr>
        <w:t>dvoušnekové</w:t>
      </w:r>
      <w:proofErr w:type="spellEnd"/>
      <w:r w:rsidR="00B56344" w:rsidRPr="00B56344">
        <w:rPr>
          <w:rFonts w:ascii="Times New Roman" w:eastAsia="Times New Roman" w:hAnsi="Times New Roman" w:cs="Times New Roman"/>
          <w:sz w:val="20"/>
          <w:szCs w:val="20"/>
          <w:lang w:eastAsia="cs-CZ"/>
        </w:rPr>
        <w:t xml:space="preserve"> </w:t>
      </w:r>
      <w:proofErr w:type="spellStart"/>
      <w:r w:rsidR="00B56344" w:rsidRPr="00B56344">
        <w:rPr>
          <w:rFonts w:ascii="Times New Roman" w:eastAsia="Times New Roman" w:hAnsi="Times New Roman" w:cs="Times New Roman"/>
          <w:sz w:val="20"/>
          <w:szCs w:val="20"/>
          <w:lang w:eastAsia="cs-CZ"/>
        </w:rPr>
        <w:t>kompaundační</w:t>
      </w:r>
      <w:proofErr w:type="spellEnd"/>
      <w:r w:rsidR="00B56344" w:rsidRPr="00B56344">
        <w:rPr>
          <w:rFonts w:ascii="Times New Roman" w:eastAsia="Times New Roman" w:hAnsi="Times New Roman" w:cs="Times New Roman"/>
          <w:sz w:val="20"/>
          <w:szCs w:val="20"/>
          <w:lang w:eastAsia="cs-CZ"/>
        </w:rPr>
        <w:t xml:space="preserve"> linky, které umožňují přípravu vývojových polymerních a pigmentových směsí dle potřeb projektu. Dále má zkušenosti a znalosti v oblasti vývoje a zpracování polymerních matric, které jsou uzpůsobené specifickým požadavkům procesu 3D tisku, a postupu výroby filamentů z průmyslových odpadních materiálů, zachovávající tiskové a mechanické vlastnosti primárních surovin. Společnost zároveň disponuje unikátními znalostmi ohledně nastavení parametrů tisku pro jednotlivé materiály a typy 3D tiskáren založených na technologii FDM pro dosažení optimálních výsledků, stejně jako vybavením pro charakterizaci mechanických vlastností materiálů. Do projektu vstupuje rovněž se znalostmi v oblasti optimalizace designu pro potřeby technologie FDM 3D tisku. Skupina společností Prusa </w:t>
      </w:r>
      <w:proofErr w:type="spellStart"/>
      <w:r w:rsidR="00B56344" w:rsidRPr="00B56344">
        <w:rPr>
          <w:rFonts w:ascii="Times New Roman" w:eastAsia="Times New Roman" w:hAnsi="Times New Roman" w:cs="Times New Roman"/>
          <w:sz w:val="20"/>
          <w:szCs w:val="20"/>
          <w:lang w:eastAsia="cs-CZ"/>
        </w:rPr>
        <w:t>Research</w:t>
      </w:r>
      <w:proofErr w:type="spellEnd"/>
      <w:r w:rsidR="00B56344" w:rsidRPr="00B56344">
        <w:rPr>
          <w:rFonts w:ascii="Times New Roman" w:eastAsia="Times New Roman" w:hAnsi="Times New Roman" w:cs="Times New Roman"/>
          <w:sz w:val="20"/>
          <w:szCs w:val="20"/>
          <w:lang w:eastAsia="cs-CZ"/>
        </w:rPr>
        <w:t xml:space="preserve"> v neposlední řadě disponuje znalostmi a informacemi spojenými s publikováním modelů ve veřejném repositáři </w:t>
      </w:r>
      <w:proofErr w:type="spellStart"/>
      <w:r w:rsidR="00B56344" w:rsidRPr="00B56344">
        <w:rPr>
          <w:rFonts w:ascii="Times New Roman" w:eastAsia="Times New Roman" w:hAnsi="Times New Roman" w:cs="Times New Roman"/>
          <w:sz w:val="20"/>
          <w:szCs w:val="20"/>
          <w:lang w:eastAsia="cs-CZ"/>
        </w:rPr>
        <w:t>Printables</w:t>
      </w:r>
      <w:proofErr w:type="spellEnd"/>
      <w:r w:rsidR="00B56344" w:rsidRPr="00B56344">
        <w:rPr>
          <w:rFonts w:ascii="Times New Roman" w:eastAsia="Times New Roman" w:hAnsi="Times New Roman" w:cs="Times New Roman"/>
          <w:sz w:val="20"/>
          <w:szCs w:val="20"/>
          <w:lang w:eastAsia="cs-CZ"/>
        </w:rPr>
        <w:t>.</w:t>
      </w:r>
    </w:p>
    <w:p w14:paraId="6A0FA348" w14:textId="2B6E2E0E" w:rsidR="00EC1DB2" w:rsidRPr="00B56344" w:rsidRDefault="00EC1DB2" w:rsidP="00B56344">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5</w:t>
      </w:r>
      <w:r w:rsidRPr="00E9090D">
        <w:rPr>
          <w:rFonts w:ascii="Times New Roman" w:eastAsia="Times New Roman" w:hAnsi="Times New Roman" w:cs="Times New Roman"/>
          <w:sz w:val="20"/>
          <w:szCs w:val="20"/>
          <w:lang w:eastAsia="cs-CZ"/>
        </w:rPr>
        <w:t xml:space="preserve">: </w:t>
      </w:r>
      <w:proofErr w:type="spellStart"/>
      <w:r w:rsidR="009349AE" w:rsidRPr="00B56344">
        <w:rPr>
          <w:rFonts w:ascii="Times New Roman" w:eastAsia="Times New Roman" w:hAnsi="Times New Roman" w:cs="Times New Roman"/>
          <w:b/>
          <w:sz w:val="20"/>
          <w:szCs w:val="20"/>
          <w:lang w:eastAsia="cs-CZ"/>
        </w:rPr>
        <w:t>Entry</w:t>
      </w:r>
      <w:proofErr w:type="spellEnd"/>
      <w:r w:rsidR="009349AE" w:rsidRPr="00B56344">
        <w:rPr>
          <w:rFonts w:ascii="Times New Roman" w:eastAsia="Times New Roman" w:hAnsi="Times New Roman" w:cs="Times New Roman"/>
          <w:b/>
          <w:sz w:val="20"/>
          <w:szCs w:val="20"/>
          <w:lang w:eastAsia="cs-CZ"/>
        </w:rPr>
        <w:t xml:space="preserve"> </w:t>
      </w:r>
      <w:proofErr w:type="spellStart"/>
      <w:r w:rsidR="009349AE" w:rsidRPr="00B56344">
        <w:rPr>
          <w:rFonts w:ascii="Times New Roman" w:eastAsia="Times New Roman" w:hAnsi="Times New Roman" w:cs="Times New Roman"/>
          <w:b/>
          <w:sz w:val="20"/>
          <w:szCs w:val="20"/>
          <w:lang w:eastAsia="cs-CZ"/>
        </w:rPr>
        <w:t>Engineering</w:t>
      </w:r>
      <w:proofErr w:type="spellEnd"/>
      <w:r w:rsidR="009349AE">
        <w:rPr>
          <w:rFonts w:ascii="Times New Roman" w:eastAsia="Times New Roman" w:hAnsi="Times New Roman" w:cs="Times New Roman"/>
          <w:sz w:val="20"/>
          <w:szCs w:val="20"/>
          <w:lang w:eastAsia="cs-CZ"/>
        </w:rPr>
        <w:t xml:space="preserve"> vstupuje do projektu s následujícím know-how: </w:t>
      </w:r>
      <w:r w:rsidR="001576B9">
        <w:rPr>
          <w:rFonts w:ascii="Times New Roman" w:eastAsia="Times New Roman" w:hAnsi="Times New Roman" w:cs="Times New Roman"/>
          <w:sz w:val="20"/>
          <w:szCs w:val="20"/>
          <w:lang w:eastAsia="cs-CZ"/>
        </w:rPr>
        <w:t>- te</w:t>
      </w:r>
      <w:r w:rsidR="009349AE" w:rsidRPr="009349AE">
        <w:rPr>
          <w:rFonts w:ascii="Times New Roman" w:eastAsia="Times New Roman" w:hAnsi="Times New Roman" w:cs="Times New Roman"/>
          <w:sz w:val="20"/>
          <w:szCs w:val="20"/>
          <w:lang w:eastAsia="cs-CZ"/>
        </w:rPr>
        <w:t>chnické know-how z</w:t>
      </w:r>
      <w:r w:rsidR="001576B9">
        <w:rPr>
          <w:rFonts w:ascii="Times New Roman" w:eastAsia="Times New Roman" w:hAnsi="Times New Roman" w:cs="Times New Roman"/>
          <w:sz w:val="20"/>
          <w:szCs w:val="20"/>
          <w:lang w:eastAsia="cs-CZ"/>
        </w:rPr>
        <w:t xml:space="preserve"> oblasti návrhu plastových dílů, k</w:t>
      </w:r>
      <w:r w:rsidR="009349AE" w:rsidRPr="00B56344">
        <w:rPr>
          <w:rFonts w:ascii="Times New Roman" w:eastAsia="Times New Roman" w:hAnsi="Times New Roman" w:cs="Times New Roman"/>
          <w:sz w:val="20"/>
          <w:szCs w:val="20"/>
          <w:lang w:eastAsia="cs-CZ"/>
        </w:rPr>
        <w:t>now-how z oblasti zpracování dat v SW nástr</w:t>
      </w:r>
      <w:r w:rsidR="001576B9">
        <w:rPr>
          <w:rFonts w:ascii="Times New Roman" w:eastAsia="Times New Roman" w:hAnsi="Times New Roman" w:cs="Times New Roman"/>
          <w:sz w:val="20"/>
          <w:szCs w:val="20"/>
          <w:lang w:eastAsia="cs-CZ"/>
        </w:rPr>
        <w:t>ojích využívaných ve Škoda Auto a k</w:t>
      </w:r>
      <w:r w:rsidR="009349AE" w:rsidRPr="00B56344">
        <w:rPr>
          <w:rFonts w:ascii="Times New Roman" w:eastAsia="Times New Roman" w:hAnsi="Times New Roman" w:cs="Times New Roman"/>
          <w:sz w:val="20"/>
          <w:szCs w:val="20"/>
          <w:lang w:eastAsia="cs-CZ"/>
        </w:rPr>
        <w:t xml:space="preserve">now-how z oblasti tvorby dílců v konstrukčních SW </w:t>
      </w:r>
      <w:proofErr w:type="spellStart"/>
      <w:r w:rsidR="009349AE" w:rsidRPr="00B56344">
        <w:rPr>
          <w:rFonts w:ascii="Times New Roman" w:eastAsia="Times New Roman" w:hAnsi="Times New Roman" w:cs="Times New Roman"/>
          <w:sz w:val="20"/>
          <w:szCs w:val="20"/>
          <w:lang w:eastAsia="cs-CZ"/>
        </w:rPr>
        <w:t>Catia</w:t>
      </w:r>
      <w:proofErr w:type="spellEnd"/>
      <w:r w:rsidR="009349AE" w:rsidRPr="00B56344">
        <w:rPr>
          <w:rFonts w:ascii="Times New Roman" w:eastAsia="Times New Roman" w:hAnsi="Times New Roman" w:cs="Times New Roman"/>
          <w:sz w:val="20"/>
          <w:szCs w:val="20"/>
          <w:lang w:eastAsia="cs-CZ"/>
        </w:rPr>
        <w:t xml:space="preserve"> dle zvyklostí Škoda Auto.</w:t>
      </w:r>
    </w:p>
    <w:p w14:paraId="75D95DA5" w14:textId="0B713801" w:rsidR="00EC1DB2" w:rsidRPr="00EC1DB2" w:rsidRDefault="00EC1DB2" w:rsidP="00386B19">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6</w:t>
      </w:r>
      <w:r w:rsidRPr="00E9090D">
        <w:rPr>
          <w:rFonts w:ascii="Times New Roman" w:eastAsia="Times New Roman" w:hAnsi="Times New Roman" w:cs="Times New Roman"/>
          <w:sz w:val="20"/>
          <w:szCs w:val="20"/>
          <w:lang w:eastAsia="cs-CZ"/>
        </w:rPr>
        <w:t xml:space="preserve">: </w:t>
      </w:r>
      <w:r w:rsidR="00386B19" w:rsidRPr="00386B19">
        <w:rPr>
          <w:rFonts w:ascii="Times New Roman" w:eastAsia="Times New Roman" w:hAnsi="Times New Roman" w:cs="Times New Roman"/>
          <w:sz w:val="20"/>
          <w:szCs w:val="20"/>
          <w:lang w:eastAsia="cs-CZ"/>
        </w:rPr>
        <w:t xml:space="preserve">Na straně </w:t>
      </w:r>
      <w:r w:rsidR="00386B19" w:rsidRPr="00B56344">
        <w:rPr>
          <w:rFonts w:ascii="Times New Roman" w:eastAsia="Times New Roman" w:hAnsi="Times New Roman" w:cs="Times New Roman"/>
          <w:b/>
          <w:sz w:val="20"/>
          <w:szCs w:val="20"/>
          <w:lang w:eastAsia="cs-CZ"/>
        </w:rPr>
        <w:t>TUL</w:t>
      </w:r>
      <w:r w:rsidR="00386B19" w:rsidRPr="00386B19">
        <w:rPr>
          <w:rFonts w:ascii="Times New Roman" w:eastAsia="Times New Roman" w:hAnsi="Times New Roman" w:cs="Times New Roman"/>
          <w:sz w:val="20"/>
          <w:szCs w:val="20"/>
          <w:lang w:eastAsia="cs-CZ"/>
        </w:rPr>
        <w:t xml:space="preserve"> bude v DP využito primárně zařízení pro výrobu granulátu (granulační linka) a zařízení pro vytlačování struny zpracovatelné FDM technologií. Dále budou využity zkušenosti odborného týmu získané z dlouholetého vývoje plastů modifikovaných dle specifických požadavků konkrétních aplikací, znalosti z oblasti aditiv, plniv a modifikátorů, které budou využity pro úpravu a stabilizaci recyklovaných materiálů a vyvíjených směsí. Postupy pro přípravu recyklátů budou primárně vycházet z metod vyvinutých a ověřených v rámci dříve realizovaného dílčího projektu s následnou optimalizací dle individ</w:t>
      </w:r>
      <w:r w:rsidR="00386B19">
        <w:rPr>
          <w:rFonts w:ascii="Times New Roman" w:eastAsia="Times New Roman" w:hAnsi="Times New Roman" w:cs="Times New Roman"/>
          <w:sz w:val="20"/>
          <w:szCs w:val="20"/>
          <w:lang w:eastAsia="cs-CZ"/>
        </w:rPr>
        <w:t xml:space="preserve">uálních </w:t>
      </w:r>
      <w:r w:rsidR="00386B19" w:rsidRPr="00386B19">
        <w:rPr>
          <w:rFonts w:ascii="Times New Roman" w:eastAsia="Times New Roman" w:hAnsi="Times New Roman" w:cs="Times New Roman"/>
          <w:sz w:val="20"/>
          <w:szCs w:val="20"/>
          <w:lang w:eastAsia="cs-CZ"/>
        </w:rPr>
        <w:t>potřeb těchto materiálů</w:t>
      </w:r>
      <w:r w:rsidR="00386B19">
        <w:rPr>
          <w:rFonts w:ascii="Times New Roman" w:eastAsia="Times New Roman" w:hAnsi="Times New Roman" w:cs="Times New Roman"/>
          <w:sz w:val="20"/>
          <w:szCs w:val="20"/>
          <w:lang w:eastAsia="cs-CZ"/>
        </w:rPr>
        <w:t>.</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277B1B0F" w14:textId="30860F14"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w:t>
      </w:r>
      <w:r w:rsidRPr="00816CE1">
        <w:rPr>
          <w:rFonts w:ascii="Tms Rmn" w:eastAsia="Calibri" w:hAnsi="Tms Rmn" w:cs="Tms Rmn"/>
          <w:noProof/>
          <w:sz w:val="20"/>
          <w:szCs w:val="20"/>
        </w:rPr>
        <w:lastRenderedPageBreak/>
        <w:t xml:space="preserve">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55F91886" w14:textId="7F824D21" w:rsidR="00E9090D" w:rsidRDefault="00E9090D"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lastRenderedPageBreak/>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44D5ECFD" w14:textId="77777777" w:rsidR="006B3592" w:rsidRPr="00E9090D" w:rsidRDefault="006B3592" w:rsidP="006B3592">
      <w:pPr>
        <w:autoSpaceDE w:val="0"/>
        <w:autoSpaceDN w:val="0"/>
        <w:spacing w:after="0" w:line="240" w:lineRule="auto"/>
        <w:ind w:left="720"/>
        <w:jc w:val="both"/>
        <w:rPr>
          <w:rFonts w:ascii="Tms Rmn" w:eastAsia="Calibri" w:hAnsi="Tms Rmn" w:cs="Tms Rmn"/>
          <w:noProof/>
          <w:sz w:val="20"/>
          <w:szCs w:val="20"/>
        </w:rPr>
      </w:pP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4954D2F1"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117EC233"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2ECBA800" w14:textId="7A43EB25" w:rsidR="00E9090D" w:rsidRPr="00B56344" w:rsidRDefault="00E9090D" w:rsidP="00702F74">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lastRenderedPageBreak/>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319FB40F"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Tato smlouva je vyhotovena v</w:t>
      </w:r>
      <w:r w:rsidR="001C165D">
        <w:rPr>
          <w:rFonts w:ascii="Times New Roman" w:eastAsia="Times New Roman" w:hAnsi="Times New Roman" w:cs="Times New Roman"/>
          <w:color w:val="000000"/>
          <w:sz w:val="20"/>
          <w:szCs w:val="20"/>
          <w:lang w:eastAsia="cs-CZ"/>
        </w:rPr>
        <w:t> </w:t>
      </w:r>
      <w:r w:rsidR="001C165D">
        <w:rPr>
          <w:rFonts w:ascii="Times New Roman" w:eastAsia="Times New Roman" w:hAnsi="Times New Roman" w:cs="Times New Roman"/>
          <w:sz w:val="20"/>
          <w:szCs w:val="20"/>
          <w:lang w:eastAsia="cs-CZ"/>
        </w:rPr>
        <w:t xml:space="preserve">sedmi </w:t>
      </w:r>
      <w:r w:rsidRPr="00E9090D">
        <w:rPr>
          <w:rFonts w:ascii="Times New Roman" w:eastAsia="Times New Roman" w:hAnsi="Times New Roman" w:cs="Times New Roman"/>
          <w:color w:val="000000"/>
          <w:sz w:val="20"/>
          <w:szCs w:val="20"/>
          <w:lang w:eastAsia="cs-CZ"/>
        </w:rPr>
        <w:t>stejnopisech,</w:t>
      </w:r>
      <w:r w:rsidRPr="00E9090D">
        <w:rPr>
          <w:rFonts w:ascii="Times New Roman" w:eastAsia="Times New Roman" w:hAnsi="Times New Roman" w:cs="Times New Roman"/>
          <w:sz w:val="20"/>
          <w:szCs w:val="20"/>
          <w:lang w:eastAsia="cs-CZ"/>
        </w:rPr>
        <w:t xml:space="preserve"> z nichž každé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05FA9243" w14:textId="77777777" w:rsidR="0012537C" w:rsidRDefault="0012537C" w:rsidP="0012537C">
      <w:pPr>
        <w:autoSpaceDE w:val="0"/>
        <w:autoSpaceDN w:val="0"/>
        <w:spacing w:after="6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w:t>
      </w:r>
    </w:p>
    <w:p w14:paraId="72C68EC8" w14:textId="77777777" w:rsidR="0012537C" w:rsidRDefault="0012537C" w:rsidP="0012537C">
      <w:pPr>
        <w:autoSpaceDE w:val="0"/>
        <w:autoSpaceDN w:val="0"/>
        <w:spacing w:after="60" w:line="240" w:lineRule="auto"/>
        <w:jc w:val="both"/>
        <w:rPr>
          <w:rFonts w:ascii="Times New Roman" w:eastAsia="Times New Roman" w:hAnsi="Times New Roman" w:cs="Times New Roman"/>
          <w:sz w:val="20"/>
          <w:szCs w:val="20"/>
          <w:lang w:eastAsia="cs-CZ"/>
        </w:rPr>
      </w:pPr>
    </w:p>
    <w:p w14:paraId="7ED17CA2" w14:textId="77777777" w:rsidR="0012537C" w:rsidRDefault="0012537C" w:rsidP="0012537C">
      <w:pPr>
        <w:autoSpaceDE w:val="0"/>
        <w:autoSpaceDN w:val="0"/>
        <w:spacing w:after="60" w:line="240" w:lineRule="auto"/>
        <w:jc w:val="both"/>
        <w:rPr>
          <w:rFonts w:ascii="Times New Roman" w:eastAsia="Times New Roman" w:hAnsi="Times New Roman" w:cs="Times New Roman"/>
          <w:sz w:val="20"/>
          <w:szCs w:val="20"/>
          <w:lang w:eastAsia="cs-CZ"/>
        </w:rPr>
      </w:pPr>
    </w:p>
    <w:p w14:paraId="40802285" w14:textId="77777777" w:rsidR="0012537C" w:rsidRDefault="0012537C" w:rsidP="0012537C">
      <w:pPr>
        <w:autoSpaceDE w:val="0"/>
        <w:autoSpaceDN w:val="0"/>
        <w:spacing w:after="60" w:line="240" w:lineRule="auto"/>
        <w:jc w:val="both"/>
        <w:rPr>
          <w:rFonts w:ascii="Times New Roman" w:eastAsia="Times New Roman" w:hAnsi="Times New Roman" w:cs="Times New Roman"/>
          <w:sz w:val="20"/>
          <w:szCs w:val="20"/>
          <w:lang w:eastAsia="cs-CZ"/>
        </w:rPr>
      </w:pPr>
    </w:p>
    <w:p w14:paraId="78FA480F" w14:textId="45A75BF8" w:rsidR="0012537C"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Pr>
          <w:rFonts w:ascii="Times New Roman" w:eastAsia="Times New Roman" w:hAnsi="Times New Roman" w:cs="Times New Roman"/>
          <w:sz w:val="20"/>
          <w:szCs w:val="20"/>
          <w:lang w:eastAsia="cs-CZ"/>
        </w:rPr>
        <w:t xml:space="preserve"> a Účastník Dílčího projektu 6</w:t>
      </w:r>
    </w:p>
    <w:p w14:paraId="34AB5C6A" w14:textId="77777777" w:rsidR="0012537C"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p>
    <w:p w14:paraId="2D0516D1" w14:textId="77777777" w:rsidR="0012537C"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p>
    <w:p w14:paraId="37490E44" w14:textId="77777777" w:rsidR="0012537C"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p>
    <w:p w14:paraId="7090E991" w14:textId="24F056EE" w:rsidR="0012537C"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p>
    <w:p w14:paraId="52BE31DD" w14:textId="77777777" w:rsidR="0012537C" w:rsidRPr="00E9090D"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p>
    <w:p w14:paraId="08B52557" w14:textId="77777777" w:rsidR="0012537C" w:rsidRPr="00E9090D"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28663DE5" w14:textId="77777777" w:rsidR="0012537C" w:rsidRPr="00E9090D" w:rsidRDefault="0012537C" w:rsidP="00C301FF">
      <w:pPr>
        <w:autoSpaceDE w:val="0"/>
        <w:autoSpaceDN w:val="0"/>
        <w:spacing w:after="60" w:line="240" w:lineRule="auto"/>
        <w:jc w:val="center"/>
        <w:rPr>
          <w:rFonts w:ascii="Times New Roman" w:eastAsia="Times New Roman" w:hAnsi="Times New Roman" w:cs="Times New Roman"/>
          <w:sz w:val="20"/>
          <w:szCs w:val="20"/>
          <w:lang w:eastAsia="cs-CZ"/>
        </w:rPr>
      </w:pPr>
      <w:r w:rsidRPr="00BF68DE">
        <w:rPr>
          <w:rFonts w:ascii="Times New Roman" w:eastAsia="Times New Roman" w:hAnsi="Times New Roman" w:cs="Times New Roman"/>
          <w:sz w:val="20"/>
          <w:szCs w:val="20"/>
          <w:lang w:eastAsia="cs-CZ"/>
        </w:rPr>
        <w:t>doc. RNDr. M</w:t>
      </w:r>
      <w:r>
        <w:rPr>
          <w:rFonts w:ascii="Times New Roman" w:eastAsia="Times New Roman" w:hAnsi="Times New Roman" w:cs="Times New Roman"/>
          <w:sz w:val="20"/>
          <w:szCs w:val="20"/>
          <w:lang w:eastAsia="cs-CZ"/>
        </w:rPr>
        <w:t xml:space="preserve">iroslav </w:t>
      </w:r>
      <w:proofErr w:type="spellStart"/>
      <w:r>
        <w:rPr>
          <w:rFonts w:ascii="Times New Roman" w:eastAsia="Times New Roman" w:hAnsi="Times New Roman" w:cs="Times New Roman"/>
          <w:sz w:val="20"/>
          <w:szCs w:val="20"/>
          <w:lang w:eastAsia="cs-CZ"/>
        </w:rPr>
        <w:t>Brzezina</w:t>
      </w:r>
      <w:proofErr w:type="spellEnd"/>
      <w:r>
        <w:rPr>
          <w:rFonts w:ascii="Times New Roman" w:eastAsia="Times New Roman" w:hAnsi="Times New Roman" w:cs="Times New Roman"/>
          <w:sz w:val="20"/>
          <w:szCs w:val="20"/>
          <w:lang w:eastAsia="cs-CZ"/>
        </w:rPr>
        <w:t xml:space="preserve">, CSc., </w:t>
      </w:r>
      <w:proofErr w:type="spellStart"/>
      <w:r>
        <w:rPr>
          <w:rFonts w:ascii="Times New Roman" w:eastAsia="Times New Roman" w:hAnsi="Times New Roman" w:cs="Times New Roman"/>
          <w:sz w:val="20"/>
          <w:szCs w:val="20"/>
          <w:lang w:eastAsia="cs-CZ"/>
        </w:rPr>
        <w:t>dr.h.c</w:t>
      </w:r>
      <w:proofErr w:type="spellEnd"/>
      <w:r>
        <w:rPr>
          <w:rFonts w:ascii="Times New Roman" w:eastAsia="Times New Roman" w:hAnsi="Times New Roman" w:cs="Times New Roman"/>
          <w:sz w:val="20"/>
          <w:szCs w:val="20"/>
          <w:lang w:eastAsia="cs-CZ"/>
        </w:rPr>
        <w:t>.</w:t>
      </w:r>
    </w:p>
    <w:p w14:paraId="0AE45F80" w14:textId="77777777" w:rsidR="00C301FF" w:rsidRDefault="00C301FF" w:rsidP="00C301FF">
      <w:pPr>
        <w:autoSpaceDE w:val="0"/>
        <w:autoSpaceDN w:val="0"/>
        <w:adjustRightInd w:val="0"/>
        <w:spacing w:after="0" w:line="240" w:lineRule="auto"/>
        <w:ind w:left="720"/>
        <w:jc w:val="center"/>
        <w:rPr>
          <w:rFonts w:ascii="Times New Roman" w:eastAsia="Times New Roman" w:hAnsi="Times New Roman" w:cs="Times New Roman"/>
          <w:sz w:val="20"/>
          <w:szCs w:val="20"/>
          <w:lang w:eastAsia="cs-CZ"/>
        </w:rPr>
      </w:pPr>
    </w:p>
    <w:p w14:paraId="4DEADACD" w14:textId="375C6720" w:rsidR="0012537C" w:rsidRPr="00E9090D" w:rsidRDefault="00C301FF" w:rsidP="00C301FF">
      <w:pPr>
        <w:tabs>
          <w:tab w:val="left" w:pos="3686"/>
          <w:tab w:val="left" w:pos="4111"/>
        </w:tabs>
        <w:autoSpaceDE w:val="0"/>
        <w:autoSpaceDN w:val="0"/>
        <w:adjustRightInd w:val="0"/>
        <w:spacing w:after="0" w:line="240" w:lineRule="auto"/>
        <w:ind w:left="720"/>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b/>
      </w:r>
      <w:r w:rsidR="0012537C" w:rsidRPr="00E9090D">
        <w:rPr>
          <w:rFonts w:ascii="Times New Roman" w:eastAsia="Times New Roman" w:hAnsi="Times New Roman" w:cs="Times New Roman"/>
          <w:sz w:val="20"/>
          <w:szCs w:val="20"/>
          <w:lang w:eastAsia="cs-CZ"/>
        </w:rPr>
        <w:t>V</w:t>
      </w:r>
      <w:r w:rsidR="0012537C">
        <w:rPr>
          <w:rFonts w:ascii="Times New Roman" w:eastAsia="Times New Roman" w:hAnsi="Times New Roman" w:cs="Times New Roman"/>
          <w:sz w:val="20"/>
          <w:szCs w:val="20"/>
          <w:lang w:eastAsia="cs-CZ"/>
        </w:rPr>
        <w:t xml:space="preserve"> Liberci </w:t>
      </w:r>
      <w:r w:rsidR="0012537C" w:rsidRPr="00E9090D">
        <w:rPr>
          <w:rFonts w:ascii="Times New Roman" w:eastAsia="Times New Roman" w:hAnsi="Times New Roman" w:cs="Times New Roman"/>
          <w:sz w:val="20"/>
          <w:szCs w:val="20"/>
          <w:lang w:eastAsia="cs-CZ"/>
        </w:rPr>
        <w:t>dne</w:t>
      </w:r>
      <w:r w:rsidR="003074DC">
        <w:rPr>
          <w:rFonts w:ascii="Times New Roman" w:eastAsia="Times New Roman" w:hAnsi="Times New Roman" w:cs="Times New Roman"/>
          <w:sz w:val="20"/>
          <w:szCs w:val="20"/>
          <w:lang w:eastAsia="cs-CZ"/>
        </w:rPr>
        <w:t xml:space="preserve"> 12. 2. 2025</w:t>
      </w:r>
      <w:r w:rsidR="0012537C" w:rsidRPr="00E9090D">
        <w:rPr>
          <w:rFonts w:ascii="Times New Roman" w:eastAsia="Times New Roman" w:hAnsi="Times New Roman" w:cs="Times New Roman"/>
          <w:sz w:val="20"/>
          <w:szCs w:val="20"/>
          <w:lang w:eastAsia="cs-CZ"/>
        </w:rPr>
        <w:t xml:space="preserve">      </w:t>
      </w:r>
    </w:p>
    <w:p w14:paraId="77A63E37" w14:textId="77777777"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5896AD4"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766003E4"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A715293"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744F06C"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CFD8E31"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42A6CA0F"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B6C1709"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4BDAB4DB"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15377C24"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458ED42B"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AC5A9B7"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652C850"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3660A23"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629723D"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17FBE56D"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F2DD584"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D4DD348"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1964043C"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C60A41C"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46CFEFD5"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C63987F"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30E9445"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49D6D56D"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4AF31B19"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16285B6"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F8A8364"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1D9EEBED"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12C22147"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1F3A894" w14:textId="27606A98"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3F0A6A4A" w14:textId="77777777"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3DEF0C88" w14:textId="18646918" w:rsidR="0012537C" w:rsidRDefault="0012537C"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F208054" w14:textId="77777777" w:rsidR="00C301FF" w:rsidRDefault="00C301FF"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86315D7"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1</w:t>
      </w:r>
    </w:p>
    <w:p w14:paraId="6C49CB98"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66147509"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9DACCFC"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CAEF577"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1F76E851"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562D9A3B" w14:textId="77777777" w:rsidR="005A7C6C" w:rsidRPr="00E9090D" w:rsidRDefault="005A7C6C" w:rsidP="005A7C6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2E82C01F" w14:textId="77777777" w:rsidR="005A7C6C" w:rsidRPr="00E9090D"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r w:rsidRPr="00A73995">
        <w:rPr>
          <w:rFonts w:ascii="Times New Roman" w:eastAsia="Times New Roman" w:hAnsi="Times New Roman" w:cs="Times New Roman"/>
          <w:bCs/>
          <w:sz w:val="20"/>
          <w:szCs w:val="20"/>
          <w:lang w:eastAsia="cs-CZ"/>
        </w:rPr>
        <w:t>prof. Ing. Ondřej Krejcar, Ph.D</w:t>
      </w:r>
      <w:r>
        <w:rPr>
          <w:rFonts w:ascii="Times New Roman" w:eastAsia="Times New Roman" w:hAnsi="Times New Roman" w:cs="Times New Roman"/>
          <w:bCs/>
          <w:sz w:val="20"/>
          <w:szCs w:val="20"/>
          <w:lang w:eastAsia="cs-CZ"/>
        </w:rPr>
        <w:t>.</w:t>
      </w:r>
    </w:p>
    <w:p w14:paraId="6911344F" w14:textId="1E6BCDFB"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Mladé Boleslavi</w:t>
      </w:r>
      <w:r w:rsidRPr="00E9090D">
        <w:rPr>
          <w:rFonts w:ascii="Times New Roman" w:eastAsia="Times New Roman" w:hAnsi="Times New Roman" w:cs="Times New Roman"/>
          <w:sz w:val="20"/>
          <w:szCs w:val="20"/>
          <w:lang w:eastAsia="cs-CZ"/>
        </w:rPr>
        <w:t xml:space="preserve"> dne</w:t>
      </w:r>
      <w:r w:rsidR="003074DC">
        <w:rPr>
          <w:rFonts w:ascii="Times New Roman" w:eastAsia="Times New Roman" w:hAnsi="Times New Roman" w:cs="Times New Roman"/>
          <w:sz w:val="20"/>
          <w:szCs w:val="20"/>
          <w:lang w:eastAsia="cs-CZ"/>
        </w:rPr>
        <w:t xml:space="preserve"> 12. 2. 2025</w:t>
      </w:r>
      <w:r w:rsidRPr="00E9090D">
        <w:rPr>
          <w:rFonts w:ascii="Times New Roman" w:eastAsia="Times New Roman" w:hAnsi="Times New Roman" w:cs="Times New Roman"/>
          <w:sz w:val="20"/>
          <w:szCs w:val="20"/>
          <w:lang w:eastAsia="cs-CZ"/>
        </w:rPr>
        <w:t xml:space="preserve">    </w:t>
      </w:r>
    </w:p>
    <w:p w14:paraId="5410ACBD" w14:textId="7777777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p>
    <w:p w14:paraId="1EBFBA09" w14:textId="7777777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p>
    <w:p w14:paraId="3C50A9E9" w14:textId="7777777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p>
    <w:p w14:paraId="7D9323C9" w14:textId="26AC519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p>
    <w:p w14:paraId="5607CC9C" w14:textId="10A79275" w:rsidR="00950FB2" w:rsidRDefault="00950FB2" w:rsidP="005A7C6C">
      <w:pPr>
        <w:autoSpaceDE w:val="0"/>
        <w:autoSpaceDN w:val="0"/>
        <w:spacing w:after="0" w:line="240" w:lineRule="auto"/>
        <w:jc w:val="center"/>
        <w:rPr>
          <w:rFonts w:ascii="Times New Roman" w:eastAsia="Times New Roman" w:hAnsi="Times New Roman" w:cs="Times New Roman"/>
          <w:sz w:val="20"/>
          <w:szCs w:val="20"/>
          <w:lang w:eastAsia="cs-CZ"/>
        </w:rPr>
      </w:pPr>
    </w:p>
    <w:p w14:paraId="10D0D58D" w14:textId="7777777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w:t>
      </w:r>
    </w:p>
    <w:p w14:paraId="369D3BB2" w14:textId="7777777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Ing. Sandra Lacinová</w:t>
      </w:r>
    </w:p>
    <w:p w14:paraId="4907DB5A" w14:textId="0E6C8297" w:rsidR="005A7C6C" w:rsidRDefault="005A7C6C" w:rsidP="005A7C6C">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 Mladé Boleslavi dne</w:t>
      </w:r>
      <w:r w:rsidR="003074DC">
        <w:rPr>
          <w:rFonts w:ascii="Times New Roman" w:eastAsia="Times New Roman" w:hAnsi="Times New Roman" w:cs="Times New Roman"/>
          <w:sz w:val="20"/>
          <w:szCs w:val="20"/>
          <w:lang w:eastAsia="cs-CZ"/>
        </w:rPr>
        <w:t xml:space="preserve"> 12. 2. 2025</w:t>
      </w:r>
    </w:p>
    <w:p w14:paraId="1114B56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635CAB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0E6532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83C0EC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6BAEF2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2EC668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ED5226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0B0CAC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C87D2A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293B6A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1870C0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140B1B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DDC01E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E140AE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E150DA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5176CF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604AFF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CA7B2B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EF9CE0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E0CB92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2086EC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55EAFA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121634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BC494C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DD7F34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9DFF40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D25A10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9D3C3C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E4673A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B7C526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2B60FA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2C5651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8BC375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2636E4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4305CD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2070B4C" w14:textId="5442E69D"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147E0DD" w14:textId="411F45CC" w:rsidR="005C1D7E" w:rsidRDefault="005C1D7E"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67C5796D" w14:textId="5BBE8FEE" w:rsidR="00950FB2"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8A4878F" w14:textId="77777777" w:rsidR="00950FB2"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4B815D4C" w14:textId="2B8BE7C9"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2</w:t>
      </w:r>
    </w:p>
    <w:p w14:paraId="3CE50C98"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A20F0D8"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7EEEFD7"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1CC46F34" w14:textId="270B3798"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7460819B" w14:textId="77777777" w:rsidR="00950FB2" w:rsidRPr="00E9090D"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6EAE479"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6C4BD3D7"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r w:rsidRPr="00297197">
        <w:rPr>
          <w:rFonts w:ascii="Times New Roman" w:eastAsia="Times New Roman" w:hAnsi="Times New Roman" w:cs="Times New Roman"/>
          <w:sz w:val="20"/>
          <w:szCs w:val="20"/>
          <w:lang w:eastAsia="cs-CZ"/>
        </w:rPr>
        <w:t xml:space="preserve">Ing. Jiří </w:t>
      </w:r>
      <w:proofErr w:type="spellStart"/>
      <w:r w:rsidRPr="00297197">
        <w:rPr>
          <w:rFonts w:ascii="Times New Roman" w:eastAsia="Times New Roman" w:hAnsi="Times New Roman" w:cs="Times New Roman"/>
          <w:sz w:val="20"/>
          <w:szCs w:val="20"/>
          <w:lang w:eastAsia="cs-CZ"/>
        </w:rPr>
        <w:t>Drbout</w:t>
      </w:r>
      <w:proofErr w:type="spellEnd"/>
    </w:p>
    <w:p w14:paraId="4D708618"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340ACFCC" w14:textId="6B8D77F3"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Mladé Boleslavi</w:t>
      </w:r>
      <w:r w:rsidRPr="00E9090D">
        <w:rPr>
          <w:rFonts w:ascii="Times New Roman" w:eastAsia="Times New Roman" w:hAnsi="Times New Roman" w:cs="Times New Roman"/>
          <w:sz w:val="20"/>
          <w:szCs w:val="20"/>
          <w:lang w:eastAsia="cs-CZ"/>
        </w:rPr>
        <w:t xml:space="preserve"> dne</w:t>
      </w:r>
      <w:r w:rsidR="003074DC">
        <w:rPr>
          <w:rFonts w:ascii="Times New Roman" w:eastAsia="Times New Roman" w:hAnsi="Times New Roman" w:cs="Times New Roman"/>
          <w:sz w:val="20"/>
          <w:szCs w:val="20"/>
          <w:lang w:eastAsia="cs-CZ"/>
        </w:rPr>
        <w:t xml:space="preserve"> 25. 2. 2025</w:t>
      </w:r>
    </w:p>
    <w:p w14:paraId="1DD2A625"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353C9589"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7041762B"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3BD039CD"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1A5F41D0" w14:textId="4CD69382"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536C9B82"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0896A6FE" w14:textId="77777777" w:rsidR="0012537C"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r w:rsidRPr="00297197">
        <w:rPr>
          <w:rFonts w:ascii="Times New Roman" w:eastAsia="Times New Roman" w:hAnsi="Times New Roman" w:cs="Times New Roman"/>
          <w:sz w:val="20"/>
          <w:szCs w:val="20"/>
          <w:lang w:eastAsia="cs-CZ"/>
        </w:rPr>
        <w:t xml:space="preserve">Ing. Jan </w:t>
      </w:r>
      <w:proofErr w:type="spellStart"/>
      <w:r w:rsidRPr="00297197">
        <w:rPr>
          <w:rFonts w:ascii="Times New Roman" w:eastAsia="Times New Roman" w:hAnsi="Times New Roman" w:cs="Times New Roman"/>
          <w:sz w:val="20"/>
          <w:szCs w:val="20"/>
          <w:lang w:eastAsia="cs-CZ"/>
        </w:rPr>
        <w:t>Bečvařík</w:t>
      </w:r>
      <w:proofErr w:type="spellEnd"/>
      <w:r w:rsidRPr="00297197">
        <w:rPr>
          <w:rFonts w:ascii="Times New Roman" w:eastAsia="Times New Roman" w:hAnsi="Times New Roman" w:cs="Times New Roman"/>
          <w:sz w:val="20"/>
          <w:szCs w:val="20"/>
          <w:lang w:eastAsia="cs-CZ"/>
        </w:rPr>
        <w:t>, MBA</w:t>
      </w:r>
    </w:p>
    <w:p w14:paraId="040C3063" w14:textId="77777777" w:rsidR="0012537C" w:rsidRPr="00E9090D"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p>
    <w:p w14:paraId="2A1D9246" w14:textId="0F775FB3" w:rsidR="0012537C" w:rsidRDefault="0012537C" w:rsidP="00C301FF">
      <w:pPr>
        <w:autoSpaceDE w:val="0"/>
        <w:autoSpaceDN w:val="0"/>
        <w:adjustRightInd w:val="0"/>
        <w:spacing w:after="0" w:line="240" w:lineRule="auto"/>
        <w:ind w:left="2844" w:firstLine="696"/>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Mladé Boleslavi</w:t>
      </w:r>
      <w:r w:rsidRPr="00E9090D">
        <w:rPr>
          <w:rFonts w:ascii="Times New Roman" w:eastAsia="Times New Roman" w:hAnsi="Times New Roman" w:cs="Times New Roman"/>
          <w:sz w:val="20"/>
          <w:szCs w:val="20"/>
          <w:lang w:eastAsia="cs-CZ"/>
        </w:rPr>
        <w:t xml:space="preserve"> dne</w:t>
      </w:r>
      <w:r w:rsidR="003074DC">
        <w:rPr>
          <w:rFonts w:ascii="Times New Roman" w:eastAsia="Times New Roman" w:hAnsi="Times New Roman" w:cs="Times New Roman"/>
          <w:sz w:val="20"/>
          <w:szCs w:val="20"/>
          <w:lang w:eastAsia="cs-CZ"/>
        </w:rPr>
        <w:t xml:space="preserve"> 25. 2. 2025</w:t>
      </w:r>
    </w:p>
    <w:p w14:paraId="091FA29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29BC0D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1E68CC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D5C3B0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6010F9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449BC7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0F458B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8ABD52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381D00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FEEC67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43E8F0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F5A7EE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AF635A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908475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D43729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64EFE9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B71A14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2218DF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4CA179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8A8AC8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645836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6F8DA5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EF7BCD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595E41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F49E5B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EB5853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12C10B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889CA0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DC57C9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F7358F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046BCA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D9D505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A5654A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7DE3B3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54B76B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5E3C59F" w14:textId="422CD2E8"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930D591"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3</w:t>
      </w:r>
    </w:p>
    <w:p w14:paraId="117DFF09"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29ADAA34"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06674DA2" w14:textId="17BFC60F"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31DF156" w14:textId="7331073A" w:rsidR="00950FB2"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3AEF3ED2" w14:textId="77777777" w:rsidR="00950FB2" w:rsidRPr="00E9090D"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4419F0EE"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323CB354" w14:textId="77777777" w:rsidR="0012537C" w:rsidRPr="00E9090D"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r w:rsidRPr="00C71C7C">
        <w:rPr>
          <w:rFonts w:ascii="Times New Roman" w:eastAsia="Times New Roman" w:hAnsi="Times New Roman" w:cs="Times New Roman"/>
          <w:sz w:val="20"/>
          <w:szCs w:val="20"/>
          <w:lang w:eastAsia="cs-CZ"/>
        </w:rPr>
        <w:t>prof. Ing. Milan Pospíšil, CSc.</w:t>
      </w:r>
    </w:p>
    <w:p w14:paraId="4ACFD67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C3D6DB0" w14:textId="0AD8EFD7" w:rsidR="0012537C" w:rsidRDefault="0012537C" w:rsidP="00C301FF">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Pr>
          <w:rFonts w:ascii="Times New Roman" w:eastAsia="Times New Roman" w:hAnsi="Times New Roman" w:cs="Times New Roman"/>
          <w:sz w:val="20"/>
          <w:szCs w:val="20"/>
          <w:lang w:eastAsia="cs-CZ"/>
        </w:rPr>
        <w:t>Praze</w:t>
      </w:r>
      <w:r w:rsidRPr="00E9090D">
        <w:rPr>
          <w:rFonts w:ascii="Times New Roman" w:eastAsia="Times New Roman" w:hAnsi="Times New Roman" w:cs="Times New Roman"/>
          <w:sz w:val="20"/>
          <w:szCs w:val="20"/>
          <w:lang w:eastAsia="cs-CZ"/>
        </w:rPr>
        <w:t xml:space="preserve"> dne</w:t>
      </w:r>
      <w:r w:rsidR="003074DC">
        <w:rPr>
          <w:rFonts w:ascii="Times New Roman" w:eastAsia="Times New Roman" w:hAnsi="Times New Roman" w:cs="Times New Roman"/>
          <w:sz w:val="20"/>
          <w:szCs w:val="20"/>
          <w:lang w:eastAsia="cs-CZ"/>
        </w:rPr>
        <w:t xml:space="preserve"> 24. 2. 2025</w:t>
      </w:r>
    </w:p>
    <w:p w14:paraId="51E4C15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C63D31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B01074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1E68E4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33F988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E75798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3138D0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AF8BC9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8EC8C4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9B5DD7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AB864E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6DC507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01C068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042F2B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CB5B41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CA7685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0E2239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6BFEA2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034D78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7AFB50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FE765B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4FDAA0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37AE0E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C92885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E25633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89C473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FC5B7B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1ED63D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E78D31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AC3F50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6795CF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C0E712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ED2B72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6404AA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38243C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F05495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05A0CB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4F9D74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9D4671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1705CB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38EE1F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E22555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78E17A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7EF5A3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9D87CF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7CE0C07" w14:textId="5195DCE4" w:rsidR="005C1D7E" w:rsidRDefault="005C1D7E"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5520AEFE" w14:textId="23CDC36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4</w:t>
      </w:r>
    </w:p>
    <w:p w14:paraId="61E631F2"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5716EB6D"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25529EA0"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6D9C146C" w14:textId="1995A740"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1D3E0996" w14:textId="77777777" w:rsidR="00950FB2" w:rsidRPr="00E9090D"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17C86B33"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7EC52FA8" w14:textId="77777777" w:rsidR="0012537C" w:rsidRPr="00E9090D"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Josef Průša</w:t>
      </w:r>
    </w:p>
    <w:p w14:paraId="019C62D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432ED40" w14:textId="45044E34" w:rsidR="0012537C" w:rsidRDefault="0012537C" w:rsidP="00C301FF">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Pr>
          <w:rFonts w:ascii="Times New Roman" w:eastAsia="Times New Roman" w:hAnsi="Times New Roman" w:cs="Times New Roman"/>
          <w:sz w:val="20"/>
          <w:szCs w:val="20"/>
          <w:lang w:eastAsia="cs-CZ"/>
        </w:rPr>
        <w:t>Praze</w:t>
      </w:r>
      <w:r w:rsidRPr="00E9090D">
        <w:rPr>
          <w:rFonts w:ascii="Times New Roman" w:eastAsia="Times New Roman" w:hAnsi="Times New Roman" w:cs="Times New Roman"/>
          <w:sz w:val="20"/>
          <w:szCs w:val="20"/>
          <w:lang w:eastAsia="cs-CZ"/>
        </w:rPr>
        <w:t xml:space="preserve"> dne</w:t>
      </w:r>
      <w:r w:rsidR="003074DC">
        <w:rPr>
          <w:rFonts w:ascii="Times New Roman" w:eastAsia="Times New Roman" w:hAnsi="Times New Roman" w:cs="Times New Roman"/>
          <w:sz w:val="20"/>
          <w:szCs w:val="20"/>
          <w:lang w:eastAsia="cs-CZ"/>
        </w:rPr>
        <w:t xml:space="preserve"> 27. 2. 2025</w:t>
      </w:r>
    </w:p>
    <w:p w14:paraId="3EE1353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BE06FD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E64B20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EE117F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B39DDC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A78E4B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014A40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44AEC6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2F8D2F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C826B1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DB866B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D9DCA1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7D0B70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28BBB2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E68F72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246FAE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D1C246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37296C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FC0451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8B2FFB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5B161E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D8DA65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204A1D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61B0EC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948CB1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657457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B2BB01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5874DA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A2250F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C42CBE6"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310AD7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158D51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F05494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B1522D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F36B37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057AF9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26DE2C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C4AE6A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8A7B9C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CFFBEA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FE0ACB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40FFA8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C9F2BB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D9CC862" w14:textId="4E7AE51B"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BEF9646" w14:textId="6D77CAB6"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262603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BA085DE"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5</w:t>
      </w:r>
    </w:p>
    <w:p w14:paraId="583C866A"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24FD7896"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2B07D16F" w14:textId="77777777"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65FA58FA" w14:textId="3AECA94B" w:rsidR="0012537C"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242763CF" w14:textId="77777777" w:rsidR="00950FB2" w:rsidRPr="00E9090D" w:rsidRDefault="00950FB2" w:rsidP="0012537C">
      <w:pPr>
        <w:autoSpaceDE w:val="0"/>
        <w:autoSpaceDN w:val="0"/>
        <w:spacing w:after="60" w:line="240" w:lineRule="auto"/>
        <w:jc w:val="center"/>
        <w:rPr>
          <w:rFonts w:ascii="Times New Roman" w:eastAsia="Times New Roman" w:hAnsi="Times New Roman" w:cs="Times New Roman"/>
          <w:sz w:val="20"/>
          <w:szCs w:val="20"/>
          <w:lang w:eastAsia="cs-CZ"/>
        </w:rPr>
      </w:pPr>
    </w:p>
    <w:p w14:paraId="50345DDD" w14:textId="77777777" w:rsidR="0012537C" w:rsidRPr="00E9090D" w:rsidRDefault="0012537C" w:rsidP="0012537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0401C879" w14:textId="77777777" w:rsidR="0012537C" w:rsidRPr="00E9090D" w:rsidRDefault="0012537C" w:rsidP="0012537C">
      <w:pPr>
        <w:autoSpaceDE w:val="0"/>
        <w:autoSpaceDN w:val="0"/>
        <w:spacing w:after="0" w:line="240" w:lineRule="auto"/>
        <w:jc w:val="center"/>
        <w:rPr>
          <w:rFonts w:ascii="Times New Roman" w:eastAsia="Times New Roman" w:hAnsi="Times New Roman" w:cs="Times New Roman"/>
          <w:sz w:val="20"/>
          <w:szCs w:val="20"/>
          <w:lang w:eastAsia="cs-CZ"/>
        </w:rPr>
      </w:pPr>
      <w:r w:rsidRPr="00DB3A57">
        <w:rPr>
          <w:rFonts w:ascii="Times New Roman" w:eastAsia="Times New Roman" w:hAnsi="Times New Roman" w:cs="Times New Roman"/>
          <w:sz w:val="20"/>
          <w:szCs w:val="20"/>
          <w:lang w:eastAsia="cs-CZ"/>
        </w:rPr>
        <w:t xml:space="preserve">Ing. Pavel </w:t>
      </w:r>
      <w:proofErr w:type="spellStart"/>
      <w:r w:rsidRPr="00DB3A57">
        <w:rPr>
          <w:rFonts w:ascii="Times New Roman" w:eastAsia="Times New Roman" w:hAnsi="Times New Roman" w:cs="Times New Roman"/>
          <w:sz w:val="20"/>
          <w:szCs w:val="20"/>
          <w:lang w:eastAsia="cs-CZ"/>
        </w:rPr>
        <w:t>Paickr</w:t>
      </w:r>
      <w:proofErr w:type="spellEnd"/>
    </w:p>
    <w:p w14:paraId="39ADB519"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9C3CAAB" w14:textId="61B59144" w:rsidR="0012537C" w:rsidRDefault="0012537C" w:rsidP="00C301FF">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3074DC">
        <w:rPr>
          <w:rFonts w:ascii="Times New Roman" w:eastAsia="Times New Roman" w:hAnsi="Times New Roman" w:cs="Times New Roman"/>
          <w:sz w:val="20"/>
          <w:szCs w:val="20"/>
          <w:lang w:eastAsia="cs-CZ"/>
        </w:rPr>
        <w:t xml:space="preserve"> 12. 2. 2025</w:t>
      </w:r>
    </w:p>
    <w:p w14:paraId="38B8982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FDE6E7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4AE179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A7231A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7FDE5A4"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7FFCF8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D6B942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19BE0E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310D62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D64F9A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43B70A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1C1E42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EF8512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0D0E68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7E33015"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A09923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B559CC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300F31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AF475F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B2BFC30"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5D96507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732A7F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88025B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3D97F3B"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3255A58"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2C2859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E433F0D"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7F51D31"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3FBF70B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357796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535B91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D0CA907"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6EB9B7F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6A4114F"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42027B0A"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F161293"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2877DC3C"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14025E5E"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087B5652" w14:textId="77777777"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p w14:paraId="77827330" w14:textId="2DBCF12D" w:rsidR="0012537C" w:rsidRDefault="0012537C" w:rsidP="0012537C">
      <w:pPr>
        <w:autoSpaceDE w:val="0"/>
        <w:autoSpaceDN w:val="0"/>
        <w:adjustRightInd w:val="0"/>
        <w:spacing w:after="0" w:line="240" w:lineRule="auto"/>
        <w:ind w:left="2844" w:firstLine="696"/>
        <w:jc w:val="both"/>
        <w:rPr>
          <w:rFonts w:ascii="Times New Roman" w:eastAsia="Times New Roman" w:hAnsi="Times New Roman" w:cs="Times New Roman"/>
          <w:sz w:val="20"/>
          <w:szCs w:val="20"/>
          <w:lang w:eastAsia="cs-CZ"/>
        </w:rPr>
      </w:pPr>
    </w:p>
    <w:sectPr w:rsidR="0012537C" w:rsidSect="002477EE">
      <w:headerReference w:type="default" r:id="rId13"/>
      <w:footerReference w:type="even" r:id="rId14"/>
      <w:footerReference w:type="default" r:id="rId15"/>
      <w:footerReference w:type="first" r:id="rId16"/>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7DC4D" w14:textId="77777777" w:rsidR="00983C9D" w:rsidRDefault="00983C9D" w:rsidP="00DA7F51">
      <w:pPr>
        <w:spacing w:after="0" w:line="240" w:lineRule="auto"/>
      </w:pPr>
      <w:r>
        <w:separator/>
      </w:r>
    </w:p>
  </w:endnote>
  <w:endnote w:type="continuationSeparator" w:id="0">
    <w:p w14:paraId="0E1D2FB8" w14:textId="77777777" w:rsidR="00983C9D" w:rsidRDefault="00983C9D"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DBBA" w14:textId="0C64D470" w:rsidR="00F10536" w:rsidRDefault="00F10536">
    <w:pPr>
      <w:pStyle w:val="Zpat"/>
    </w:pPr>
    <w:r>
      <w:rPr>
        <w:noProof/>
        <w:lang w:val="cs-CZ"/>
      </w:rPr>
      <mc:AlternateContent>
        <mc:Choice Requires="wps">
          <w:drawing>
            <wp:anchor distT="0" distB="0" distL="0" distR="0" simplePos="0" relativeHeight="251662336" behindDoc="0" locked="0" layoutInCell="1" allowOverlap="1" wp14:anchorId="133677B3" wp14:editId="03457DE1">
              <wp:simplePos x="635" y="635"/>
              <wp:positionH relativeFrom="page">
                <wp:align>left</wp:align>
              </wp:positionH>
              <wp:positionV relativeFrom="page">
                <wp:align>bottom</wp:align>
              </wp:positionV>
              <wp:extent cx="756920" cy="316865"/>
              <wp:effectExtent l="0" t="0" r="5080" b="0"/>
              <wp:wrapNone/>
              <wp:docPr id="864569228" name="Textové pole 2" descr="INTERN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704D2581" w14:textId="5AA4C65D" w:rsidR="00F10536" w:rsidRPr="00F10536" w:rsidRDefault="00F10536" w:rsidP="00F10536">
                          <w:pPr>
                            <w:spacing w:after="0"/>
                            <w:rPr>
                              <w:rFonts w:ascii="Arial" w:eastAsia="Arial" w:hAnsi="Arial" w:cs="Arial"/>
                              <w:noProof/>
                              <w:color w:val="000000"/>
                              <w:sz w:val="16"/>
                              <w:szCs w:val="16"/>
                            </w:rPr>
                          </w:pPr>
                          <w:r w:rsidRPr="00F10536">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677B3" id="_x0000_t202" coordsize="21600,21600" o:spt="202" path="m,l,21600r21600,l21600,xe">
              <v:stroke joinstyle="miter"/>
              <v:path gradientshapeok="t" o:connecttype="rect"/>
            </v:shapetype>
            <v:shape id="Textové pole 2" o:spid="_x0000_s1026" type="#_x0000_t202" alt="INTERNAL" style="position:absolute;margin-left:0;margin-top:0;width:59.6pt;height:2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" filled="f" stroked="f">
              <v:textbox style="mso-fit-shape-to-text:t" inset="20pt,0,0,15pt">
                <w:txbxContent>
                  <w:p w14:paraId="704D2581" w14:textId="5AA4C65D" w:rsidR="00F10536" w:rsidRPr="00F10536" w:rsidRDefault="00F10536" w:rsidP="00F10536">
                    <w:pPr>
                      <w:spacing w:after="0"/>
                      <w:rPr>
                        <w:rFonts w:ascii="Arial" w:eastAsia="Arial" w:hAnsi="Arial" w:cs="Arial"/>
                        <w:noProof/>
                        <w:color w:val="000000"/>
                        <w:sz w:val="16"/>
                        <w:szCs w:val="16"/>
                      </w:rPr>
                    </w:pPr>
                    <w:r w:rsidRPr="00F10536">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51E1" w14:textId="0FA01E2B" w:rsidR="00DA7F51" w:rsidRDefault="00F10536">
    <w:pPr>
      <w:pStyle w:val="Zpat"/>
      <w:jc w:val="center"/>
    </w:pPr>
    <w:r>
      <w:rPr>
        <w:noProof/>
        <w:lang w:val="cs-CZ"/>
      </w:rPr>
      <mc:AlternateContent>
        <mc:Choice Requires="wps">
          <w:drawing>
            <wp:anchor distT="0" distB="0" distL="0" distR="0" simplePos="0" relativeHeight="251663360" behindDoc="0" locked="0" layoutInCell="1" allowOverlap="1" wp14:anchorId="0B9CB54E" wp14:editId="4C92D96B">
              <wp:simplePos x="901700" y="9950450"/>
              <wp:positionH relativeFrom="page">
                <wp:align>left</wp:align>
              </wp:positionH>
              <wp:positionV relativeFrom="page">
                <wp:align>bottom</wp:align>
              </wp:positionV>
              <wp:extent cx="756920" cy="316865"/>
              <wp:effectExtent l="0" t="0" r="5080" b="0"/>
              <wp:wrapNone/>
              <wp:docPr id="1403963800" name="Textové pole 3" descr="INTERN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52B062DD" w14:textId="53CD97F8" w:rsidR="00F10536" w:rsidRPr="00F10536" w:rsidRDefault="00F10536" w:rsidP="00F10536">
                          <w:pPr>
                            <w:spacing w:after="0"/>
                            <w:rPr>
                              <w:rFonts w:ascii="Arial" w:eastAsia="Arial" w:hAnsi="Arial" w:cs="Arial"/>
                              <w:noProof/>
                              <w:color w:val="000000"/>
                              <w:sz w:val="16"/>
                              <w:szCs w:val="16"/>
                            </w:rPr>
                          </w:pPr>
                          <w:r w:rsidRPr="00F10536">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9CB54E" id="_x0000_t202" coordsize="21600,21600" o:spt="202" path="m,l,21600r21600,l21600,xe">
              <v:stroke joinstyle="miter"/>
              <v:path gradientshapeok="t" o:connecttype="rect"/>
            </v:shapetype>
            <v:shape id="Textové pole 3" o:spid="_x0000_s1027" type="#_x0000_t202" alt="INTERNAL" style="position:absolute;left:0;text-align:left;margin-left:0;margin-top:0;width:59.6pt;height:2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" filled="f" stroked="f">
              <v:textbox style="mso-fit-shape-to-text:t" inset="20pt,0,0,15pt">
                <w:txbxContent>
                  <w:p w14:paraId="52B062DD" w14:textId="53CD97F8" w:rsidR="00F10536" w:rsidRPr="00F10536" w:rsidRDefault="00F10536" w:rsidP="00F10536">
                    <w:pPr>
                      <w:spacing w:after="0"/>
                      <w:rPr>
                        <w:rFonts w:ascii="Arial" w:eastAsia="Arial" w:hAnsi="Arial" w:cs="Arial"/>
                        <w:noProof/>
                        <w:color w:val="000000"/>
                        <w:sz w:val="16"/>
                        <w:szCs w:val="16"/>
                      </w:rPr>
                    </w:pPr>
                    <w:r w:rsidRPr="00F10536">
                      <w:rPr>
                        <w:rFonts w:ascii="Arial" w:eastAsia="Arial" w:hAnsi="Arial" w:cs="Arial"/>
                        <w:noProof/>
                        <w:color w:val="000000"/>
                        <w:sz w:val="16"/>
                        <w:szCs w:val="16"/>
                      </w:rPr>
                      <w:t>INTERNAL</w:t>
                    </w:r>
                  </w:p>
                </w:txbxContent>
              </v:textbox>
              <w10:wrap anchorx="page" anchory="page"/>
            </v:shape>
          </w:pict>
        </mc:Fallback>
      </mc:AlternateContent>
    </w:r>
    <w:sdt>
      <w:sdtPr>
        <w:id w:val="-331063768"/>
        <w:docPartObj>
          <w:docPartGallery w:val="Page Numbers (Bottom of Page)"/>
          <w:docPartUnique/>
        </w:docPartObj>
      </w:sdtPr>
      <w:sdtEndPr/>
      <w:sdtContent>
        <w:r w:rsidR="00DA7F51">
          <w:fldChar w:fldCharType="begin"/>
        </w:r>
        <w:r w:rsidR="00DA7F51">
          <w:instrText>PAGE   \* MERGEFORMAT</w:instrText>
        </w:r>
        <w:r w:rsidR="00DA7F51">
          <w:fldChar w:fldCharType="separate"/>
        </w:r>
        <w:r w:rsidR="003074DC" w:rsidRPr="003074DC">
          <w:rPr>
            <w:noProof/>
            <w:lang w:val="cs-CZ"/>
          </w:rPr>
          <w:t>14</w:t>
        </w:r>
        <w:r w:rsidR="00DA7F51">
          <w:fldChar w:fldCharType="end"/>
        </w:r>
      </w:sdtContent>
    </w:sdt>
  </w:p>
  <w:p w14:paraId="187B2EB0" w14:textId="77777777" w:rsidR="00DA7F51" w:rsidRDefault="00DA7F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9DD8" w14:textId="55752DE1" w:rsidR="00F10536" w:rsidRDefault="00F10536">
    <w:pPr>
      <w:pStyle w:val="Zpat"/>
    </w:pPr>
    <w:r>
      <w:rPr>
        <w:noProof/>
        <w:lang w:val="cs-CZ"/>
      </w:rPr>
      <mc:AlternateContent>
        <mc:Choice Requires="wps">
          <w:drawing>
            <wp:anchor distT="0" distB="0" distL="0" distR="0" simplePos="0" relativeHeight="251661312" behindDoc="0" locked="0" layoutInCell="1" allowOverlap="1" wp14:anchorId="0B6E010F" wp14:editId="73B0FA1E">
              <wp:simplePos x="635" y="635"/>
              <wp:positionH relativeFrom="page">
                <wp:align>left</wp:align>
              </wp:positionH>
              <wp:positionV relativeFrom="page">
                <wp:align>bottom</wp:align>
              </wp:positionV>
              <wp:extent cx="756920" cy="316865"/>
              <wp:effectExtent l="0" t="0" r="5080" b="0"/>
              <wp:wrapNone/>
              <wp:docPr id="878957221" name="Textové pole 1" descr="INTERN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16865"/>
                      </a:xfrm>
                      <a:prstGeom prst="rect">
                        <a:avLst/>
                      </a:prstGeom>
                      <a:noFill/>
                      <a:ln>
                        <a:noFill/>
                      </a:ln>
                    </wps:spPr>
                    <wps:txbx>
                      <w:txbxContent>
                        <w:p w14:paraId="14006D53" w14:textId="6F6EC039" w:rsidR="00F10536" w:rsidRPr="00F10536" w:rsidRDefault="00F10536" w:rsidP="00F10536">
                          <w:pPr>
                            <w:spacing w:after="0"/>
                            <w:rPr>
                              <w:rFonts w:ascii="Arial" w:eastAsia="Arial" w:hAnsi="Arial" w:cs="Arial"/>
                              <w:noProof/>
                              <w:color w:val="000000"/>
                              <w:sz w:val="16"/>
                              <w:szCs w:val="16"/>
                            </w:rPr>
                          </w:pPr>
                          <w:r w:rsidRPr="00F10536">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6E010F" id="_x0000_t202" coordsize="21600,21600" o:spt="202" path="m,l,21600r21600,l21600,xe">
              <v:stroke joinstyle="miter"/>
              <v:path gradientshapeok="t" o:connecttype="rect"/>
            </v:shapetype>
            <v:shape id="Textové pole 1" o:spid="_x0000_s1028" type="#_x0000_t202" alt="INTERNAL" style="position:absolute;margin-left:0;margin-top:0;width:59.6pt;height:2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" filled="f" stroked="f">
              <v:textbox style="mso-fit-shape-to-text:t" inset="20pt,0,0,15pt">
                <w:txbxContent>
                  <w:p w14:paraId="14006D53" w14:textId="6F6EC039" w:rsidR="00F10536" w:rsidRPr="00F10536" w:rsidRDefault="00F10536" w:rsidP="00F10536">
                    <w:pPr>
                      <w:spacing w:after="0"/>
                      <w:rPr>
                        <w:rFonts w:ascii="Arial" w:eastAsia="Arial" w:hAnsi="Arial" w:cs="Arial"/>
                        <w:noProof/>
                        <w:color w:val="000000"/>
                        <w:sz w:val="16"/>
                        <w:szCs w:val="16"/>
                      </w:rPr>
                    </w:pPr>
                    <w:r w:rsidRPr="00F10536">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E929" w14:textId="77777777" w:rsidR="00983C9D" w:rsidRDefault="00983C9D" w:rsidP="00DA7F51">
      <w:pPr>
        <w:spacing w:after="0" w:line="240" w:lineRule="auto"/>
      </w:pPr>
      <w:r>
        <w:separator/>
      </w:r>
    </w:p>
  </w:footnote>
  <w:footnote w:type="continuationSeparator" w:id="0">
    <w:p w14:paraId="5A1FE2F4" w14:textId="77777777" w:rsidR="00983C9D" w:rsidRDefault="00983C9D"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3C64" w14:textId="444DCA66" w:rsidR="002477EE" w:rsidRDefault="002477EE">
    <w:pPr>
      <w:pStyle w:val="Zhlav"/>
    </w:pPr>
    <w:r w:rsidRPr="002477EE">
      <w:rPr>
        <w:noProof/>
        <w:lang w:val="cs-CZ"/>
      </w:rPr>
      <w:drawing>
        <wp:anchor distT="0" distB="0" distL="114300" distR="114300" simplePos="0" relativeHeight="251659264" behindDoc="1" locked="0" layoutInCell="1" allowOverlap="1" wp14:anchorId="2CAFDC7A" wp14:editId="2C26636B">
          <wp:simplePos x="0" y="0"/>
          <wp:positionH relativeFrom="margin">
            <wp:posOffset>5725795</wp:posOffset>
          </wp:positionH>
          <wp:positionV relativeFrom="paragraph">
            <wp:posOffset>-286385</wp:posOffset>
          </wp:positionV>
          <wp:extent cx="711200" cy="1095375"/>
          <wp:effectExtent l="0" t="0" r="0" b="9525"/>
          <wp:wrapTight wrapText="bothSides">
            <wp:wrapPolygon edited="0">
              <wp:start x="0" y="0"/>
              <wp:lineTo x="0" y="21412"/>
              <wp:lineTo x="20829" y="21412"/>
              <wp:lineTo x="20829" y="0"/>
              <wp:lineTo x="0" y="0"/>
            </wp:wrapPolygon>
          </wp:wrapTight>
          <wp:docPr id="11" name="Obrázek 11"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7EE">
      <w:rPr>
        <w:noProof/>
        <w:lang w:val="cs-CZ"/>
      </w:rPr>
      <w:drawing>
        <wp:anchor distT="0" distB="0" distL="114300" distR="114300" simplePos="0" relativeHeight="251660288" behindDoc="1" locked="0" layoutInCell="1" allowOverlap="1" wp14:anchorId="247DC61A" wp14:editId="40DE5305">
          <wp:simplePos x="0" y="0"/>
          <wp:positionH relativeFrom="margin">
            <wp:posOffset>-304800</wp:posOffset>
          </wp:positionH>
          <wp:positionV relativeFrom="paragraph">
            <wp:posOffset>-295910</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343BD"/>
    <w:rsid w:val="00053B8B"/>
    <w:rsid w:val="00084F6D"/>
    <w:rsid w:val="00085CD6"/>
    <w:rsid w:val="0009042C"/>
    <w:rsid w:val="00110082"/>
    <w:rsid w:val="00120459"/>
    <w:rsid w:val="00123B85"/>
    <w:rsid w:val="0012537C"/>
    <w:rsid w:val="001576B9"/>
    <w:rsid w:val="00173016"/>
    <w:rsid w:val="00175E1C"/>
    <w:rsid w:val="001819EB"/>
    <w:rsid w:val="001868BE"/>
    <w:rsid w:val="001874EE"/>
    <w:rsid w:val="001C165D"/>
    <w:rsid w:val="00224031"/>
    <w:rsid w:val="002477EE"/>
    <w:rsid w:val="00266769"/>
    <w:rsid w:val="002964EA"/>
    <w:rsid w:val="002A5CA9"/>
    <w:rsid w:val="002D46E1"/>
    <w:rsid w:val="002F484F"/>
    <w:rsid w:val="002F6800"/>
    <w:rsid w:val="003074DC"/>
    <w:rsid w:val="0032206D"/>
    <w:rsid w:val="00353415"/>
    <w:rsid w:val="00375BFD"/>
    <w:rsid w:val="00386B19"/>
    <w:rsid w:val="00391075"/>
    <w:rsid w:val="003C4DEA"/>
    <w:rsid w:val="003D3A17"/>
    <w:rsid w:val="003E2521"/>
    <w:rsid w:val="00423872"/>
    <w:rsid w:val="004444F9"/>
    <w:rsid w:val="0047227D"/>
    <w:rsid w:val="00496A01"/>
    <w:rsid w:val="004A0402"/>
    <w:rsid w:val="004A47CF"/>
    <w:rsid w:val="004A7DAB"/>
    <w:rsid w:val="00551D15"/>
    <w:rsid w:val="00553C2F"/>
    <w:rsid w:val="00577F7F"/>
    <w:rsid w:val="00583417"/>
    <w:rsid w:val="00595E55"/>
    <w:rsid w:val="005A74C7"/>
    <w:rsid w:val="005A7C6C"/>
    <w:rsid w:val="005C1D7E"/>
    <w:rsid w:val="005C2614"/>
    <w:rsid w:val="005D2BC5"/>
    <w:rsid w:val="00645E34"/>
    <w:rsid w:val="0065665F"/>
    <w:rsid w:val="006619D1"/>
    <w:rsid w:val="0069685D"/>
    <w:rsid w:val="006B3592"/>
    <w:rsid w:val="006D1C72"/>
    <w:rsid w:val="00702F74"/>
    <w:rsid w:val="00777600"/>
    <w:rsid w:val="007A5FA5"/>
    <w:rsid w:val="00816CE1"/>
    <w:rsid w:val="0082573D"/>
    <w:rsid w:val="00825822"/>
    <w:rsid w:val="0086277E"/>
    <w:rsid w:val="008C2AF8"/>
    <w:rsid w:val="008C3C05"/>
    <w:rsid w:val="008D425A"/>
    <w:rsid w:val="008E7B78"/>
    <w:rsid w:val="008F6128"/>
    <w:rsid w:val="009349AE"/>
    <w:rsid w:val="00950FB2"/>
    <w:rsid w:val="00983C9D"/>
    <w:rsid w:val="00A15753"/>
    <w:rsid w:val="00A526C8"/>
    <w:rsid w:val="00A60E92"/>
    <w:rsid w:val="00A646BB"/>
    <w:rsid w:val="00A73995"/>
    <w:rsid w:val="00A82316"/>
    <w:rsid w:val="00A855CB"/>
    <w:rsid w:val="00A967E9"/>
    <w:rsid w:val="00AD2733"/>
    <w:rsid w:val="00AD292A"/>
    <w:rsid w:val="00AE1E7A"/>
    <w:rsid w:val="00B019FA"/>
    <w:rsid w:val="00B351B3"/>
    <w:rsid w:val="00B56344"/>
    <w:rsid w:val="00B62E1F"/>
    <w:rsid w:val="00B64B10"/>
    <w:rsid w:val="00B71572"/>
    <w:rsid w:val="00B8204D"/>
    <w:rsid w:val="00B8248E"/>
    <w:rsid w:val="00BA2743"/>
    <w:rsid w:val="00BC2079"/>
    <w:rsid w:val="00BF1B9A"/>
    <w:rsid w:val="00BF68DE"/>
    <w:rsid w:val="00C06C15"/>
    <w:rsid w:val="00C301FF"/>
    <w:rsid w:val="00C364E1"/>
    <w:rsid w:val="00C5312D"/>
    <w:rsid w:val="00C64C52"/>
    <w:rsid w:val="00C71C7C"/>
    <w:rsid w:val="00C84643"/>
    <w:rsid w:val="00CD0224"/>
    <w:rsid w:val="00CF5931"/>
    <w:rsid w:val="00D0787A"/>
    <w:rsid w:val="00D30DC7"/>
    <w:rsid w:val="00D76A1C"/>
    <w:rsid w:val="00D84E3F"/>
    <w:rsid w:val="00DA7F51"/>
    <w:rsid w:val="00DB2491"/>
    <w:rsid w:val="00DE5CCF"/>
    <w:rsid w:val="00DF29F6"/>
    <w:rsid w:val="00E17B97"/>
    <w:rsid w:val="00E51D49"/>
    <w:rsid w:val="00E71482"/>
    <w:rsid w:val="00E77393"/>
    <w:rsid w:val="00E9090D"/>
    <w:rsid w:val="00EC1DB2"/>
    <w:rsid w:val="00F10536"/>
    <w:rsid w:val="00F120BD"/>
    <w:rsid w:val="00F1378F"/>
    <w:rsid w:val="00F476FA"/>
    <w:rsid w:val="00F850ED"/>
    <w:rsid w:val="00FA2F1E"/>
    <w:rsid w:val="00FC3E8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079E-029B-4C4B-9311-1470E8AEB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0E852-802E-4BBD-BC2D-E75760672E0A}">
  <ds:schemaRefs>
    <ds:schemaRef ds:uri="http://schemas.microsoft.com/sharepoint/v3/contenttype/forms"/>
  </ds:schemaRefs>
</ds:datastoreItem>
</file>

<file path=customXml/itemProps3.xml><?xml version="1.0" encoding="utf-8"?>
<ds:datastoreItem xmlns:ds="http://schemas.openxmlformats.org/officeDocument/2006/customXml" ds:itemID="{B21AEFB5-85FE-457E-871A-5DB0066A8B9E}">
  <ds:schemaRefs>
    <ds:schemaRef ds:uri="http://schemas.microsoft.com/office/infopath/2007/PartnerControls"/>
    <ds:schemaRef ds:uri="http://purl.org/dc/elements/1.1/"/>
    <ds:schemaRef ds:uri="http://schemas.microsoft.com/office/2006/documentManagement/types"/>
    <ds:schemaRef ds:uri="http://purl.org/dc/terms/"/>
    <ds:schemaRef ds:uri="6e0fb9b0-b993-473a-b020-0e26f7bcde7a"/>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402102-5DB2-4A2B-99BE-343CE2229376}">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5625</Words>
  <Characters>33189</Characters>
  <Application>Microsoft Office Word</Application>
  <DocSecurity>4</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cp:lastPrinted>2025-03-06T10:15:00Z</cp:lastPrinted>
  <dcterms:created xsi:type="dcterms:W3CDTF">2025-03-06T10:16:00Z</dcterms:created>
  <dcterms:modified xsi:type="dcterms:W3CDTF">2025-03-06T10:16:00Z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3463d2a5,3388478c,53aec998</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ContentTypeId">
    <vt:lpwstr>0x010100635021DAD5076041AD6AAF84130D178B</vt:lpwstr>
  </property>
</Properties>
</file>