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2595" w14:textId="77777777" w:rsidR="000C6D48" w:rsidRDefault="000C6D4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039EE6DC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0C6D48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563B4BA5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0C6D48">
        <w:rPr>
          <w:spacing w:val="0"/>
          <w:kern w:val="0"/>
          <w:sz w:val="24"/>
          <w:szCs w:val="24"/>
        </w:rPr>
        <w:t>1</w:t>
      </w:r>
      <w:r w:rsidR="0026727F">
        <w:rPr>
          <w:spacing w:val="0"/>
          <w:kern w:val="0"/>
          <w:sz w:val="24"/>
          <w:szCs w:val="24"/>
        </w:rPr>
        <w:t>2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B87525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C804B6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Ing. Karlem </w:t>
      </w:r>
      <w:proofErr w:type="spellStart"/>
      <w:r w:rsidRPr="00333042">
        <w:rPr>
          <w:sz w:val="20"/>
          <w:szCs w:val="20"/>
        </w:rPr>
        <w:t>Trpkošem</w:t>
      </w:r>
      <w:proofErr w:type="spellEnd"/>
      <w:r w:rsidRPr="00333042">
        <w:rPr>
          <w:sz w:val="20"/>
          <w:szCs w:val="20"/>
        </w:rPr>
        <w:t>, vrchním ředitelem sekce informačních technologií</w:t>
      </w:r>
    </w:p>
    <w:p w14:paraId="3FB73705" w14:textId="1CE4EE9C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  <w:r w:rsidR="00C804B6">
        <w:rPr>
          <w:sz w:val="20"/>
          <w:szCs w:val="20"/>
        </w:rPr>
        <w:t>, a.s.</w:t>
      </w:r>
    </w:p>
    <w:p w14:paraId="72C699F9" w14:textId="3507AD64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5ACF6066" w14:textId="77777777" w:rsidR="0026727F" w:rsidRDefault="0026727F" w:rsidP="0026727F">
      <w:pPr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Konsorcium </w:t>
      </w:r>
      <w:proofErr w:type="spellStart"/>
      <w:r>
        <w:rPr>
          <w:rFonts w:cs="Arial"/>
          <w:b/>
          <w:bCs/>
          <w:szCs w:val="20"/>
        </w:rPr>
        <w:t>Tekies</w:t>
      </w:r>
      <w:proofErr w:type="spellEnd"/>
      <w:r>
        <w:rPr>
          <w:rFonts w:cs="Arial"/>
          <w:b/>
          <w:bCs/>
          <w:szCs w:val="20"/>
        </w:rPr>
        <w:t xml:space="preserve"> a COPS</w:t>
      </w:r>
    </w:p>
    <w:p w14:paraId="60B20284" w14:textId="77777777" w:rsidR="0026727F" w:rsidRPr="00022068" w:rsidRDefault="0026727F" w:rsidP="0026727F">
      <w:pPr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bookmarkStart w:id="2" w:name="_Hlk138757753"/>
      <w:proofErr w:type="spellStart"/>
      <w:r w:rsidRPr="00022068">
        <w:rPr>
          <w:rFonts w:cs="Arial"/>
          <w:b/>
          <w:bCs/>
          <w:szCs w:val="20"/>
        </w:rPr>
        <w:t>Tekies</w:t>
      </w:r>
      <w:proofErr w:type="spellEnd"/>
      <w:r w:rsidRPr="00022068">
        <w:rPr>
          <w:rFonts w:cs="Arial"/>
          <w:b/>
          <w:bCs/>
          <w:szCs w:val="20"/>
        </w:rPr>
        <w:t xml:space="preserve"> s.r.o.</w:t>
      </w:r>
      <w:bookmarkEnd w:id="2"/>
    </w:p>
    <w:p w14:paraId="28177D83" w14:textId="77777777" w:rsidR="0026727F" w:rsidRPr="00022068" w:rsidRDefault="0026727F" w:rsidP="0026727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 xml:space="preserve">U </w:t>
      </w:r>
      <w:proofErr w:type="spellStart"/>
      <w:r w:rsidRPr="00022068">
        <w:rPr>
          <w:rFonts w:cs="Arial"/>
          <w:color w:val="000000"/>
          <w:szCs w:val="20"/>
        </w:rPr>
        <w:t>Nikolajky</w:t>
      </w:r>
      <w:proofErr w:type="spellEnd"/>
      <w:r w:rsidRPr="00022068">
        <w:rPr>
          <w:rFonts w:cs="Arial"/>
          <w:color w:val="000000"/>
          <w:szCs w:val="20"/>
        </w:rPr>
        <w:t xml:space="preserve">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2836D239" w14:textId="77777777" w:rsidR="0026727F" w:rsidRPr="00022068" w:rsidRDefault="0026727F" w:rsidP="0026727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5A2BA10F" w14:textId="77777777" w:rsidR="0026727F" w:rsidRPr="00022068" w:rsidRDefault="0026727F" w:rsidP="0026727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4EEF807A" w14:textId="1E85E75E" w:rsidR="0026727F" w:rsidRDefault="0026727F" w:rsidP="0026727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840959" w:rsidRPr="00840959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55209FD6" w14:textId="1697FF92" w:rsidR="0026727F" w:rsidRPr="00022068" w:rsidRDefault="0026727F" w:rsidP="0026727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Pavl</w:t>
      </w:r>
      <w:r w:rsidR="00FF78C3">
        <w:rPr>
          <w:rFonts w:cs="Arial"/>
          <w:szCs w:val="20"/>
        </w:rPr>
        <w:t>em</w:t>
      </w:r>
      <w:r>
        <w:rPr>
          <w:rFonts w:cs="Arial"/>
          <w:szCs w:val="20"/>
        </w:rPr>
        <w:t xml:space="preserve"> Wimmer</w:t>
      </w:r>
      <w:r w:rsidR="00FF78C3">
        <w:rPr>
          <w:rFonts w:cs="Arial"/>
          <w:szCs w:val="20"/>
        </w:rPr>
        <w:t>em</w:t>
      </w:r>
      <w:r>
        <w:rPr>
          <w:rFonts w:cs="Arial"/>
          <w:szCs w:val="20"/>
        </w:rPr>
        <w:t>, jednatel</w:t>
      </w:r>
      <w:r w:rsidR="00FF78C3">
        <w:rPr>
          <w:rFonts w:cs="Arial"/>
          <w:szCs w:val="20"/>
        </w:rPr>
        <w:t>em</w:t>
      </w:r>
    </w:p>
    <w:p w14:paraId="5FA0B493" w14:textId="77777777" w:rsidR="0026727F" w:rsidRPr="00022068" w:rsidRDefault="0026727F" w:rsidP="0026727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333C5175" w14:textId="77777777" w:rsidR="0026727F" w:rsidRPr="00022068" w:rsidRDefault="0026727F" w:rsidP="0026727F">
      <w:pPr>
        <w:spacing w:before="12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2C0DB81E" w14:textId="77777777" w:rsidR="0026727F" w:rsidRPr="00022068" w:rsidRDefault="0026727F" w:rsidP="0026727F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bookmarkStart w:id="3" w:name="_Hlk138757758"/>
      <w:r w:rsidRPr="00022068">
        <w:rPr>
          <w:rFonts w:cs="Arial"/>
          <w:b/>
          <w:bCs/>
          <w:szCs w:val="20"/>
        </w:rPr>
        <w:t xml:space="preserve">COPS </w:t>
      </w:r>
      <w:proofErr w:type="spellStart"/>
      <w:r w:rsidRPr="00022068">
        <w:rPr>
          <w:rFonts w:cs="Arial"/>
          <w:b/>
          <w:bCs/>
          <w:szCs w:val="20"/>
        </w:rPr>
        <w:t>Financial</w:t>
      </w:r>
      <w:proofErr w:type="spellEnd"/>
      <w:r w:rsidRPr="00022068">
        <w:rPr>
          <w:rFonts w:cs="Arial"/>
          <w:b/>
          <w:bCs/>
          <w:szCs w:val="20"/>
        </w:rPr>
        <w:t xml:space="preserve"> Systems s.r.o.</w:t>
      </w:r>
      <w:bookmarkEnd w:id="3"/>
    </w:p>
    <w:p w14:paraId="255D1CBC" w14:textId="77777777" w:rsidR="0026727F" w:rsidRPr="00022068" w:rsidRDefault="0026727F" w:rsidP="0026727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 xml:space="preserve">Krakovská 1392/7, 110 00 </w:t>
      </w:r>
      <w:r>
        <w:rPr>
          <w:rFonts w:cs="Arial"/>
          <w:bCs/>
          <w:color w:val="000000"/>
          <w:szCs w:val="20"/>
        </w:rPr>
        <w:t>Praha 1 – Nové Město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002416DE" w14:textId="77777777" w:rsidR="0026727F" w:rsidRPr="00022068" w:rsidRDefault="0026727F" w:rsidP="0026727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038DE977" w14:textId="77777777" w:rsidR="0026727F" w:rsidRPr="00022068" w:rsidRDefault="0026727F" w:rsidP="0026727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76423127" w14:textId="598C9EA1" w:rsidR="0026727F" w:rsidRDefault="0026727F" w:rsidP="0026727F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="00FF78C3">
        <w:rPr>
          <w:rFonts w:eastAsia="Arial" w:cs="Arial"/>
          <w:szCs w:val="20"/>
        </w:rPr>
        <w:t xml:space="preserve">Fio banka, </w:t>
      </w:r>
      <w:proofErr w:type="spellStart"/>
      <w:r w:rsidR="00FF78C3">
        <w:rPr>
          <w:rFonts w:eastAsia="Arial" w:cs="Arial"/>
          <w:szCs w:val="20"/>
        </w:rPr>
        <w:t>č.ú</w:t>
      </w:r>
      <w:proofErr w:type="spellEnd"/>
      <w:r w:rsidR="00FF78C3">
        <w:rPr>
          <w:rFonts w:eastAsia="Arial" w:cs="Arial"/>
          <w:szCs w:val="20"/>
        </w:rPr>
        <w:t xml:space="preserve">.: </w:t>
      </w:r>
      <w:r>
        <w:rPr>
          <w:rFonts w:eastAsia="Arial" w:cs="Arial"/>
          <w:szCs w:val="20"/>
        </w:rPr>
        <w:t>2201654923/2010</w:t>
      </w:r>
    </w:p>
    <w:p w14:paraId="646492D9" w14:textId="5FD73330" w:rsidR="0026727F" w:rsidRPr="00022068" w:rsidRDefault="0026727F" w:rsidP="0026727F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  <w:t>Ondřej</w:t>
      </w:r>
      <w:r w:rsidR="00FF78C3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 xml:space="preserve"> Dvořák</w:t>
      </w:r>
      <w:r w:rsidR="00FF78C3">
        <w:rPr>
          <w:rFonts w:cs="Arial"/>
          <w:bCs/>
          <w:color w:val="000000"/>
          <w:szCs w:val="20"/>
        </w:rPr>
        <w:t>em</w:t>
      </w:r>
      <w:r w:rsidRPr="00022068">
        <w:rPr>
          <w:rFonts w:cs="Arial"/>
          <w:bCs/>
          <w:color w:val="000000"/>
          <w:szCs w:val="20"/>
        </w:rPr>
        <w:t>, Ph.D., jednatel</w:t>
      </w:r>
      <w:r w:rsidR="00FF78C3">
        <w:rPr>
          <w:rFonts w:cs="Arial"/>
          <w:bCs/>
          <w:color w:val="000000"/>
          <w:szCs w:val="20"/>
        </w:rPr>
        <w:t>em</w:t>
      </w:r>
    </w:p>
    <w:p w14:paraId="01627543" w14:textId="77777777" w:rsidR="0026727F" w:rsidRPr="00022068" w:rsidRDefault="0026727F" w:rsidP="0026727F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040C60">
      <w:pPr>
        <w:pStyle w:val="Default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3534872" w14:textId="2E6F94AF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0C6D48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0C6D48">
        <w:rPr>
          <w:rFonts w:cs="Arial"/>
          <w:szCs w:val="22"/>
          <w:lang w:eastAsia="en-US"/>
        </w:rPr>
        <w:t>1</w:t>
      </w:r>
      <w:r w:rsidR="00FF78C3">
        <w:rPr>
          <w:rFonts w:cs="Arial"/>
          <w:szCs w:val="22"/>
          <w:lang w:eastAsia="en-US"/>
        </w:rPr>
        <w:t>2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>služeb</w:t>
      </w:r>
      <w:r w:rsidR="00C804B6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29617D">
        <w:rPr>
          <w:rFonts w:cs="Arial"/>
          <w:szCs w:val="22"/>
          <w:lang w:eastAsia="en-US"/>
        </w:rPr>
        <w:t>8</w:t>
      </w:r>
      <w:r w:rsidR="00B90A4C">
        <w:rPr>
          <w:rFonts w:cs="Arial"/>
          <w:szCs w:val="22"/>
          <w:lang w:eastAsia="en-US"/>
        </w:rPr>
        <w:t>.</w:t>
      </w:r>
      <w:r w:rsidR="0029617D">
        <w:rPr>
          <w:rFonts w:cs="Arial"/>
          <w:szCs w:val="22"/>
          <w:lang w:eastAsia="en-US"/>
        </w:rPr>
        <w:t> 7</w:t>
      </w:r>
      <w:r w:rsidR="00B90A4C">
        <w:rPr>
          <w:rFonts w:cs="Arial"/>
          <w:szCs w:val="22"/>
          <w:lang w:eastAsia="en-US"/>
        </w:rPr>
        <w:t>. 202</w:t>
      </w:r>
      <w:r w:rsidR="00866709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</w:t>
      </w:r>
      <w:r w:rsidR="0029617D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>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0C6D48">
        <w:rPr>
          <w:rFonts w:cs="Arial"/>
          <w:b/>
          <w:lang w:eastAsia="en-US"/>
        </w:rPr>
        <w:t>1</w:t>
      </w:r>
      <w:r w:rsidR="000C6D48" w:rsidRPr="000C6D48">
        <w:rPr>
          <w:rFonts w:cs="Arial"/>
          <w:bCs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514BF8A1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4C432B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0C6D48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3FE4BEC8" w14:textId="086AAD89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44BF3386" w:rsidR="00F9198F" w:rsidRPr="004C432B" w:rsidRDefault="005B4150" w:rsidP="004C432B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29617D">
        <w:rPr>
          <w:rFonts w:cs="Arial"/>
          <w:szCs w:val="22"/>
          <w:lang w:val="cs-CZ" w:eastAsia="en-US"/>
        </w:rPr>
        <w:t>8. 7</w:t>
      </w:r>
      <w:r w:rsidR="000C6D48">
        <w:rPr>
          <w:rFonts w:cs="Arial"/>
          <w:szCs w:val="22"/>
          <w:lang w:val="cs-CZ" w:eastAsia="en-US"/>
        </w:rPr>
        <w:t>.</w:t>
      </w:r>
      <w:r w:rsidR="004B71D4" w:rsidRPr="00333042">
        <w:rPr>
          <w:rFonts w:cs="Arial"/>
          <w:szCs w:val="22"/>
          <w:lang w:eastAsia="en-US"/>
        </w:rPr>
        <w:t xml:space="preserve"> 202</w:t>
      </w:r>
      <w:r w:rsidR="00866709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0C6D48">
        <w:rPr>
          <w:rFonts w:cs="Arial"/>
          <w:szCs w:val="22"/>
          <w:lang w:eastAsia="en-US"/>
        </w:rPr>
        <w:t>1</w:t>
      </w:r>
      <w:r w:rsidR="0029617D">
        <w:rPr>
          <w:rFonts w:cs="Arial"/>
          <w:szCs w:val="22"/>
          <w:lang w:eastAsia="en-US"/>
        </w:rPr>
        <w:t>2</w:t>
      </w:r>
      <w:r w:rsidR="00A76B56">
        <w:rPr>
          <w:rFonts w:cs="Arial"/>
          <w:szCs w:val="22"/>
          <w:lang w:eastAsia="en-US"/>
        </w:rPr>
        <w:t xml:space="preserve"> o poskytování 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A76B56">
        <w:rPr>
          <w:rFonts w:cs="Arial"/>
          <w:b/>
          <w:bCs/>
          <w:szCs w:val="22"/>
          <w:lang w:val="cs-CZ" w:eastAsia="en-US"/>
        </w:rPr>
        <w:t>Dílčí smlouva</w:t>
      </w:r>
      <w:r w:rsidR="009C032B">
        <w:rPr>
          <w:rFonts w:cs="Arial"/>
          <w:b/>
          <w:bCs/>
          <w:szCs w:val="22"/>
          <w:lang w:val="cs-CZ" w:eastAsia="en-US"/>
        </w:rPr>
        <w:t xml:space="preserve"> č. </w:t>
      </w:r>
      <w:r w:rsidR="000C6D48">
        <w:rPr>
          <w:rFonts w:cs="Arial"/>
          <w:b/>
          <w:bCs/>
          <w:szCs w:val="22"/>
          <w:lang w:val="cs-CZ" w:eastAsia="en-US"/>
        </w:rPr>
        <w:t>1</w:t>
      </w:r>
      <w:r w:rsidR="0029617D">
        <w:rPr>
          <w:rFonts w:cs="Arial"/>
          <w:b/>
          <w:bCs/>
          <w:szCs w:val="22"/>
          <w:lang w:val="cs-CZ" w:eastAsia="en-US"/>
        </w:rPr>
        <w:t>2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proofErr w:type="spellStart"/>
      <w:r w:rsidR="00C804B6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>initendru</w:t>
      </w:r>
      <w:proofErr w:type="spellEnd"/>
      <w:r w:rsidR="00FF776F">
        <w:rPr>
          <w:rFonts w:cs="Arial"/>
          <w:szCs w:val="22"/>
          <w:lang w:val="cs-CZ" w:eastAsia="en-US"/>
        </w:rPr>
        <w:t xml:space="preserve">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0C6D48" w:rsidRPr="000C6D48">
        <w:rPr>
          <w:rFonts w:cs="Arial"/>
          <w:szCs w:val="22"/>
          <w:lang w:val="cs-CZ" w:eastAsia="en-US"/>
        </w:rPr>
        <w:t>„</w:t>
      </w:r>
      <w:r w:rsidR="000C6D48" w:rsidRPr="000C6D48">
        <w:rPr>
          <w:rFonts w:cs="Arial"/>
          <w:i/>
          <w:iCs/>
          <w:spacing w:val="-2"/>
          <w:szCs w:val="20"/>
        </w:rPr>
        <w:t>(</w:t>
      </w:r>
      <w:r w:rsidR="0029617D">
        <w:rPr>
          <w:rFonts w:cs="Arial"/>
          <w:i/>
          <w:iCs/>
          <w:spacing w:val="-2"/>
          <w:szCs w:val="20"/>
        </w:rPr>
        <w:t>DE</w:t>
      </w:r>
      <w:r w:rsidR="000C6D48" w:rsidRPr="000C6D48">
        <w:rPr>
          <w:rFonts w:cs="Arial"/>
          <w:i/>
          <w:iCs/>
          <w:spacing w:val="-2"/>
          <w:szCs w:val="20"/>
        </w:rPr>
        <w:t>-M-1</w:t>
      </w:r>
      <w:r w:rsidR="0029617D">
        <w:rPr>
          <w:rFonts w:cs="Arial"/>
          <w:i/>
          <w:iCs/>
          <w:spacing w:val="-2"/>
          <w:szCs w:val="20"/>
        </w:rPr>
        <w:t>2</w:t>
      </w:r>
      <w:r w:rsidR="000C6D48" w:rsidRPr="000C6D48">
        <w:rPr>
          <w:rFonts w:cs="Arial"/>
          <w:i/>
          <w:iCs/>
          <w:spacing w:val="-2"/>
          <w:szCs w:val="20"/>
        </w:rPr>
        <w:t xml:space="preserve">) </w:t>
      </w:r>
      <w:r w:rsidR="0029617D" w:rsidRPr="0029617D">
        <w:rPr>
          <w:rFonts w:cs="Arial"/>
          <w:i/>
          <w:iCs/>
          <w:spacing w:val="-2"/>
          <w:szCs w:val="20"/>
        </w:rPr>
        <w:t>Poskytování analytických služeb k projektu Evidence podpory bydlení</w:t>
      </w:r>
      <w:r w:rsidR="00FF776F" w:rsidRPr="00C804B6">
        <w:rPr>
          <w:rFonts w:cs="Arial"/>
          <w:szCs w:val="22"/>
          <w:lang w:eastAsia="en-US"/>
        </w:rPr>
        <w:t>“</w:t>
      </w:r>
      <w:r w:rsidR="00C804B6" w:rsidRPr="00C804B6">
        <w:rPr>
          <w:rFonts w:cs="Arial"/>
          <w:szCs w:val="22"/>
          <w:lang w:eastAsia="en-US"/>
        </w:rPr>
        <w:t xml:space="preserve"> (dále jen “</w:t>
      </w:r>
      <w:r w:rsidR="00C804B6" w:rsidRPr="006C5125">
        <w:rPr>
          <w:rFonts w:cs="Arial"/>
          <w:b/>
          <w:bCs/>
          <w:szCs w:val="22"/>
          <w:lang w:eastAsia="en-US"/>
        </w:rPr>
        <w:t>Minitendr</w:t>
      </w:r>
      <w:r w:rsidR="00C804B6" w:rsidRPr="00C804B6">
        <w:rPr>
          <w:rFonts w:cs="Arial"/>
          <w:szCs w:val="22"/>
          <w:lang w:eastAsia="en-US"/>
        </w:rPr>
        <w:t>”)</w:t>
      </w:r>
      <w:r w:rsidR="00C804B6">
        <w:rPr>
          <w:rFonts w:cs="Arial"/>
          <w:szCs w:val="22"/>
          <w:lang w:eastAsia="en-US"/>
        </w:rPr>
        <w:t>.</w:t>
      </w:r>
      <w:r w:rsidR="00A76B56" w:rsidRPr="00C804B6">
        <w:rPr>
          <w:rFonts w:cs="Arial"/>
          <w:szCs w:val="22"/>
          <w:lang w:val="cs-CZ" w:eastAsia="en-US"/>
        </w:rPr>
        <w:t xml:space="preserve"> </w:t>
      </w:r>
      <w:r w:rsidR="00A76B56" w:rsidRPr="00C804B6">
        <w:rPr>
          <w:rFonts w:cs="Arial"/>
          <w:szCs w:val="20"/>
        </w:rPr>
        <w:t>Poskytovatel</w:t>
      </w:r>
      <w:r w:rsidR="00A76B56" w:rsidRPr="00407C33">
        <w:rPr>
          <w:rFonts w:cs="Arial"/>
          <w:szCs w:val="20"/>
        </w:rPr>
        <w:t xml:space="preserve">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0C6D48">
        <w:rPr>
          <w:rFonts w:cs="Arial"/>
          <w:szCs w:val="20"/>
          <w:lang w:val="cs-CZ"/>
        </w:rPr>
        <w:t>1</w:t>
      </w:r>
      <w:r w:rsidR="0029617D">
        <w:rPr>
          <w:rFonts w:cs="Arial"/>
          <w:szCs w:val="20"/>
          <w:lang w:val="cs-CZ"/>
        </w:rPr>
        <w:t>2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4C432B">
        <w:rPr>
          <w:rFonts w:cs="Arial"/>
          <w:szCs w:val="20"/>
          <w:lang w:val="cs-CZ"/>
        </w:rPr>
        <w:t xml:space="preserve">pro Objednatele </w:t>
      </w:r>
      <w:r w:rsidR="00076F3A" w:rsidRPr="00407C33">
        <w:rPr>
          <w:rFonts w:cs="Arial"/>
          <w:szCs w:val="20"/>
        </w:rPr>
        <w:t xml:space="preserve">plnění </w:t>
      </w:r>
      <w:r w:rsidR="00076F3A">
        <w:rPr>
          <w:rFonts w:cs="Arial"/>
          <w:szCs w:val="20"/>
        </w:rPr>
        <w:t>spočívající v </w:t>
      </w:r>
      <w:r w:rsidR="00FD31E7">
        <w:rPr>
          <w:rFonts w:cs="Arial"/>
          <w:szCs w:val="20"/>
        </w:rPr>
        <w:t xml:space="preserve">zajištění </w:t>
      </w:r>
      <w:r w:rsidR="00FD31E7" w:rsidRPr="00511241">
        <w:rPr>
          <w:rFonts w:cs="Arial"/>
          <w:szCs w:val="20"/>
        </w:rPr>
        <w:t xml:space="preserve">kapacit </w:t>
      </w:r>
      <w:r w:rsidR="000C6D48">
        <w:rPr>
          <w:rFonts w:cs="Arial"/>
          <w:szCs w:val="20"/>
        </w:rPr>
        <w:t xml:space="preserve">IT </w:t>
      </w:r>
      <w:r w:rsidR="000C6D48">
        <w:rPr>
          <w:rFonts w:cs="Arial"/>
          <w:szCs w:val="20"/>
          <w:lang w:eastAsia="en-US"/>
        </w:rPr>
        <w:t>odborník</w:t>
      </w:r>
      <w:r w:rsidR="0029617D">
        <w:rPr>
          <w:rFonts w:cs="Arial"/>
          <w:szCs w:val="20"/>
          <w:lang w:eastAsia="en-US"/>
        </w:rPr>
        <w:t xml:space="preserve">ů </w:t>
      </w:r>
      <w:r w:rsidR="0029617D" w:rsidRPr="003C06D6">
        <w:rPr>
          <w:rFonts w:cs="Arial"/>
          <w:szCs w:val="20"/>
          <w:lang w:eastAsia="en-US"/>
        </w:rPr>
        <w:t>pro zajištění analýzy procesů a jejich změn, návrh reportů, přípravu funkční specifikace, designu webové aplikace a dalších grafických výstupů jako formulářů atp., systémové specifikace, odhadů pracnosti, návrh scénářů a dat pro ověření procesů, vlastního ověřování procesů a požadavků v rámci testování, podpora při zavedení procesů a výstupů projektu do provozu. Výše uvedené aktivity jsou požadovány v celém průběhu projektu Evidence podpory bydlení</w:t>
      </w:r>
      <w:r w:rsidR="00FD31E7" w:rsidRPr="004C432B">
        <w:rPr>
          <w:rFonts w:cs="Arial"/>
          <w:szCs w:val="20"/>
        </w:rPr>
        <w:t>.</w:t>
      </w:r>
      <w:r w:rsidR="005B178A" w:rsidRPr="004C432B">
        <w:rPr>
          <w:rFonts w:cs="Arial"/>
          <w:szCs w:val="20"/>
        </w:rPr>
        <w:t xml:space="preserve"> </w:t>
      </w:r>
    </w:p>
    <w:p w14:paraId="1C00EE22" w14:textId="607AA91F" w:rsidR="00F9198F" w:rsidRPr="00D34F4A" w:rsidRDefault="00A76B56" w:rsidP="00F9198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0C6D48">
        <w:rPr>
          <w:szCs w:val="22"/>
          <w:lang w:val="cs-CZ" w:eastAsia="en-US"/>
        </w:rPr>
        <w:t>1</w:t>
      </w:r>
      <w:r w:rsidR="0029617D">
        <w:rPr>
          <w:szCs w:val="22"/>
          <w:lang w:val="cs-CZ" w:eastAsia="en-US"/>
        </w:rPr>
        <w:t>2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29617D">
        <w:rPr>
          <w:rFonts w:cs="Arial"/>
          <w:szCs w:val="20"/>
        </w:rPr>
        <w:t>o</w:t>
      </w:r>
      <w:r w:rsidR="0029617D" w:rsidRPr="00407C33">
        <w:rPr>
          <w:rFonts w:cs="Arial"/>
          <w:szCs w:val="20"/>
        </w:rPr>
        <w:t xml:space="preserve"> implementačních služ</w:t>
      </w:r>
      <w:r w:rsidR="0029617D">
        <w:rPr>
          <w:rFonts w:cs="Arial"/>
          <w:szCs w:val="20"/>
        </w:rPr>
        <w:t>bách</w:t>
      </w:r>
      <w:r w:rsidR="0029617D" w:rsidRPr="00407C33">
        <w:rPr>
          <w:rFonts w:cs="Arial"/>
          <w:szCs w:val="20"/>
        </w:rPr>
        <w:t xml:space="preserve"> </w:t>
      </w:r>
      <w:r w:rsidRPr="00F9198F">
        <w:rPr>
          <w:szCs w:val="20"/>
        </w:rPr>
        <w:t>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804B6" w:rsidRPr="00F9198F">
        <w:rPr>
          <w:szCs w:val="20"/>
        </w:rPr>
        <w:t xml:space="preserve">dne </w:t>
      </w:r>
      <w:r w:rsidR="0029617D">
        <w:rPr>
          <w:szCs w:val="20"/>
          <w:lang w:val="cs-CZ"/>
        </w:rPr>
        <w:t>13</w:t>
      </w:r>
      <w:r w:rsidR="00C804B6" w:rsidRPr="00F9198F">
        <w:rPr>
          <w:szCs w:val="20"/>
        </w:rPr>
        <w:t>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>7.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29617D">
        <w:rPr>
          <w:rFonts w:cs="Arial"/>
          <w:i/>
          <w:iCs/>
          <w:snapToGrid w:val="0"/>
          <w:szCs w:val="22"/>
        </w:rPr>
        <w:t xml:space="preserve">IT </w:t>
      </w:r>
      <w:proofErr w:type="spellStart"/>
      <w:r w:rsidR="0029617D">
        <w:rPr>
          <w:rFonts w:cs="Arial"/>
          <w:i/>
          <w:iCs/>
          <w:snapToGrid w:val="0"/>
          <w:szCs w:val="22"/>
        </w:rPr>
        <w:t>delivery</w:t>
      </w:r>
      <w:proofErr w:type="spellEnd"/>
      <w:r w:rsidR="00FC48BF"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>Rámcové dohody, a to za</w:t>
      </w:r>
      <w:r w:rsidR="00165503">
        <w:rPr>
          <w:rFonts w:cs="Arial"/>
          <w:szCs w:val="20"/>
        </w:rPr>
        <w:t> </w:t>
      </w:r>
      <w:r w:rsidRPr="00D34F4A">
        <w:rPr>
          <w:rFonts w:cs="Arial"/>
          <w:szCs w:val="20"/>
        </w:rPr>
        <w:t xml:space="preserve">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0C6D48">
        <w:rPr>
          <w:rFonts w:cs="Arial"/>
          <w:szCs w:val="20"/>
          <w:lang w:val="cs-CZ"/>
        </w:rPr>
        <w:t>1</w:t>
      </w:r>
      <w:r w:rsidR="0029617D">
        <w:rPr>
          <w:rFonts w:cs="Arial"/>
          <w:szCs w:val="20"/>
          <w:lang w:val="cs-CZ"/>
        </w:rPr>
        <w:t>2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B59E40E" w14:textId="5DE784B3" w:rsidR="009F7812" w:rsidRDefault="00B46150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</w:rPr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</w:t>
      </w:r>
      <w:r w:rsidRPr="00D2119F">
        <w:rPr>
          <w:rFonts w:cs="Arial"/>
          <w:szCs w:val="22"/>
        </w:rPr>
        <w:t>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č. 2021/241 ze dne 12. února 2021, kterým se zřizuje Nástroj pro oživení a odolnost; Nařízení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2023/435 ze dne 27. února 2023, kterým se mění nařízení (EU) 2021/241, pokud jde o kapitoly </w:t>
      </w:r>
      <w:proofErr w:type="spellStart"/>
      <w:r w:rsidRPr="00D2119F">
        <w:rPr>
          <w:rFonts w:cs="Arial"/>
          <w:szCs w:val="22"/>
        </w:rPr>
        <w:t>REPowerEU</w:t>
      </w:r>
      <w:proofErr w:type="spellEnd"/>
      <w:r w:rsidRPr="00D2119F">
        <w:rPr>
          <w:rFonts w:cs="Arial"/>
          <w:szCs w:val="22"/>
        </w:rPr>
        <w:t xml:space="preserve"> v plánech na podporu oživení a odolnosti, a mění nařízení (EU) č. 1303/2013, (EU) 2021/1060 a (EU) 2021/1755 a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směrnice 2003/87/ES;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latn</w:t>
      </w:r>
      <w:r>
        <w:rPr>
          <w:rFonts w:cs="Arial"/>
          <w:szCs w:val="22"/>
        </w:rPr>
        <w:t>ými</w:t>
      </w:r>
      <w:r w:rsidRPr="00D211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rováděcí rozhodnutí</w:t>
      </w:r>
      <w:r>
        <w:rPr>
          <w:rFonts w:cs="Arial"/>
          <w:szCs w:val="22"/>
        </w:rPr>
        <w:t>mi</w:t>
      </w:r>
      <w:r w:rsidRPr="00D2119F">
        <w:rPr>
          <w:rFonts w:cs="Arial"/>
          <w:szCs w:val="22"/>
        </w:rPr>
        <w:t xml:space="preserve"> Rady o schválení posouzení plánu pro oživení a odolnost Česk</w:t>
      </w:r>
      <w:r>
        <w:rPr>
          <w:rFonts w:cs="Arial"/>
          <w:szCs w:val="22"/>
        </w:rPr>
        <w:t>é republiky</w:t>
      </w:r>
      <w:r w:rsidRPr="00D2119F">
        <w:rPr>
          <w:rFonts w:cs="Arial"/>
          <w:szCs w:val="22"/>
        </w:rPr>
        <w:t xml:space="preserve"> včetně příloh; 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</w:t>
      </w:r>
      <w:r>
        <w:rPr>
          <w:rFonts w:cs="Arial"/>
          <w:szCs w:val="22"/>
        </w:rPr>
        <w:t xml:space="preserve">ČR </w:t>
      </w:r>
      <w:r w:rsidRPr="00D2119F">
        <w:rPr>
          <w:rFonts w:cs="Arial"/>
          <w:szCs w:val="22"/>
        </w:rPr>
        <w:t>č.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>467/2021 ze dne 17.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května 2021; </w:t>
      </w:r>
      <w:r>
        <w:rPr>
          <w:rFonts w:cs="Arial"/>
          <w:szCs w:val="22"/>
        </w:rPr>
        <w:t xml:space="preserve">a </w:t>
      </w:r>
      <w:r w:rsidRPr="00D2119F">
        <w:rPr>
          <w:rFonts w:cs="Arial"/>
          <w:szCs w:val="22"/>
        </w:rPr>
        <w:t>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ČR č. 437/2023 ze dne 14. června 2023.</w:t>
      </w:r>
      <w:r>
        <w:rPr>
          <w:rFonts w:cs="Arial"/>
          <w:szCs w:val="22"/>
        </w:rPr>
        <w:t xml:space="preserve"> Za účelem naplnění výše uvedeného cíle je nutné přistoupit k optimalizaci administrativních procesů poskytovaných služeb v rámci Rámcové dohody </w:t>
      </w:r>
      <w:r w:rsidR="004C432B">
        <w:rPr>
          <w:rFonts w:cs="Arial"/>
          <w:szCs w:val="22"/>
        </w:rPr>
        <w:t xml:space="preserve">a dílčích smluv uzavíraných na jejím základě </w:t>
      </w:r>
      <w:r>
        <w:rPr>
          <w:rFonts w:cs="Arial"/>
          <w:szCs w:val="22"/>
        </w:rPr>
        <w:t>tak, aby bylo umožněno efektivní využití finančních prostředků z Nástroje na podporu a oživení a odolnosti, resp. Národního plánu obnovy Českou republikou.</w:t>
      </w:r>
      <w:r w:rsidR="005B178A" w:rsidRPr="003F5131">
        <w:rPr>
          <w:rFonts w:cs="Arial"/>
          <w:szCs w:val="20"/>
        </w:rPr>
        <w:t xml:space="preserve"> </w:t>
      </w:r>
    </w:p>
    <w:p w14:paraId="7D688A7F" w14:textId="707BDE0D" w:rsidR="004C432B" w:rsidRPr="009F7812" w:rsidRDefault="004C432B" w:rsidP="009F7812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F7812">
        <w:rPr>
          <w:rFonts w:cs="Arial"/>
          <w:szCs w:val="20"/>
        </w:rPr>
        <w:t>Vzhledem ke skutečnostem uvedený</w:t>
      </w:r>
      <w:r w:rsidR="00224416">
        <w:rPr>
          <w:rFonts w:cs="Arial"/>
          <w:szCs w:val="20"/>
        </w:rPr>
        <w:t xml:space="preserve">m v </w:t>
      </w:r>
      <w:r w:rsidRPr="009F7812">
        <w:rPr>
          <w:rFonts w:cs="Arial"/>
          <w:szCs w:val="20"/>
        </w:rPr>
        <w:t>odst. 1.3</w:t>
      </w:r>
      <w:r w:rsidR="009F7812">
        <w:rPr>
          <w:rFonts w:cs="Arial"/>
          <w:szCs w:val="20"/>
        </w:rPr>
        <w:t xml:space="preserve"> se</w:t>
      </w:r>
      <w:r w:rsidRPr="009F7812">
        <w:rPr>
          <w:rFonts w:cs="Arial"/>
          <w:szCs w:val="20"/>
        </w:rPr>
        <w:t xml:space="preserve"> Smluvní strany </w:t>
      </w:r>
      <w:r w:rsidR="009F7812">
        <w:rPr>
          <w:rFonts w:cs="Arial"/>
          <w:szCs w:val="20"/>
        </w:rPr>
        <w:t xml:space="preserve">dohodly na </w:t>
      </w:r>
      <w:r w:rsidR="009F7812" w:rsidRPr="009F7812">
        <w:rPr>
          <w:rFonts w:cs="Arial"/>
          <w:lang w:eastAsia="en-US"/>
        </w:rPr>
        <w:t>úprav</w:t>
      </w:r>
      <w:r w:rsidR="009F7812">
        <w:rPr>
          <w:rFonts w:cs="Arial"/>
          <w:lang w:eastAsia="en-US"/>
        </w:rPr>
        <w:t>ě</w:t>
      </w:r>
      <w:r w:rsidR="009F7812" w:rsidRPr="009F7812">
        <w:rPr>
          <w:rFonts w:cs="Arial"/>
          <w:lang w:eastAsia="en-US"/>
        </w:rPr>
        <w:t xml:space="preserve"> Dílčí smlouvy č. </w:t>
      </w:r>
      <w:r w:rsidR="000C6D48">
        <w:rPr>
          <w:rFonts w:cs="Arial"/>
          <w:lang w:eastAsia="en-US"/>
        </w:rPr>
        <w:t>1</w:t>
      </w:r>
      <w:r w:rsidR="0029617D">
        <w:rPr>
          <w:rFonts w:cs="Arial"/>
          <w:lang w:eastAsia="en-US"/>
        </w:rPr>
        <w:t>2</w:t>
      </w:r>
      <w:r w:rsidR="009F7812" w:rsidRPr="009F7812">
        <w:rPr>
          <w:rFonts w:cs="Arial"/>
          <w:lang w:eastAsia="en-US"/>
        </w:rPr>
        <w:t>, to způsobem uvedeným v čl</w:t>
      </w:r>
      <w:r w:rsidR="009F7812">
        <w:rPr>
          <w:rFonts w:cs="Arial"/>
          <w:lang w:eastAsia="en-US"/>
        </w:rPr>
        <w:t>.</w:t>
      </w:r>
      <w:r w:rsidR="009F7812" w:rsidRPr="009F7812">
        <w:rPr>
          <w:rFonts w:cs="Arial"/>
          <w:lang w:eastAsia="en-US"/>
        </w:rPr>
        <w:t xml:space="preserve"> 2 tohoto Dodatku č. </w:t>
      </w:r>
      <w:r w:rsidR="000C6D48">
        <w:rPr>
          <w:rFonts w:cs="Arial"/>
          <w:lang w:eastAsia="en-US"/>
        </w:rPr>
        <w:t>1</w:t>
      </w:r>
      <w:r w:rsidR="009F7812" w:rsidRPr="009F7812">
        <w:rPr>
          <w:rFonts w:cs="Arial"/>
          <w:lang w:eastAsia="en-US"/>
        </w:rPr>
        <w:t>.</w:t>
      </w:r>
    </w:p>
    <w:p w14:paraId="5682C3D9" w14:textId="12C17269" w:rsidR="005B178A" w:rsidRPr="003F5131" w:rsidRDefault="000729C5" w:rsidP="005B178A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0C6D48">
        <w:rPr>
          <w:rFonts w:cs="Arial"/>
          <w:lang w:eastAsia="en-US"/>
        </w:rPr>
        <w:t>1</w:t>
      </w:r>
      <w:r w:rsidR="0029617D">
        <w:rPr>
          <w:rFonts w:cs="Arial"/>
          <w:lang w:eastAsia="en-US"/>
        </w:rPr>
        <w:t>2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</w:t>
      </w:r>
      <w:r w:rsidR="000C6D48">
        <w:rPr>
          <w:rFonts w:cs="Arial"/>
          <w:lang w:eastAsia="en-US"/>
        </w:rPr>
        <w:t>1</w:t>
      </w:r>
      <w:r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 xml:space="preserve">mlouvy ve smyslu ustanovení § 222 odst. </w:t>
      </w:r>
      <w:r>
        <w:rPr>
          <w:rFonts w:cs="Arial"/>
          <w:lang w:eastAsia="en-US"/>
        </w:rPr>
        <w:t>3 zákona č. 134/2016 Sb., o zadávání veřejných zakázek, ve znění pozdějších předpisů (dále jen „</w:t>
      </w:r>
      <w:r w:rsidRPr="009D2B92">
        <w:rPr>
          <w:rFonts w:cs="Arial"/>
          <w:b/>
          <w:b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r>
        <w:rPr>
          <w:rFonts w:cs="Arial"/>
          <w:lang w:eastAsia="en-US"/>
        </w:rPr>
        <w:br/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</w:t>
      </w:r>
      <w:proofErr w:type="spellStart"/>
      <w:r w:rsidR="006D64FD">
        <w:rPr>
          <w:rFonts w:cs="Arial"/>
          <w:lang w:eastAsia="en-US"/>
        </w:rPr>
        <w:t>Minitendru</w:t>
      </w:r>
      <w:proofErr w:type="spellEnd"/>
      <w:r w:rsidR="006D64FD">
        <w:rPr>
          <w:rFonts w:cs="Arial"/>
          <w:lang w:eastAsia="en-US"/>
        </w:rPr>
        <w:t xml:space="preserve">, nemění ekonomickou rovnováhu závazku z Dílčí smlouvy č. </w:t>
      </w:r>
      <w:r w:rsidR="000C6D48">
        <w:rPr>
          <w:rFonts w:cs="Arial"/>
          <w:lang w:eastAsia="en-US"/>
        </w:rPr>
        <w:t>1</w:t>
      </w:r>
      <w:r w:rsidR="0029617D">
        <w:rPr>
          <w:rFonts w:cs="Arial"/>
          <w:lang w:eastAsia="en-US"/>
        </w:rPr>
        <w:t>2</w:t>
      </w:r>
      <w:r w:rsidR="006D64FD">
        <w:rPr>
          <w:rFonts w:cs="Arial"/>
          <w:lang w:eastAsia="en-US"/>
        </w:rPr>
        <w:t xml:space="preserve"> a nevede</w:t>
      </w:r>
      <w:r w:rsidR="00C804B6">
        <w:rPr>
          <w:rFonts w:cs="Arial"/>
          <w:lang w:eastAsia="en-US"/>
        </w:rPr>
        <w:t xml:space="preserve"> ani</w:t>
      </w:r>
      <w:r w:rsidR="006D64FD">
        <w:rPr>
          <w:rFonts w:cs="Arial"/>
          <w:lang w:eastAsia="en-US"/>
        </w:rPr>
        <w:t xml:space="preserve"> k rozšíření rozsahu plnění </w:t>
      </w:r>
      <w:proofErr w:type="spellStart"/>
      <w:r w:rsidR="006D64FD">
        <w:rPr>
          <w:rFonts w:cs="Arial"/>
          <w:lang w:eastAsia="en-US"/>
        </w:rPr>
        <w:t>Minitendru</w:t>
      </w:r>
      <w:proofErr w:type="spellEnd"/>
      <w:r w:rsidR="006D64FD">
        <w:rPr>
          <w:rFonts w:cs="Arial"/>
          <w:lang w:eastAsia="en-US"/>
        </w:rPr>
        <w:t>.</w:t>
      </w:r>
    </w:p>
    <w:p w14:paraId="55A3B7D0" w14:textId="7B65D945" w:rsidR="005B4150" w:rsidRDefault="005B4150" w:rsidP="000C6D48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0C6D48">
        <w:rPr>
          <w:rFonts w:cs="Arial"/>
          <w:lang w:val="cs-CZ"/>
        </w:rPr>
        <w:t>1</w:t>
      </w:r>
    </w:p>
    <w:p w14:paraId="4CD709E6" w14:textId="46C5D183" w:rsidR="00F75080" w:rsidRPr="000E121C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4" w:name="_Ref524623310"/>
      <w:r w:rsidRPr="000E121C">
        <w:rPr>
          <w:rFonts w:cs="Arial"/>
        </w:rPr>
        <w:t xml:space="preserve">Smluvní strany se dohodly, že </w:t>
      </w:r>
      <w:r w:rsidR="00B46150">
        <w:rPr>
          <w:rFonts w:cs="Arial"/>
        </w:rPr>
        <w:t xml:space="preserve">tímto Dodatkem č. </w:t>
      </w:r>
      <w:r w:rsidR="000C6D48">
        <w:rPr>
          <w:rFonts w:cs="Arial"/>
        </w:rPr>
        <w:t>1</w:t>
      </w:r>
      <w:r w:rsidR="00B46150">
        <w:rPr>
          <w:rFonts w:cs="Arial"/>
        </w:rPr>
        <w:t xml:space="preserve"> </w:t>
      </w:r>
      <w:r w:rsidR="009F7812">
        <w:rPr>
          <w:rFonts w:cs="Arial"/>
        </w:rPr>
        <w:t xml:space="preserve">vkládají do Dílčí smlouvy č. </w:t>
      </w:r>
      <w:r w:rsidR="000C6D48">
        <w:rPr>
          <w:rFonts w:cs="Arial"/>
        </w:rPr>
        <w:t>1</w:t>
      </w:r>
      <w:r w:rsidR="0029617D">
        <w:rPr>
          <w:rFonts w:cs="Arial"/>
        </w:rPr>
        <w:t>2</w:t>
      </w:r>
      <w:r w:rsidR="009F7812">
        <w:rPr>
          <w:rFonts w:cs="Arial"/>
        </w:rPr>
        <w:t xml:space="preserve"> nový čl. 5, který zní následovně:  </w:t>
      </w:r>
    </w:p>
    <w:p w14:paraId="01FDDE55" w14:textId="4C1DF459" w:rsidR="00B46150" w:rsidRPr="00B46150" w:rsidRDefault="00B46150" w:rsidP="00B46150">
      <w:pPr>
        <w:pStyle w:val="RLlneksmlouvy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lastRenderedPageBreak/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73B153C6" w14:textId="77777777" w:rsidR="00460B73" w:rsidRPr="00460B73" w:rsidRDefault="00460B73" w:rsidP="00460B73">
      <w:pPr>
        <w:pStyle w:val="Odstavecseseznamem"/>
        <w:keepNext/>
        <w:numPr>
          <w:ilvl w:val="0"/>
          <w:numId w:val="15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785D01FB" w14:textId="77777777" w:rsidR="00460B73" w:rsidRPr="00460B73" w:rsidRDefault="00460B73" w:rsidP="00460B73">
      <w:pPr>
        <w:pStyle w:val="Odstavecseseznamem"/>
        <w:keepNext/>
        <w:numPr>
          <w:ilvl w:val="0"/>
          <w:numId w:val="15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6847C874" w14:textId="77777777" w:rsidR="00460B73" w:rsidRPr="00460B73" w:rsidRDefault="00460B73" w:rsidP="00460B73">
      <w:pPr>
        <w:pStyle w:val="Odstavecseseznamem"/>
        <w:keepNext/>
        <w:numPr>
          <w:ilvl w:val="0"/>
          <w:numId w:val="15"/>
        </w:numPr>
        <w:tabs>
          <w:tab w:val="num" w:pos="567"/>
          <w:tab w:val="num" w:pos="804"/>
        </w:tabs>
        <w:suppressAutoHyphens/>
        <w:spacing w:before="120" w:after="0" w:line="280" w:lineRule="atLeast"/>
        <w:contextualSpacing w:val="0"/>
        <w:jc w:val="both"/>
        <w:outlineLvl w:val="0"/>
        <w:rPr>
          <w:rFonts w:cs="Arial"/>
          <w:b/>
          <w:i/>
          <w:iCs/>
          <w:vanish/>
          <w:szCs w:val="20"/>
          <w:lang w:eastAsia="en-US"/>
        </w:rPr>
      </w:pPr>
    </w:p>
    <w:p w14:paraId="034705E0" w14:textId="42287F21" w:rsidR="00B46150" w:rsidRPr="00460B73" w:rsidRDefault="00B46150" w:rsidP="00460B73">
      <w:pPr>
        <w:pStyle w:val="RLTextlnkuslovan"/>
        <w:numPr>
          <w:ilvl w:val="1"/>
          <w:numId w:val="19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56B90F2F" w14:textId="75A91A62" w:rsidR="00B46150" w:rsidRPr="00B46150" w:rsidRDefault="00B46150" w:rsidP="00460B73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</w:rPr>
      </w:pPr>
      <w:r w:rsidRPr="00B46150">
        <w:rPr>
          <w:rFonts w:cs="Arial"/>
          <w:i/>
          <w:iCs/>
          <w:szCs w:val="20"/>
          <w:lang w:eastAsia="en-US"/>
        </w:rPr>
        <w:t>Formulace: „Služby byly poskytnuty pro potřeby projektu „</w:t>
      </w:r>
      <w:r w:rsidR="00460B73" w:rsidRPr="00460B73">
        <w:rPr>
          <w:rFonts w:cs="Arial"/>
          <w:i/>
          <w:iCs/>
          <w:szCs w:val="20"/>
          <w:lang w:eastAsia="en-US"/>
        </w:rPr>
        <w:t>Implementace a technické zajištění zákona o podpoře bydlení</w:t>
      </w:r>
      <w:r w:rsidRPr="00B46150">
        <w:rPr>
          <w:rFonts w:cs="Arial"/>
          <w:i/>
          <w:iCs/>
          <w:szCs w:val="20"/>
          <w:lang w:eastAsia="en-US"/>
        </w:rPr>
        <w:t xml:space="preserve">“, který je realizován a financován v rámci NPO, komponenty </w:t>
      </w:r>
      <w:r w:rsidR="00460B73">
        <w:rPr>
          <w:rFonts w:cs="Arial"/>
          <w:i/>
          <w:iCs/>
          <w:szCs w:val="20"/>
          <w:lang w:eastAsia="en-US"/>
        </w:rPr>
        <w:t>2</w:t>
      </w:r>
      <w:r w:rsidRPr="00B46150">
        <w:rPr>
          <w:rFonts w:cs="Arial"/>
          <w:i/>
          <w:iCs/>
          <w:szCs w:val="20"/>
          <w:lang w:eastAsia="en-US"/>
        </w:rPr>
        <w:t>.</w:t>
      </w:r>
      <w:r w:rsidR="00460B73">
        <w:rPr>
          <w:rFonts w:cs="Arial"/>
          <w:i/>
          <w:iCs/>
          <w:szCs w:val="20"/>
          <w:lang w:eastAsia="en-US"/>
        </w:rPr>
        <w:t>10</w:t>
      </w:r>
      <w:r w:rsidRPr="00B46150">
        <w:rPr>
          <w:rFonts w:cs="Arial"/>
          <w:i/>
          <w:iCs/>
          <w:szCs w:val="20"/>
          <w:lang w:eastAsia="en-US"/>
        </w:rPr>
        <w:t xml:space="preserve"> s názvem </w:t>
      </w:r>
      <w:r w:rsidR="00460B73" w:rsidRPr="00460B73">
        <w:rPr>
          <w:rFonts w:cs="Arial"/>
          <w:i/>
          <w:iCs/>
          <w:szCs w:val="20"/>
          <w:lang w:val="cs-CZ"/>
        </w:rPr>
        <w:t>Dostupné bydlení – grantová část</w:t>
      </w:r>
      <w:r w:rsidRPr="00B46150">
        <w:rPr>
          <w:rFonts w:cs="Arial"/>
          <w:i/>
          <w:iCs/>
          <w:szCs w:val="20"/>
          <w:lang w:eastAsia="en-US"/>
        </w:rPr>
        <w:t>“</w:t>
      </w:r>
      <w:r w:rsidRPr="00B46150">
        <w:rPr>
          <w:rFonts w:cs="Arial"/>
          <w:i/>
          <w:iCs/>
          <w:szCs w:val="20"/>
        </w:rPr>
        <w:t>, a</w:t>
      </w:r>
    </w:p>
    <w:p w14:paraId="14886061" w14:textId="0A9542F2" w:rsidR="00B46150" w:rsidRPr="00B46150" w:rsidRDefault="00B46150" w:rsidP="00460B73">
      <w:pPr>
        <w:pStyle w:val="RLTextlnkuslovan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 xml:space="preserve">číslo Projektu: </w:t>
      </w:r>
      <w:r w:rsidR="00460B73" w:rsidRPr="00460B73">
        <w:rPr>
          <w:rFonts w:cs="Arial"/>
          <w:i/>
          <w:iCs/>
          <w:szCs w:val="20"/>
        </w:rPr>
        <w:t>CZ.31.7.0/0.0/0.0/24_129/0011129</w:t>
      </w:r>
      <w:r w:rsidRPr="00B46150">
        <w:rPr>
          <w:rFonts w:cs="Arial"/>
          <w:i/>
          <w:iCs/>
          <w:szCs w:val="20"/>
        </w:rPr>
        <w:t>.</w:t>
      </w:r>
    </w:p>
    <w:p w14:paraId="4EE6210F" w14:textId="77777777" w:rsidR="00B46150" w:rsidRPr="00B46150" w:rsidRDefault="00B46150" w:rsidP="007F2092">
      <w:pPr>
        <w:pStyle w:val="RLTextlnkuslovan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6D8F22A6" w14:textId="77777777" w:rsidR="00B46150" w:rsidRP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zavazuje uchovávat veškerou dokumentaci související s poskytováním Služeb pro potřeby Projektu včetně účetních dokladů minimálně po dobu 10 let od ukončení realizace Projektu. Pokud je v českých právních předpisech stanovena lhůta delší, Poskytovatel se zavazuje ji použít.</w:t>
      </w:r>
    </w:p>
    <w:p w14:paraId="27313138" w14:textId="3F9DCBFF" w:rsidR="00B46150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zavazuje po dobu 10 let od ukončení Projektu poskytovat požadované informace a dokumentaci související s poskytováním Služeb pro potřeby Projektu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k poskytování dotčených Služeb pro potřeby Projektu a poskytnout jim při provádění kontroly veškerou nutnou součinnost.</w:t>
      </w:r>
    </w:p>
    <w:p w14:paraId="14015C8A" w14:textId="1347E31E" w:rsidR="009B614E" w:rsidRPr="009B614E" w:rsidRDefault="009B614E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>Poskytovatel je povinen 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4F36BD02" w14:textId="79D79595" w:rsidR="00B46150" w:rsidRPr="009B614E" w:rsidRDefault="00B46150" w:rsidP="007F2092">
      <w:pPr>
        <w:pStyle w:val="RLTextlnkuslovan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="009B614E"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 w:rsidR="009B614E">
        <w:rPr>
          <w:rFonts w:cs="Arial"/>
          <w:i/>
          <w:iCs/>
          <w:szCs w:val="20"/>
          <w:lang w:eastAsia="en-US"/>
        </w:rPr>
        <w:t xml:space="preserve">Dílčí smlouvy </w:t>
      </w:r>
      <w:r w:rsidR="009B614E" w:rsidRPr="009B614E">
        <w:rPr>
          <w:rFonts w:cs="Arial"/>
          <w:i/>
          <w:iCs/>
          <w:szCs w:val="20"/>
          <w:lang w:eastAsia="en-US"/>
        </w:rPr>
        <w:t xml:space="preserve">musí být splňována zásada DNSH - „Do No 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Significant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 xml:space="preserve"> 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Harm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>“ = „významně nepoškozovat“ (také „zásadně nepoškozovat environmentální cíle“ či „zásada zásadně neškodit“), která je ukotvena ve sdělení Komise „Zelená dohoda pro Evropu“ (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European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 xml:space="preserve"> Green </w:t>
      </w:r>
      <w:proofErr w:type="spellStart"/>
      <w:r w:rsidR="009B614E" w:rsidRPr="009B614E">
        <w:rPr>
          <w:rFonts w:cs="Arial"/>
          <w:i/>
          <w:iCs/>
          <w:szCs w:val="20"/>
          <w:lang w:eastAsia="en-US"/>
        </w:rPr>
        <w:t>Deal</w:t>
      </w:r>
      <w:proofErr w:type="spellEnd"/>
      <w:r w:rsidR="009B614E" w:rsidRPr="009B614E">
        <w:rPr>
          <w:rFonts w:cs="Arial"/>
          <w:i/>
          <w:iCs/>
          <w:szCs w:val="20"/>
          <w:lang w:eastAsia="en-US"/>
        </w:rPr>
        <w:t>) a v řadě legislativních aktů EU</w:t>
      </w:r>
      <w:r w:rsidR="009B614E">
        <w:rPr>
          <w:rFonts w:cs="Arial"/>
          <w:i/>
          <w:iCs/>
          <w:szCs w:val="20"/>
          <w:lang w:eastAsia="en-US"/>
        </w:rPr>
        <w:t>.</w:t>
      </w:r>
    </w:p>
    <w:p w14:paraId="64C13A68" w14:textId="515A51B2" w:rsidR="009B614E" w:rsidRDefault="009B614E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 xml:space="preserve">Původní čl. 5 je nově označen jako čl. 6 Dílčí smlouvy č. </w:t>
      </w:r>
      <w:r w:rsidR="000C6D48">
        <w:rPr>
          <w:rFonts w:cs="Arial"/>
        </w:rPr>
        <w:t>1</w:t>
      </w:r>
      <w:r w:rsidR="0029617D">
        <w:rPr>
          <w:rFonts w:cs="Arial"/>
        </w:rPr>
        <w:t>2</w:t>
      </w:r>
      <w:r w:rsidR="00122E2E">
        <w:rPr>
          <w:rFonts w:cs="Arial"/>
        </w:rPr>
        <w:t>.</w:t>
      </w:r>
    </w:p>
    <w:p w14:paraId="4E2C799B" w14:textId="0149B426" w:rsidR="00F75080" w:rsidRPr="00974441" w:rsidRDefault="00F75080" w:rsidP="00F75080">
      <w:pPr>
        <w:pStyle w:val="RLTextlnkuslovan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6C5125">
        <w:rPr>
          <w:rFonts w:cs="Arial"/>
        </w:rPr>
        <w:t xml:space="preserve">Dílčí smlouvy č. </w:t>
      </w:r>
      <w:r w:rsidR="000C6D48">
        <w:rPr>
          <w:rFonts w:cs="Arial"/>
        </w:rPr>
        <w:t>1</w:t>
      </w:r>
      <w:r w:rsidR="0029617D">
        <w:rPr>
          <w:rFonts w:cs="Arial"/>
        </w:rPr>
        <w:t>2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>č.</w:t>
      </w:r>
      <w:r w:rsidR="0029617D">
        <w:rPr>
          <w:rFonts w:cs="Arial"/>
        </w:rPr>
        <w:t> </w:t>
      </w:r>
      <w:r w:rsidR="000C6D48">
        <w:rPr>
          <w:rFonts w:cs="Arial"/>
        </w:rPr>
        <w:t>1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4"/>
      <w:r w:rsidRPr="00974441">
        <w:rPr>
          <w:rFonts w:cs="Arial"/>
        </w:rPr>
        <w:t xml:space="preserve"> </w:t>
      </w:r>
    </w:p>
    <w:p w14:paraId="3BD681D7" w14:textId="15ECAB7D" w:rsidR="00E720C5" w:rsidRDefault="00E720C5" w:rsidP="000C6D48">
      <w:pPr>
        <w:pStyle w:val="RLlneksmlouvy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4ABFA5C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C6D48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proofErr w:type="spellStart"/>
      <w:r w:rsidR="003A61E3" w:rsidRPr="004D43BE">
        <w:rPr>
          <w:rFonts w:cs="Arial"/>
        </w:rPr>
        <w:t>ákon</w:t>
      </w:r>
      <w:proofErr w:type="spellEnd"/>
      <w:r w:rsidR="003A61E3" w:rsidRPr="004D43BE">
        <w:rPr>
          <w:rFonts w:cs="Arial"/>
        </w:rPr>
        <w:t xml:space="preserve"> o zvláštních </w:t>
      </w:r>
      <w:r w:rsidR="003A61E3" w:rsidRPr="004D43BE">
        <w:rPr>
          <w:rFonts w:cs="Arial"/>
        </w:rPr>
        <w:lastRenderedPageBreak/>
        <w:t>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2C6AACBC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0C6D48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0ABE396F" w14:textId="620D5B13" w:rsidR="006C5125" w:rsidRDefault="006C5125">
      <w:pPr>
        <w:spacing w:after="0" w:line="240" w:lineRule="auto"/>
        <w:rPr>
          <w:rFonts w:cs="Arial"/>
          <w:b/>
          <w:lang w:eastAsia="x-none"/>
        </w:rPr>
      </w:pPr>
    </w:p>
    <w:p w14:paraId="7EBDED68" w14:textId="027822F6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0C6D48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9A64E0" w14:paraId="37AFCBE7" w14:textId="77777777" w:rsidTr="001756EE">
        <w:tc>
          <w:tcPr>
            <w:tcW w:w="4589" w:type="dxa"/>
          </w:tcPr>
          <w:p w14:paraId="0425A052" w14:textId="77777777" w:rsidR="009A64E0" w:rsidRPr="00A16B28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32841C84" w14:textId="77777777" w:rsidR="009A64E0" w:rsidRPr="00E07D66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1146CCAC" w14:textId="77777777" w:rsidR="009A64E0" w:rsidRPr="00A16B28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6426985B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9A64E0" w14:paraId="5F1BAB01" w14:textId="77777777" w:rsidTr="001756EE">
        <w:tc>
          <w:tcPr>
            <w:tcW w:w="4589" w:type="dxa"/>
          </w:tcPr>
          <w:p w14:paraId="6E2E2585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B625FE4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805A258" w14:textId="77777777" w:rsidR="009A64E0" w:rsidRPr="00A16B28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B31CED4" w14:textId="77777777" w:rsidR="009A64E0" w:rsidRPr="00A16B28" w:rsidRDefault="009A64E0" w:rsidP="001756EE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2A9D6C04" w14:textId="0FB95C69" w:rsidR="009A64E0" w:rsidRPr="00796AF1" w:rsidRDefault="009A64E0" w:rsidP="001756EE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</w:p>
        </w:tc>
        <w:tc>
          <w:tcPr>
            <w:tcW w:w="4481" w:type="dxa"/>
          </w:tcPr>
          <w:p w14:paraId="7445ADDE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02C0460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3B0B1EA" w14:textId="77777777" w:rsidR="009A64E0" w:rsidRPr="00A16B28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CA62C15" w14:textId="77777777" w:rsidR="009A64E0" w:rsidRDefault="009A64E0" w:rsidP="001756EE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0249AA6C" w14:textId="77777777" w:rsidR="009A64E0" w:rsidRDefault="009A64E0" w:rsidP="00840959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</w:tr>
      <w:tr w:rsidR="009A64E0" w14:paraId="5222A8B6" w14:textId="77777777" w:rsidTr="001756EE">
        <w:tc>
          <w:tcPr>
            <w:tcW w:w="4589" w:type="dxa"/>
          </w:tcPr>
          <w:p w14:paraId="437C20EE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0C081398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CE46C7C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9A64E0" w14:paraId="770AC151" w14:textId="77777777" w:rsidTr="001756EE">
        <w:tc>
          <w:tcPr>
            <w:tcW w:w="4589" w:type="dxa"/>
          </w:tcPr>
          <w:p w14:paraId="16AF3BE4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5B995146" w14:textId="77777777" w:rsidR="009A64E0" w:rsidRPr="00A16B28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23CFD428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9A64E0" w14:paraId="7C517A36" w14:textId="77777777" w:rsidTr="001756EE">
        <w:tc>
          <w:tcPr>
            <w:tcW w:w="4589" w:type="dxa"/>
          </w:tcPr>
          <w:p w14:paraId="72A748DE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16A36403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15408835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7B606CF" w14:textId="77777777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D301DD2" w14:textId="77777777" w:rsidR="009A64E0" w:rsidRPr="00A16B28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49F4ED56" w14:textId="77777777" w:rsidR="009A64E0" w:rsidRDefault="009A64E0" w:rsidP="001756EE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COPS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Financial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Systems s.r.o.</w:t>
            </w:r>
          </w:p>
          <w:p w14:paraId="5441D33C" w14:textId="278056B9" w:rsidR="009A64E0" w:rsidRDefault="009A64E0" w:rsidP="001756EE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</w:tbl>
    <w:p w14:paraId="0F1F6CB0" w14:textId="77777777" w:rsidR="000E07D5" w:rsidRDefault="000E07D5" w:rsidP="00A73113">
      <w:pPr>
        <w:pStyle w:val="RLProhlensmluvnchstran"/>
        <w:spacing w:after="0"/>
        <w:jc w:val="left"/>
        <w:rPr>
          <w:rFonts w:cs="Arial"/>
          <w:lang w:val="cs-CZ"/>
        </w:rPr>
      </w:pPr>
    </w:p>
    <w:sectPr w:rsidR="000E07D5" w:rsidSect="009B614E">
      <w:headerReference w:type="default" r:id="rId11"/>
      <w:pgSz w:w="11906" w:h="16838"/>
      <w:pgMar w:top="1701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5F5E" w14:textId="77777777" w:rsidR="000D0FEE" w:rsidRDefault="000D0FEE">
      <w:r>
        <w:separator/>
      </w:r>
    </w:p>
  </w:endnote>
  <w:endnote w:type="continuationSeparator" w:id="0">
    <w:p w14:paraId="4198393D" w14:textId="77777777" w:rsidR="000D0FEE" w:rsidRDefault="000D0FEE">
      <w:r>
        <w:continuationSeparator/>
      </w:r>
    </w:p>
  </w:endnote>
  <w:endnote w:type="continuationNotice" w:id="1">
    <w:p w14:paraId="212983B9" w14:textId="77777777" w:rsidR="000D0FEE" w:rsidRDefault="000D0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A304" w14:textId="77777777" w:rsidR="000D0FEE" w:rsidRDefault="000D0FEE">
      <w:r>
        <w:separator/>
      </w:r>
    </w:p>
  </w:footnote>
  <w:footnote w:type="continuationSeparator" w:id="0">
    <w:p w14:paraId="21525FEC" w14:textId="77777777" w:rsidR="000D0FEE" w:rsidRDefault="000D0FEE">
      <w:r>
        <w:continuationSeparator/>
      </w:r>
    </w:p>
  </w:footnote>
  <w:footnote w:type="continuationNotice" w:id="1">
    <w:p w14:paraId="7B75CF8A" w14:textId="77777777" w:rsidR="000D0FEE" w:rsidRDefault="000D0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20CD200A" w:rsidR="000F2A45" w:rsidRPr="009B50EF" w:rsidRDefault="00B46150" w:rsidP="005B178A">
    <w:pPr>
      <w:pStyle w:val="Zhlav"/>
      <w:pBdr>
        <w:bottom w:val="none" w:sz="0" w:space="0" w:color="auto"/>
      </w:pBdr>
      <w:jc w:val="center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7852E0D2" wp14:editId="08CC51F2">
          <wp:simplePos x="0" y="0"/>
          <wp:positionH relativeFrom="column">
            <wp:posOffset>1000125</wp:posOffset>
          </wp:positionH>
          <wp:positionV relativeFrom="paragraph">
            <wp:posOffset>-19685</wp:posOffset>
          </wp:positionV>
          <wp:extent cx="3857625" cy="48577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5BD80844"/>
    <w:name w:val="WW8Num8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14A9"/>
    <w:multiLevelType w:val="multilevel"/>
    <w:tmpl w:val="74B6C34E"/>
    <w:name w:val="WW8Num82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7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3"/>
  </w:num>
  <w:num w:numId="14" w16cid:durableId="1141578481">
    <w:abstractNumId w:val="7"/>
  </w:num>
  <w:num w:numId="15" w16cid:durableId="1553732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996970">
    <w:abstractNumId w:val="2"/>
  </w:num>
  <w:num w:numId="17" w16cid:durableId="913053666">
    <w:abstractNumId w:val="7"/>
    <w:lvlOverride w:ilvl="0">
      <w:startOverride w:val="5"/>
    </w:lvlOverride>
    <w:lvlOverride w:ilvl="1">
      <w:startOverride w:val="1"/>
    </w:lvlOverride>
  </w:num>
  <w:num w:numId="18" w16cid:durableId="417873819">
    <w:abstractNumId w:val="12"/>
  </w:num>
  <w:num w:numId="19" w16cid:durableId="20077800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6D48"/>
    <w:rsid w:val="000C71B2"/>
    <w:rsid w:val="000C77E5"/>
    <w:rsid w:val="000D0234"/>
    <w:rsid w:val="000D09F4"/>
    <w:rsid w:val="000D0FEE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2E2E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5503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6DC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4416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27F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17D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6C9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B73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32B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125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0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2A3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959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6709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16F91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4E0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14E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812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150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04B6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1E7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8C3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8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8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0C6D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7662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8948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2024-02-14T15:02:00Z</dcterms:created>
  <dcterms:modified xsi:type="dcterms:W3CDTF">2025-02-10T10:20:00Z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