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Divadlo Archa, o.p.s.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se sídlem Na Poříčí 1047/26, Praha 1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zastoupená Jindřichem Krippnerem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ředitelem společnosti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IČ: 26 72 30 00, DIČ: CZ 26 72 30 00,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(dále jen ARCHA+) </w:t>
      </w:r>
    </w:p>
    <w:p w:rsidR="00000000" w:rsidDel="00000000" w:rsidP="00000000" w:rsidRDefault="00000000" w:rsidRPr="00000000" w14:paraId="00000006">
      <w:pPr>
        <w:ind w:right="-2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</w:p>
    <w:p w:rsidR="00000000" w:rsidDel="00000000" w:rsidP="00000000" w:rsidRDefault="00000000" w:rsidRPr="00000000" w14:paraId="00000007">
      <w:pPr>
        <w:shd w:fill="ffffff" w:val="clear"/>
        <w:jc w:val="both"/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rtl w:val="0"/>
        </w:rPr>
        <w:t xml:space="preserve">Konzervatoř Duncan centre, Praha 4, Branická 41</w:t>
      </w:r>
    </w:p>
    <w:p w:rsidR="00000000" w:rsidDel="00000000" w:rsidP="00000000" w:rsidRDefault="00000000" w:rsidRPr="00000000" w14:paraId="00000008">
      <w:pPr>
        <w:shd w:fill="ffffff" w:val="clear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se sídlem Branická 41, 147 00 Praha 4</w:t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zastoupená Mgr. Petrem Tycem, ředitel školy</w:t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IČO 49626655</w:t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zapsaná ve školském rejstříku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(dále jen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DC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)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226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uzavírají podle § 1746 odst. 2 zákona č. 89/2012 Sb, občanského zákoníku níže uvedeného dne, měsíce a roku tuto</w:t>
      </w:r>
    </w:p>
    <w:p w:rsidR="00000000" w:rsidDel="00000000" w:rsidP="00000000" w:rsidRDefault="00000000" w:rsidRPr="00000000" w14:paraId="0000000F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SMLOUVU O SPOLUPRÁCI PŘI USPOŘÁDÁNÍ PŘEDSTAVENÍ </w:t>
      </w:r>
    </w:p>
    <w:p w:rsidR="00000000" w:rsidDel="00000000" w:rsidP="00000000" w:rsidRDefault="00000000" w:rsidRPr="00000000" w14:paraId="00000012">
      <w:pPr>
        <w:ind w:right="-226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I. </w:t>
      </w:r>
    </w:p>
    <w:p w:rsidR="00000000" w:rsidDel="00000000" w:rsidP="00000000" w:rsidRDefault="00000000" w:rsidRPr="00000000" w14:paraId="00000014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Předmět smlouvy</w:t>
      </w:r>
    </w:p>
    <w:p w:rsidR="00000000" w:rsidDel="00000000" w:rsidP="00000000" w:rsidRDefault="00000000" w:rsidRPr="00000000" w14:paraId="00000015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Smluvní strany se dohodly na vzájemné spolupráci při uspořádání tří tanečních </w:t>
      </w:r>
      <w:r w:rsidDel="00000000" w:rsidR="00000000" w:rsidRPr="00000000">
        <w:rPr>
          <w:rFonts w:ascii="Arial" w:cs="Arial" w:eastAsia="Arial" w:hAnsi="Arial"/>
          <w:color w:val="050505"/>
          <w:sz w:val="23"/>
          <w:szCs w:val="23"/>
          <w:highlight w:val="white"/>
          <w:rtl w:val="0"/>
        </w:rPr>
        <w:t xml:space="preserve"> představení studentů taneční konzervatoře prezentovaných pod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názvem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Duncan v ARŠE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(dále jen Představení). Jedná se o choreografie Lali Ayguadé a Dory Sulženko Hoštové vytvořené se studenty konzervatoře. Představení se uskuteční v termínech 12. a 13. ledna 2025 vždy od 19 hodin a 13. ledna také od 16 hodin. Předmětem této smlouvy je úprava vzájemných práv a povinností smluvních stran souvisejících s uspořádáním Představení. </w:t>
      </w:r>
    </w:p>
    <w:p w:rsidR="00000000" w:rsidDel="00000000" w:rsidP="00000000" w:rsidRDefault="00000000" w:rsidRPr="00000000" w14:paraId="00000017">
      <w:pPr>
        <w:ind w:right="-2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8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II.</w:t>
      </w:r>
    </w:p>
    <w:p w:rsidR="00000000" w:rsidDel="00000000" w:rsidP="00000000" w:rsidRDefault="00000000" w:rsidRPr="00000000" w14:paraId="00000019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Práva a povinnosti ARCHY+</w:t>
      </w:r>
    </w:p>
    <w:p w:rsidR="00000000" w:rsidDel="00000000" w:rsidP="00000000" w:rsidRDefault="00000000" w:rsidRPr="00000000" w14:paraId="0000001A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ARCHA+ se zavazuje poskytnout pro uvedení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Představení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dle článku 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velký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sál a jeho zázemí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(taneční elevace + plocha 12 x 12m)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v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Prostoru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Archa+ Na Poříčí 26, Praha 1 včetně dodávky energií a vody. Prostory budou poskytnuty pro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Představení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dle vzáje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mné dohody smluvních stran. harmonogramu níže.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Kontaktní osobou pro domlu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vu na harmonogramu využití prostor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je Jakub Hykeš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739012313,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jakub.hykes@archa-plus.cz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nebo produkční Ondřej Sychra,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ondrej.sychra@archa-plus.cz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Na základě konečné dohody se harmonogram využití prostor stane přílohou smlouvy.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ARCHA+ se zavazuje zajistit pro uvedení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Představení dle článku I. a odst. II. 1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osvětlovací, zvukařské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jevištní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služby včetně poskytnutí zvukařské a osvětlovací techniky, vše v rozsahu vybavení divadla ARCHA+. Smluvní strany se shodují, že vybavení ARCHY+ je dostačující pro uvedení Představení.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ARCHA+ zajistí produkční, uvaděče a hledištní personál v dostatečném počtu.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ARCHA+ zajistí propagaci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Představení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dle běžného standardu a uhradí náklady s tím spojené.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ARCHA+ zajistí předprodej vstupenek na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obě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Představení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předprodej bude zahájen 27. 11. 2024.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Cena standardní vstupenky je 290 Kč (sezení), studentské a zlevněné vstupné je 190 Kč, zvláštní zlevněné vstupné pro studenty DC je 100 Kč.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využije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10 ks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volných vstupenek na každé Představení. DC bude s předstihem (nejpozději měsíc před konáním prvního představení) informovat o počtu čestných hostů na každé Představení (gestlist).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ARCHA+ zašle nejpozději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pracovních dnů po uskutečnění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druhého Představení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vyúčtování tržeb ze vstupného. Výše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ist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é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tržb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ze vstupného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tj hrubá tržba po odečtení poplatků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 výši 3,7% + DPH z poplatků)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bude použita na pokrytí odměny, která dle dohody Smluvních stran náleží ARŠE+.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ARCHA+ nenese odpovědnost za škody (na zdraví a majetku) účinkujících a dalších osob zajištěných ze strany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DC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DC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se zavazuje takové škody pokrýt a uhradit svým pojištěním, případně se nároků na škodu vzdát.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360" w:right="-226" w:hanging="36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ARCHA+ je oprávněna vlastní fotografie, audio a videozáznamy ze zkoušky a z Představení použít bez omezení pro propagaci a pro prezentaci své činnosti, nikoliv však ke komerčním účelům.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DC za toto svolení nepožaduje úhradu.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ARCHA+ ovšem není povinna fotografie a video na vlastní náklady zajistit. 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36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se jako spolupořadatel zavazuje podílet na nákladech souvisejících s uspořádáním Představení způsobem dle podmínek uvedených v článku V.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III.</w:t>
      </w:r>
    </w:p>
    <w:p w:rsidR="00000000" w:rsidDel="00000000" w:rsidP="00000000" w:rsidRDefault="00000000" w:rsidRPr="00000000" w14:paraId="00000026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Práva a povinnosti DC</w:t>
      </w:r>
    </w:p>
    <w:p w:rsidR="00000000" w:rsidDel="00000000" w:rsidP="00000000" w:rsidRDefault="00000000" w:rsidRPr="00000000" w14:paraId="00000027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01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DC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se zavazuje na své náklady a svým jménem zajistit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Představení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dle podmínek stanovených touto smlouvou.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01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DC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se zavazuje zajistit všechny účinkující, výkonn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é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umělc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a další osoby podílející se na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realizaci Představení. Dále DC zajistí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kostým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dekorac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rekvizity, uhradí přepravné, případně občerstvení pro účinkující.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01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DC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se zavazuje uhradit všechny honoráře a další náklady spojené se zajištěním osob a služeb dle odstavce 1. a 2. Honoráře a odměny budou vyplaceny na základě samostatných smluv uzavřených ze strany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DC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náklady budou uhrazeny na základě faktur uhrazených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DC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01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DC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se zavazuje ověřit technické možnosti a vybavení ARCHY+ a na své náklady případně zapůjčit techniku a další potřebné vybavení, které nemá ARCHA+ k dispozici a nemůže je pro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Představení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poskytnout.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501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DC prohlašuje, že je mu znám stav prostoru ARCHY+, kde se Představení uskuteční. Zároveň seznámilo spolupracující a účinkující s bezpečnostními předpisy a zavazuje se je dodržovat, stejně tak jako se zavazuje dodržovat právní předpisy platné v oblasti bezpečnosti práce a požární ochrany.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01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DC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uhradí všechny autorské odměny včetně licencí a jiných autorských poplatků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kolektivním správcům Dilia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Intergram, příp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adně OSA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ARCHA+ nenese odpovědnost za případná porušení autorských a dalších práv vyplývajících z autorského zákona souvisejících s uvedením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Představení v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prostoru ARCHA+ dle této smlouvy.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DC souhlasí s pořízením fotografií z představení a jejich užitím ARCHOU+ výhradně pro nekomerční účely. ARCHA+ není povinna fotografie z představení pořídit ani zveřejnit. Současně se DC zavazuje ARŠE+ pro stejný účel fotografie poskytnout.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01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DC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se zavazuje zajistit, aby kostýmy, dekorace a scéna užité v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Představeních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splňovaly požadavky platných bezpečnostních a protipožárních norem. Jakékoliv rizikové skutečnosti související s BOZP je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DC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povin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nahlásit s dostatečným předstihem.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01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DC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se zavazuje zajistit propagaci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Představení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dle běžného standardu a dodat v dostatečném předstihu ARŠE+ propagační materiály vztahující se k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Představení.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01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 případě, že chce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DC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před nebo po Představení prodávat své propagační předměty, zajistí si prodej na vlastní náklady.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DC se jako spolupořadatel zavazuje podílet na nákladech souvisejících s uspořádáním Představení způsobem dle podmínek uvedených v článku IV.</w:t>
      </w:r>
    </w:p>
    <w:p w:rsidR="00000000" w:rsidDel="00000000" w:rsidP="00000000" w:rsidRDefault="00000000" w:rsidRPr="00000000" w14:paraId="00000033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01" w:right="-226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V.</w:t>
      </w:r>
    </w:p>
    <w:p w:rsidR="00000000" w:rsidDel="00000000" w:rsidP="00000000" w:rsidRDefault="00000000" w:rsidRPr="00000000" w14:paraId="00000035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Finanční podmínky</w:t>
      </w:r>
    </w:p>
    <w:p w:rsidR="00000000" w:rsidDel="00000000" w:rsidP="00000000" w:rsidRDefault="00000000" w:rsidRPr="00000000" w14:paraId="00000036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Smluvní strany se budou na základě vzájemné dohody podílet na přípravě a uspořádání Představení vlastními vklady formou zajištění části služeb dle článků II a III.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Nad rámec zajištění služeb dle odstavce 1 bude ARŠE+ uhrazena odměna za spolupráci  ve výši 90.000 Kč. Na úhradu odměny budou použity příjmy z čistých tržeb ze vstupného dle odst 6 článku II. 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Odměnu dle bodu 2 (90.000 Kč) po odečtení čistých tržeb ze vstupného uhradí DC na základě faktury vystavené ARCHOU+ v případě, že bude součet čistých tržeb z Představení menší než 90.000 Kč.  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right="-226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případě, že bude součet čistých tržeb z Představení větší než 90.000 Kč, patří tržby ARŠE+ a DC odměnu nehradí.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V.</w:t>
      </w:r>
    </w:p>
    <w:p w:rsidR="00000000" w:rsidDel="00000000" w:rsidP="00000000" w:rsidRDefault="00000000" w:rsidRPr="00000000" w14:paraId="0000003D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Odstoupení od smlouvy</w:t>
      </w:r>
    </w:p>
    <w:p w:rsidR="00000000" w:rsidDel="00000000" w:rsidP="00000000" w:rsidRDefault="00000000" w:rsidRPr="00000000" w14:paraId="0000003E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01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 případě, že se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Představení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neuskuteční z důvodu vyšší moci, nemá žádná ze smluvních stran nárok na náhradu dosud vynaložených nákladů souvisejících s plněním dle této smlouvy a ani na náhradu škody. Obě strany v takovém případě vynaloží úsilí najít náhradní termíny pro konání Představení. Za vyšší moc považují smluvní strany i úraz či nemoc nezastupitelného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tanečníka/tanečnice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01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Pokud jedna ze stran odstoupí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od smlouvy z důvodů na své straně nebo z důvodu závažného porušení podmínek vyplývajících z této smlouvy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zavazuje se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odstupující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strana, respektive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strana, která porušila podmínky smlouvy,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uhradit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pokutu ve výši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0 000 Kč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 každou zrušené Představení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Ustanovení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tohoto odstavce platí, pokud se Smluvní strany nedohod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nou jinak, například dohodou na jiných termínech, apod.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01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Náklady dle odst. 2 budou uhrazeny na základě faktur vystavených poškozenou smluvní stranou. </w:t>
      </w:r>
    </w:p>
    <w:p w:rsidR="00000000" w:rsidDel="00000000" w:rsidP="00000000" w:rsidRDefault="00000000" w:rsidRPr="00000000" w14:paraId="00000042">
      <w:pPr>
        <w:ind w:right="-226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VI.</w:t>
      </w:r>
    </w:p>
    <w:p w:rsidR="00000000" w:rsidDel="00000000" w:rsidP="00000000" w:rsidRDefault="00000000" w:rsidRPr="00000000" w14:paraId="00000044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Závěrečná ustanovení</w:t>
      </w:r>
    </w:p>
    <w:p w:rsidR="00000000" w:rsidDel="00000000" w:rsidP="00000000" w:rsidRDefault="00000000" w:rsidRPr="00000000" w14:paraId="00000045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02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Tato smlouva nabývá platnosti a účinnosti dnem podpisu oprávněnými zástupci obou smluvních stran a je uzavírána do doby vyrovnání veškerých vzájemných závazků z této smlouvy vyplývajících.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02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Zástupci obou smluvních stran prohlašují, že jsou oprávněni tuto smlouvu uzavřít.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02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Jakékoliv změny této smlouvy se mohou řešit pouze formou písemných a číslovaných dodatků uzavřených po dohodě obou smluvních stran.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02" w:right="-2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Tato smlouva je vyhotovena ve dvou stejnopisech, z nichž každá z obou smluvních stran obdrží po jednom.</w:t>
      </w:r>
    </w:p>
    <w:p w:rsidR="00000000" w:rsidDel="00000000" w:rsidP="00000000" w:rsidRDefault="00000000" w:rsidRPr="00000000" w14:paraId="0000004A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Praze dne 7. 1. 2025</w:t>
      </w:r>
    </w:p>
    <w:p w:rsidR="00000000" w:rsidDel="00000000" w:rsidP="00000000" w:rsidRDefault="00000000" w:rsidRPr="00000000" w14:paraId="0000004C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 .………                              ………....................................</w:t>
      </w:r>
    </w:p>
    <w:p w:rsidR="00000000" w:rsidDel="00000000" w:rsidP="00000000" w:rsidRDefault="00000000" w:rsidRPr="00000000" w14:paraId="00000051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ARCHA+ </w:t>
        <w:tab/>
        <w:tab/>
        <w:t xml:space="preserve">                                              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Konzervatoř Duncan centre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RomanE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01" w:hanging="360"/>
      </w:pPr>
      <w:rPr/>
    </w:lvl>
    <w:lvl w:ilvl="1">
      <w:start w:val="1"/>
      <w:numFmt w:val="lowerLetter"/>
      <w:lvlText w:val="%2."/>
      <w:lvlJc w:val="left"/>
      <w:pPr>
        <w:ind w:left="1221" w:hanging="360"/>
      </w:pPr>
      <w:rPr/>
    </w:lvl>
    <w:lvl w:ilvl="2">
      <w:start w:val="1"/>
      <w:numFmt w:val="lowerRoman"/>
      <w:lvlText w:val="%3."/>
      <w:lvlJc w:val="right"/>
      <w:pPr>
        <w:ind w:left="1941" w:hanging="180"/>
      </w:pPr>
      <w:rPr/>
    </w:lvl>
    <w:lvl w:ilvl="3">
      <w:start w:val="1"/>
      <w:numFmt w:val="decimal"/>
      <w:lvlText w:val="%4."/>
      <w:lvlJc w:val="left"/>
      <w:pPr>
        <w:ind w:left="2661" w:hanging="360"/>
      </w:pPr>
      <w:rPr/>
    </w:lvl>
    <w:lvl w:ilvl="4">
      <w:start w:val="1"/>
      <w:numFmt w:val="lowerLetter"/>
      <w:lvlText w:val="%5."/>
      <w:lvlJc w:val="left"/>
      <w:pPr>
        <w:ind w:left="3381" w:hanging="360"/>
      </w:pPr>
      <w:rPr/>
    </w:lvl>
    <w:lvl w:ilvl="5">
      <w:start w:val="1"/>
      <w:numFmt w:val="lowerRoman"/>
      <w:lvlText w:val="%6."/>
      <w:lvlJc w:val="right"/>
      <w:pPr>
        <w:ind w:left="4101" w:hanging="180"/>
      </w:pPr>
      <w:rPr/>
    </w:lvl>
    <w:lvl w:ilvl="6">
      <w:start w:val="1"/>
      <w:numFmt w:val="decimal"/>
      <w:lvlText w:val="%7."/>
      <w:lvlJc w:val="left"/>
      <w:pPr>
        <w:ind w:left="4821" w:hanging="360"/>
      </w:pPr>
      <w:rPr/>
    </w:lvl>
    <w:lvl w:ilvl="7">
      <w:start w:val="1"/>
      <w:numFmt w:val="lowerLetter"/>
      <w:lvlText w:val="%8."/>
      <w:lvlJc w:val="left"/>
      <w:pPr>
        <w:ind w:left="5541" w:hanging="360"/>
      </w:pPr>
      <w:rPr/>
    </w:lvl>
    <w:lvl w:ilvl="8">
      <w:start w:val="1"/>
      <w:numFmt w:val="lowerRoman"/>
      <w:lvlText w:val="%9."/>
      <w:lvlJc w:val="right"/>
      <w:pPr>
        <w:ind w:left="6261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939" w:hanging="360"/>
      </w:pPr>
      <w:rPr/>
    </w:lvl>
    <w:lvl w:ilvl="2">
      <w:start w:val="1"/>
      <w:numFmt w:val="lowerRoman"/>
      <w:lvlText w:val="%3."/>
      <w:lvlJc w:val="right"/>
      <w:pPr>
        <w:ind w:left="1659" w:hanging="180"/>
      </w:pPr>
      <w:rPr/>
    </w:lvl>
    <w:lvl w:ilvl="3">
      <w:start w:val="1"/>
      <w:numFmt w:val="decimal"/>
      <w:lvlText w:val="%4."/>
      <w:lvlJc w:val="left"/>
      <w:pPr>
        <w:ind w:left="2379" w:hanging="360"/>
      </w:pPr>
      <w:rPr/>
    </w:lvl>
    <w:lvl w:ilvl="4">
      <w:start w:val="1"/>
      <w:numFmt w:val="lowerLetter"/>
      <w:lvlText w:val="%5."/>
      <w:lvlJc w:val="left"/>
      <w:pPr>
        <w:ind w:left="3099" w:hanging="360"/>
      </w:pPr>
      <w:rPr/>
    </w:lvl>
    <w:lvl w:ilvl="5">
      <w:start w:val="1"/>
      <w:numFmt w:val="lowerRoman"/>
      <w:lvlText w:val="%6."/>
      <w:lvlJc w:val="right"/>
      <w:pPr>
        <w:ind w:left="3819" w:hanging="180"/>
      </w:pPr>
      <w:rPr/>
    </w:lvl>
    <w:lvl w:ilvl="6">
      <w:start w:val="1"/>
      <w:numFmt w:val="decimal"/>
      <w:lvlText w:val="%7."/>
      <w:lvlJc w:val="left"/>
      <w:pPr>
        <w:ind w:left="4539" w:hanging="360"/>
      </w:pPr>
      <w:rPr/>
    </w:lvl>
    <w:lvl w:ilvl="7">
      <w:start w:val="1"/>
      <w:numFmt w:val="lowerLetter"/>
      <w:lvlText w:val="%8."/>
      <w:lvlJc w:val="left"/>
      <w:pPr>
        <w:ind w:left="5259" w:hanging="360"/>
      </w:pPr>
      <w:rPr/>
    </w:lvl>
    <w:lvl w:ilvl="8">
      <w:start w:val="1"/>
      <w:numFmt w:val="lowerRoman"/>
      <w:lvlText w:val="%9."/>
      <w:lvlJc w:val="right"/>
      <w:pPr>
        <w:ind w:left="5979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501" w:hanging="360"/>
      </w:pPr>
      <w:rPr/>
    </w:lvl>
    <w:lvl w:ilvl="1">
      <w:start w:val="1"/>
      <w:numFmt w:val="lowerLetter"/>
      <w:lvlText w:val="%2."/>
      <w:lvlJc w:val="left"/>
      <w:pPr>
        <w:ind w:left="1221" w:hanging="360"/>
      </w:pPr>
      <w:rPr/>
    </w:lvl>
    <w:lvl w:ilvl="2">
      <w:start w:val="1"/>
      <w:numFmt w:val="lowerRoman"/>
      <w:lvlText w:val="%3."/>
      <w:lvlJc w:val="right"/>
      <w:pPr>
        <w:ind w:left="1941" w:hanging="180"/>
      </w:pPr>
      <w:rPr/>
    </w:lvl>
    <w:lvl w:ilvl="3">
      <w:start w:val="1"/>
      <w:numFmt w:val="decimal"/>
      <w:lvlText w:val="%4."/>
      <w:lvlJc w:val="left"/>
      <w:pPr>
        <w:ind w:left="2661" w:hanging="360"/>
      </w:pPr>
      <w:rPr/>
    </w:lvl>
    <w:lvl w:ilvl="4">
      <w:start w:val="1"/>
      <w:numFmt w:val="lowerLetter"/>
      <w:lvlText w:val="%5."/>
      <w:lvlJc w:val="left"/>
      <w:pPr>
        <w:ind w:left="3381" w:hanging="360"/>
      </w:pPr>
      <w:rPr/>
    </w:lvl>
    <w:lvl w:ilvl="5">
      <w:start w:val="1"/>
      <w:numFmt w:val="lowerRoman"/>
      <w:lvlText w:val="%6."/>
      <w:lvlJc w:val="right"/>
      <w:pPr>
        <w:ind w:left="4101" w:hanging="180"/>
      </w:pPr>
      <w:rPr/>
    </w:lvl>
    <w:lvl w:ilvl="6">
      <w:start w:val="1"/>
      <w:numFmt w:val="decimal"/>
      <w:lvlText w:val="%7."/>
      <w:lvlJc w:val="left"/>
      <w:pPr>
        <w:ind w:left="4821" w:hanging="360"/>
      </w:pPr>
      <w:rPr/>
    </w:lvl>
    <w:lvl w:ilvl="7">
      <w:start w:val="1"/>
      <w:numFmt w:val="lowerLetter"/>
      <w:lvlText w:val="%8."/>
      <w:lvlJc w:val="left"/>
      <w:pPr>
        <w:ind w:left="5541" w:hanging="360"/>
      </w:pPr>
      <w:rPr/>
    </w:lvl>
    <w:lvl w:ilvl="8">
      <w:start w:val="1"/>
      <w:numFmt w:val="lowerRoman"/>
      <w:lvlText w:val="%9."/>
      <w:lvlJc w:val="right"/>
      <w:pPr>
        <w:ind w:left="6261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manEES" w:cs="RomanEES" w:eastAsia="RomanEES" w:hAnsi="RomanEES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ln" w:default="1">
    <w:name w:val="Normal"/>
    <w:qFormat w:val="1"/>
    <w:rsid w:val="00CC19FB"/>
    <w:rPr>
      <w:rFonts w:cs="Times New Roman" w:eastAsia="Times New Roman"/>
      <w:szCs w:val="20"/>
    </w:rPr>
  </w:style>
  <w:style w:type="paragraph" w:styleId="Nadpis1">
    <w:name w:val="heading 1"/>
    <w:basedOn w:val="Normln"/>
    <w:next w:val="Normln"/>
    <w:link w:val="Nadpis1Char"/>
    <w:uiPriority w:val="9"/>
    <w:qFormat w:val="1"/>
    <w:rsid w:val="00CC19F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CC19F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 w:val="1"/>
    <w:unhideWhenUsed w:val="1"/>
    <w:qFormat w:val="1"/>
    <w:rsid w:val="00CC19FB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 w:val="1"/>
    <w:unhideWhenUsed w:val="1"/>
    <w:qFormat w:val="1"/>
    <w:rsid w:val="00CC19F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dpis5">
    <w:name w:val="heading 5"/>
    <w:basedOn w:val="Normln"/>
    <w:next w:val="Normln"/>
    <w:link w:val="Nadpis5Char"/>
    <w:uiPriority w:val="9"/>
    <w:semiHidden w:val="1"/>
    <w:unhideWhenUsed w:val="1"/>
    <w:qFormat w:val="1"/>
    <w:rsid w:val="00CC19F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dpis6">
    <w:name w:val="heading 6"/>
    <w:basedOn w:val="Normln"/>
    <w:next w:val="Normln"/>
    <w:link w:val="Nadpis6Char"/>
    <w:uiPriority w:val="9"/>
    <w:semiHidden w:val="1"/>
    <w:unhideWhenUsed w:val="1"/>
    <w:qFormat w:val="1"/>
    <w:rsid w:val="00CC19FB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CC19FB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CC19FB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CC19FB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 w:val="1"/>
    <w:rsid w:val="00CC19FB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dpis1Char" w:customStyle="1">
    <w:name w:val="Nadpis 1 Char"/>
    <w:basedOn w:val="Standardnpsmoodstavce"/>
    <w:link w:val="Nadpis1"/>
    <w:uiPriority w:val="9"/>
    <w:rsid w:val="00CC19F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CC19F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CC19F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CC19F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CC19FB"/>
    <w:rPr>
      <w:rFonts w:cstheme="majorBidi" w:eastAsiaTheme="majorEastAsia"/>
      <w:color w:val="0f4761" w:themeColor="accent1" w:themeShade="0000B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CC19FB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CC19FB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CC19FB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CC19FB"/>
    <w:rPr>
      <w:rFonts w:cstheme="majorBidi" w:eastAsiaTheme="majorEastAsia"/>
      <w:color w:val="272727" w:themeColor="text1" w:themeTint="0000D8"/>
    </w:rPr>
  </w:style>
  <w:style w:type="character" w:styleId="NzevChar" w:customStyle="1">
    <w:name w:val="Název Char"/>
    <w:basedOn w:val="Standardnpsmoodstavce"/>
    <w:link w:val="Nzev"/>
    <w:uiPriority w:val="10"/>
    <w:rsid w:val="00CC19F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rFonts w:cs="RomanEES" w:eastAsia="RomanEES"/>
      <w:color w:val="595959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CC19F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 w:val="1"/>
    <w:rsid w:val="00CC19F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tChar" w:customStyle="1">
    <w:name w:val="Citát Char"/>
    <w:basedOn w:val="Standardnpsmoodstavce"/>
    <w:link w:val="Citt"/>
    <w:uiPriority w:val="29"/>
    <w:rsid w:val="00CC19FB"/>
    <w:rPr>
      <w:i w:val="1"/>
      <w:iCs w:val="1"/>
      <w:color w:val="404040" w:themeColor="text1" w:themeTint="0000BF"/>
    </w:rPr>
  </w:style>
  <w:style w:type="paragraph" w:styleId="Odstavecseseznamem">
    <w:name w:val="List Paragraph"/>
    <w:basedOn w:val="Normln"/>
    <w:uiPriority w:val="34"/>
    <w:qFormat w:val="1"/>
    <w:rsid w:val="00CC19FB"/>
    <w:pPr>
      <w:ind w:left="720"/>
      <w:contextualSpacing w:val="1"/>
    </w:pPr>
  </w:style>
  <w:style w:type="character" w:styleId="Zdraznnintenzivn">
    <w:name w:val="Intense Emphasis"/>
    <w:basedOn w:val="Standardnpsmoodstavce"/>
    <w:uiPriority w:val="21"/>
    <w:qFormat w:val="1"/>
    <w:rsid w:val="00CC19FB"/>
    <w:rPr>
      <w:i w:val="1"/>
      <w:iCs w:val="1"/>
      <w:color w:val="0f4761" w:themeColor="accent1" w:themeShade="0000BF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CC19F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CC19FB"/>
    <w:rPr>
      <w:i w:val="1"/>
      <w:iCs w:val="1"/>
      <w:color w:val="0f4761" w:themeColor="accent1" w:themeShade="0000BF"/>
    </w:rPr>
  </w:style>
  <w:style w:type="character" w:styleId="Odkazintenzivn">
    <w:name w:val="Intense Reference"/>
    <w:basedOn w:val="Standardnpsmoodstavce"/>
    <w:uiPriority w:val="32"/>
    <w:qFormat w:val="1"/>
    <w:rsid w:val="00CC19FB"/>
    <w:rPr>
      <w:b w:val="1"/>
      <w:bCs w:val="1"/>
      <w:smallCaps w:val="1"/>
      <w:color w:val="0f4761" w:themeColor="accent1" w:themeShade="0000BF"/>
      <w:spacing w:val="5"/>
    </w:rPr>
  </w:style>
  <w:style w:type="paragraph" w:styleId="Normlnweb">
    <w:name w:val="Normal (Web)"/>
    <w:basedOn w:val="Normln"/>
    <w:uiPriority w:val="99"/>
    <w:unhideWhenUsed w:val="1"/>
    <w:rsid w:val="00CC19FB"/>
    <w:pPr>
      <w:spacing w:after="100" w:afterAutospacing="1" w:before="100" w:beforeAutospacing="1"/>
    </w:pPr>
    <w:rPr>
      <w:rFonts w:ascii="Times New Roman" w:hAnsi="Times New Roman"/>
      <w:szCs w:val="24"/>
    </w:rPr>
  </w:style>
  <w:style w:type="paragraph" w:styleId="Zkladntext">
    <w:name w:val="Body Text"/>
    <w:basedOn w:val="Normln"/>
    <w:link w:val="ZkladntextChar"/>
    <w:semiHidden w:val="1"/>
    <w:rsid w:val="00CC19FB"/>
    <w:pPr>
      <w:jc w:val="both"/>
    </w:pPr>
    <w:rPr>
      <w:rFonts w:ascii="Times New Roman" w:hAnsi="Times New Roman"/>
    </w:rPr>
  </w:style>
  <w:style w:type="character" w:styleId="ZkladntextChar" w:customStyle="1">
    <w:name w:val="Základní text Char"/>
    <w:basedOn w:val="Standardnpsmoodstavce"/>
    <w:link w:val="Zkladntext"/>
    <w:semiHidden w:val="1"/>
    <w:rsid w:val="00CC19FB"/>
    <w:rPr>
      <w:rFonts w:ascii="Times New Roman" w:cs="Times New Roman" w:eastAsia="Times New Roman" w:hAnsi="Times New Roman"/>
      <w:kern w:val="0"/>
      <w:sz w:val="24"/>
      <w:szCs w:val="20"/>
      <w:lang w:eastAsia="cs-CZ"/>
    </w:rPr>
  </w:style>
  <w:style w:type="character" w:styleId="preformatted" w:customStyle="1">
    <w:name w:val="preformatted"/>
    <w:basedOn w:val="Standardnpsmoodstavce"/>
    <w:rsid w:val="00CC19FB"/>
  </w:style>
  <w:style w:type="character" w:styleId="Siln">
    <w:name w:val="Strong"/>
    <w:basedOn w:val="Standardnpsmoodstavce"/>
    <w:uiPriority w:val="22"/>
    <w:qFormat w:val="1"/>
    <w:rsid w:val="00E177D5"/>
    <w:rPr>
      <w:b w:val="1"/>
      <w:bCs w:val="1"/>
    </w:rPr>
  </w:style>
  <w:style w:type="character" w:styleId="Hypertextovodkaz">
    <w:name w:val="Hyperlink"/>
    <w:basedOn w:val="Standardnpsmoodstavce"/>
    <w:uiPriority w:val="99"/>
    <w:unhideWhenUsed w:val="1"/>
    <w:rsid w:val="00E177D5"/>
    <w:rPr>
      <w:color w:val="0000ff"/>
      <w:u w:val="single"/>
    </w:rPr>
  </w:style>
  <w:style w:type="character" w:styleId="il" w:customStyle="1">
    <w:name w:val="il"/>
    <w:basedOn w:val="Standardnpsmoodstavce"/>
    <w:rsid w:val="00EA6DFF"/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595959"/>
      <w:sz w:val="28"/>
      <w:szCs w:val="28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RomanEES" w:cs="RomanEES" w:eastAsia="RomanEES" w:hAnsi="RomanEE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RomanEES" w:cs="RomanEES" w:eastAsia="RomanEES" w:hAnsi="RomanEE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akub.hykes@archa-plus.cz" TargetMode="External"/><Relationship Id="rId8" Type="http://schemas.openxmlformats.org/officeDocument/2006/relationships/hyperlink" Target="mailto:ondrej.sychra@archa-plus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+XREnTxVufqQRarmgiHZCBPOjQ==">CgMxLjAyCGguZ2pkZ3hzOAByITEyX01QanBrbzk0b2NXSG56RDJsTlFVOVllR3FsRUlBRA==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2024-10-23T11:00:00Z</dcterms:created>
  <dc:creator>Radka Kareisová</dc:creator>
</cp:coreProperties>
</file>