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8"/>
        </w:rPr>
      </w:pPr>
    </w:p>
    <w:p>
      <w:pPr>
        <w:spacing w:before="10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5220300056</w:t>
      </w:r>
    </w:p>
    <w:p>
      <w:pPr>
        <w:spacing w:line="425" w:lineRule="exact" w:before="1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jc w:val="left"/>
      </w:pPr>
      <w:r>
        <w:rPr/>
        <w:t>Technické</w:t>
      </w:r>
      <w:r>
        <w:rPr>
          <w:spacing w:val="-8"/>
        </w:rPr>
        <w:t> </w:t>
      </w:r>
      <w:r>
        <w:rPr/>
        <w:t>služby</w:t>
      </w:r>
      <w:r>
        <w:rPr>
          <w:spacing w:val="-8"/>
        </w:rPr>
        <w:t> </w:t>
      </w:r>
      <w:r>
        <w:rPr/>
        <w:t>Města</w:t>
      </w:r>
      <w:r>
        <w:rPr>
          <w:spacing w:val="-7"/>
        </w:rPr>
        <w:t> </w:t>
      </w:r>
      <w:r>
        <w:rPr/>
        <w:t>Kašperské</w:t>
      </w:r>
      <w:r>
        <w:rPr>
          <w:spacing w:val="-8"/>
        </w:rPr>
        <w:t> </w:t>
      </w:r>
      <w:r>
        <w:rPr/>
        <w:t>Hory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3262" w:val="left" w:leader="none"/>
        </w:tabs>
        <w:spacing w:before="1"/>
        <w:ind w:left="382" w:right="111"/>
      </w:pPr>
      <w:r>
        <w:rPr/>
        <w:t>obchodní</w:t>
      </w:r>
      <w:r>
        <w:rPr>
          <w:spacing w:val="-14"/>
        </w:rPr>
        <w:t> </w:t>
      </w:r>
      <w:r>
        <w:rPr/>
        <w:t>společnost</w:t>
      </w:r>
      <w:r>
        <w:rPr>
          <w:spacing w:val="-13"/>
        </w:rPr>
        <w:t> </w:t>
      </w:r>
      <w:r>
        <w:rPr/>
        <w:t>zapsaná</w:t>
      </w:r>
      <w:r>
        <w:rPr>
          <w:spacing w:val="-14"/>
        </w:rPr>
        <w:t> </w:t>
      </w:r>
      <w:r>
        <w:rPr/>
        <w:t>v</w:t>
      </w:r>
      <w:r>
        <w:rPr>
          <w:spacing w:val="-12"/>
        </w:rPr>
        <w:t> </w:t>
      </w:r>
      <w:r>
        <w:rPr/>
        <w:t>obchodním</w:t>
      </w:r>
      <w:r>
        <w:rPr>
          <w:spacing w:val="-13"/>
        </w:rPr>
        <w:t> </w:t>
      </w:r>
      <w:r>
        <w:rPr/>
        <w:t>rejstříku</w:t>
      </w:r>
      <w:r>
        <w:rPr>
          <w:spacing w:val="-14"/>
        </w:rPr>
        <w:t> </w:t>
      </w:r>
      <w:r>
        <w:rPr/>
        <w:t>vedeném</w:t>
      </w:r>
      <w:r>
        <w:rPr>
          <w:spacing w:val="-9"/>
        </w:rPr>
        <w:t> </w:t>
      </w:r>
      <w:r>
        <w:rPr/>
        <w:t>Krajským</w:t>
      </w:r>
      <w:r>
        <w:rPr>
          <w:spacing w:val="-13"/>
        </w:rPr>
        <w:t> </w:t>
      </w:r>
      <w:r>
        <w:rPr/>
        <w:t>soudem</w:t>
      </w:r>
      <w:r>
        <w:rPr>
          <w:spacing w:val="-13"/>
        </w:rPr>
        <w:t> </w:t>
      </w:r>
      <w:r>
        <w:rPr/>
        <w:t>v</w:t>
      </w:r>
      <w:r>
        <w:rPr>
          <w:spacing w:val="-12"/>
        </w:rPr>
        <w:t> </w:t>
      </w:r>
      <w:r>
        <w:rPr/>
        <w:t>Plzni,</w:t>
      </w:r>
      <w:r>
        <w:rPr>
          <w:spacing w:val="-14"/>
        </w:rPr>
        <w:t> </w:t>
      </w:r>
      <w:r>
        <w:rPr/>
        <w:t>oddíl</w:t>
      </w:r>
      <w:r>
        <w:rPr>
          <w:spacing w:val="-12"/>
        </w:rPr>
        <w:t> </w:t>
      </w:r>
      <w:r>
        <w:rPr/>
        <w:t>C,</w:t>
      </w:r>
      <w:r>
        <w:rPr>
          <w:spacing w:val="-14"/>
        </w:rPr>
        <w:t> </w:t>
      </w:r>
      <w:r>
        <w:rPr/>
        <w:t>vložka</w:t>
      </w:r>
      <w:r>
        <w:rPr>
          <w:spacing w:val="-13"/>
        </w:rPr>
        <w:t> </w:t>
      </w:r>
      <w:r>
        <w:rPr/>
        <w:t>5533 se sídlem:</w:t>
        <w:tab/>
        <w:t>Náměstí 1, 341 92 Kašperské Hory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61172839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2"/>
        </w:rPr>
        <w:t>zastoupená:</w:t>
      </w:r>
      <w:r>
        <w:rPr/>
        <w:tab/>
        <w:t>Michalem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á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274049178/0300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spacing w:before="1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9"/>
        <w:jc w:val="both"/>
      </w:pPr>
      <w:r>
        <w:rPr/>
        <w:t>„Smlouva“) se uzavírá na základě Rozhodnutí ministra životního prostředí č. 5220300056 o poskytnutí finančních prostředků ze Státního fondu životního prostředí ČR ze dne 16.</w:t>
      </w:r>
      <w:r>
        <w:rPr>
          <w:spacing w:val="-3"/>
        </w:rPr>
        <w:t> </w:t>
      </w:r>
      <w:r>
        <w:rPr/>
        <w:t>9.</w:t>
      </w:r>
      <w:r>
        <w:rPr>
          <w:spacing w:val="-3"/>
        </w:rPr>
        <w:t> </w:t>
      </w:r>
      <w:r>
        <w:rPr/>
        <w:t>2022, jeho změny č. 1 ze dne 2. 10. 2023 a Směrnice Ministerstva životního prostředí č. 4/2015 o poskytování finančních 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České</w:t>
      </w:r>
      <w:r>
        <w:rPr>
          <w:spacing w:val="-5"/>
        </w:rPr>
        <w:t> </w:t>
      </w:r>
      <w:r>
        <w:rPr/>
        <w:t>republiky</w:t>
      </w:r>
      <w:r>
        <w:rPr>
          <w:spacing w:val="-5"/>
        </w:rPr>
        <w:t> </w:t>
      </w:r>
      <w:r>
        <w:rPr/>
        <w:t>prostřednictvím</w:t>
      </w:r>
      <w:r>
        <w:rPr>
          <w:spacing w:val="-1"/>
        </w:rPr>
        <w:t> </w:t>
      </w:r>
      <w:r>
        <w:rPr/>
        <w:t>Národního</w:t>
      </w:r>
      <w:r>
        <w:rPr>
          <w:spacing w:val="-3"/>
        </w:rPr>
        <w:t> </w:t>
      </w:r>
      <w:r>
        <w:rPr/>
        <w:t>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411"/>
        <w:jc w:val="both"/>
      </w:pPr>
      <w:r>
        <w:rPr/>
        <w:t>„Elektrifikace</w:t>
      </w:r>
      <w:r>
        <w:rPr>
          <w:spacing w:val="-7"/>
        </w:rPr>
        <w:t> </w:t>
      </w:r>
      <w:r>
        <w:rPr/>
        <w:t>vozového</w:t>
      </w:r>
      <w:r>
        <w:rPr>
          <w:spacing w:val="-7"/>
        </w:rPr>
        <w:t> </w:t>
      </w:r>
      <w:r>
        <w:rPr/>
        <w:t>parku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Technické</w:t>
      </w:r>
      <w:r>
        <w:rPr>
          <w:spacing w:val="-8"/>
        </w:rPr>
        <w:t> </w:t>
      </w:r>
      <w:r>
        <w:rPr/>
        <w:t>služby</w:t>
      </w:r>
      <w:r>
        <w:rPr>
          <w:spacing w:val="-7"/>
        </w:rPr>
        <w:t> </w:t>
      </w:r>
      <w:r>
        <w:rPr/>
        <w:t>Města</w:t>
      </w:r>
      <w:r>
        <w:rPr>
          <w:spacing w:val="-7"/>
        </w:rPr>
        <w:t> </w:t>
      </w:r>
      <w:r>
        <w:rPr/>
        <w:t>Kašperské</w:t>
      </w:r>
      <w:r>
        <w:rPr>
          <w:spacing w:val="-8"/>
        </w:rPr>
        <w:t> </w:t>
      </w:r>
      <w:r>
        <w:rPr/>
        <w:t>Hory</w:t>
      </w:r>
      <w:r>
        <w:rPr>
          <w:spacing w:val="-6"/>
        </w:rPr>
        <w:t> </w:t>
      </w:r>
      <w:r>
        <w:rPr>
          <w:spacing w:val="-2"/>
        </w:rPr>
        <w:t>s.r.o.“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9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poskytována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Nařízením</w:t>
      </w:r>
      <w:r>
        <w:rPr>
          <w:spacing w:val="-5"/>
          <w:sz w:val="20"/>
        </w:rPr>
        <w:t> </w:t>
      </w:r>
      <w:r>
        <w:rPr>
          <w:sz w:val="20"/>
        </w:rPr>
        <w:t>Komise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2023/2831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13.</w:t>
      </w:r>
      <w:r>
        <w:rPr>
          <w:spacing w:val="-5"/>
          <w:sz w:val="20"/>
        </w:rPr>
        <w:t> </w:t>
      </w:r>
      <w:r>
        <w:rPr>
          <w:sz w:val="20"/>
        </w:rPr>
        <w:t>prosince</w:t>
      </w:r>
      <w:r>
        <w:rPr>
          <w:spacing w:val="-6"/>
          <w:sz w:val="20"/>
        </w:rPr>
        <w:t> </w:t>
      </w:r>
      <w:r>
        <w:rPr>
          <w:sz w:val="20"/>
        </w:rPr>
        <w:t>2023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použití článků 107 a 108 Smlouvy o fungování Evropské</w:t>
      </w:r>
      <w:r>
        <w:rPr>
          <w:spacing w:val="-1"/>
          <w:sz w:val="20"/>
        </w:rPr>
        <w:t> </w:t>
      </w:r>
      <w:r>
        <w:rPr>
          <w:sz w:val="20"/>
        </w:rPr>
        <w:t>unie na podporu de minimis, zveřejněném v Úředním věstníku EU dne 15. 12. 2023.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 w:right="103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787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889,00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sedm</w:t>
      </w:r>
      <w:r>
        <w:rPr>
          <w:spacing w:val="-5"/>
        </w:rPr>
        <w:t> </w:t>
      </w:r>
      <w:r>
        <w:rPr/>
        <w:t>set</w:t>
      </w:r>
      <w:r>
        <w:rPr>
          <w:spacing w:val="-7"/>
        </w:rPr>
        <w:t> </w:t>
      </w:r>
      <w:r>
        <w:rPr/>
        <w:t>osmdesát</w:t>
      </w:r>
      <w:r>
        <w:rPr>
          <w:spacing w:val="-7"/>
        </w:rPr>
        <w:t> </w:t>
      </w:r>
      <w:r>
        <w:rPr/>
        <w:t>sedm</w:t>
      </w:r>
      <w:r>
        <w:rPr>
          <w:spacing w:val="-4"/>
        </w:rPr>
        <w:t> </w:t>
      </w:r>
      <w:r>
        <w:rPr/>
        <w:t>tisíc</w:t>
      </w:r>
      <w:r>
        <w:rPr>
          <w:spacing w:val="-7"/>
        </w:rPr>
        <w:t> </w:t>
      </w:r>
      <w:r>
        <w:rPr/>
        <w:t>osm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osmdesát</w:t>
      </w:r>
      <w:r>
        <w:rPr>
          <w:spacing w:val="-7"/>
        </w:rPr>
        <w:t> </w:t>
      </w:r>
      <w:r>
        <w:rPr/>
        <w:t>devět</w:t>
      </w:r>
      <w:r>
        <w:rPr>
          <w:spacing w:val="-4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302"/>
      </w:tblGrid>
      <w:tr>
        <w:trPr>
          <w:trHeight w:val="505" w:hRule="atLeast"/>
        </w:trPr>
        <w:tc>
          <w:tcPr>
            <w:tcW w:w="4249" w:type="dxa"/>
          </w:tcPr>
          <w:p>
            <w:pPr>
              <w:pStyle w:val="TableParagraph"/>
              <w:spacing w:before="120"/>
              <w:ind w:left="185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302" w:type="dxa"/>
          </w:tcPr>
          <w:p>
            <w:pPr>
              <w:pStyle w:val="TableParagraph"/>
              <w:spacing w:before="120"/>
              <w:ind w:left="0" w:right="1659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249" w:type="dxa"/>
          </w:tcPr>
          <w:p>
            <w:pPr>
              <w:pStyle w:val="TableParagraph"/>
              <w:spacing w:before="120"/>
              <w:ind w:left="190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302" w:type="dxa"/>
          </w:tcPr>
          <w:p>
            <w:pPr>
              <w:pStyle w:val="TableParagraph"/>
              <w:spacing w:before="120"/>
              <w:ind w:left="0" w:right="1658"/>
              <w:jc w:val="right"/>
              <w:rPr>
                <w:sz w:val="20"/>
              </w:rPr>
            </w:pPr>
            <w:r>
              <w:rPr>
                <w:sz w:val="20"/>
              </w:rPr>
              <w:t>787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889,00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line="240" w:lineRule="auto" w:before="1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Heading1"/>
        <w:ind w:left="2640" w:right="4677"/>
      </w:pPr>
      <w:r>
        <w:rPr>
          <w:spacing w:val="-5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708" w:footer="1398" w:top="12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11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8"/>
          <w:sz w:val="20"/>
        </w:rPr>
        <w:t> </w:t>
      </w:r>
      <w:r>
        <w:rPr>
          <w:sz w:val="20"/>
        </w:rPr>
        <w:t>„Elektrifikace</w:t>
      </w:r>
      <w:r>
        <w:rPr>
          <w:spacing w:val="68"/>
          <w:sz w:val="20"/>
        </w:rPr>
        <w:t> </w:t>
      </w:r>
      <w:r>
        <w:rPr>
          <w:sz w:val="20"/>
        </w:rPr>
        <w:t>vozového</w:t>
      </w:r>
      <w:r>
        <w:rPr>
          <w:spacing w:val="69"/>
          <w:sz w:val="20"/>
        </w:rPr>
        <w:t> </w:t>
      </w:r>
      <w:r>
        <w:rPr>
          <w:sz w:val="20"/>
        </w:rPr>
        <w:t>parku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68"/>
          <w:sz w:val="20"/>
        </w:rPr>
        <w:t> </w:t>
      </w:r>
      <w:r>
        <w:rPr>
          <w:sz w:val="20"/>
        </w:rPr>
        <w:t>Technické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  <w:r>
        <w:rPr>
          <w:spacing w:val="67"/>
          <w:sz w:val="20"/>
        </w:rPr>
        <w:t> </w:t>
      </w:r>
      <w:r>
        <w:rPr>
          <w:sz w:val="20"/>
        </w:rPr>
        <w:t>Města</w:t>
      </w:r>
      <w:r>
        <w:rPr>
          <w:spacing w:val="40"/>
          <w:sz w:val="20"/>
        </w:rPr>
        <w:t> </w:t>
      </w:r>
      <w:r>
        <w:rPr>
          <w:sz w:val="20"/>
        </w:rPr>
        <w:t>Kašperské</w:t>
      </w:r>
      <w:r>
        <w:rPr>
          <w:spacing w:val="40"/>
          <w:sz w:val="20"/>
        </w:rPr>
        <w:t> </w:t>
      </w:r>
      <w:r>
        <w:rPr>
          <w:sz w:val="20"/>
        </w:rPr>
        <w:t>Hory</w:t>
      </w:r>
      <w:r>
        <w:rPr>
          <w:spacing w:val="40"/>
          <w:sz w:val="20"/>
        </w:rPr>
        <w:t> </w:t>
      </w:r>
      <w:r>
        <w:rPr>
          <w:sz w:val="20"/>
        </w:rPr>
        <w:t>s.r.o.“</w:t>
      </w:r>
      <w:r>
        <w:rPr>
          <w:spacing w:val="40"/>
          <w:sz w:val="20"/>
        </w:rPr>
        <w:t> </w:t>
      </w:r>
      <w:r>
        <w:rPr>
          <w:sz w:val="20"/>
        </w:rPr>
        <w:t>bude provedena v souladu s Výzvou, žádostí o podporu a jejími přílohami a touto Smlouvou,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18" w:after="0"/>
        <w:ind w:left="1234" w:right="0" w:hanging="286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-1"/>
          <w:sz w:val="20"/>
        </w:rPr>
        <w:t> </w:t>
      </w:r>
      <w:r>
        <w:rPr>
          <w:sz w:val="20"/>
        </w:rPr>
        <w:t>daňové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(zákon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 podle</w:t>
      </w:r>
      <w:r>
        <w:rPr>
          <w:spacing w:val="-2"/>
          <w:sz w:val="20"/>
        </w:rPr>
        <w:t> </w:t>
      </w:r>
      <w:r>
        <w:rPr>
          <w:sz w:val="20"/>
        </w:rPr>
        <w:t>pokynů v</w:t>
      </w:r>
      <w:r>
        <w:rPr>
          <w:spacing w:val="-2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09" w:hanging="286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3" w:hanging="286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</w:t>
      </w:r>
      <w:r>
        <w:rPr>
          <w:spacing w:val="-2"/>
          <w:sz w:val="20"/>
        </w:rPr>
        <w:t>zhotovitele, dodavatele nebo poskytovatele a subdodavatele, je-li konečným příjemcem finančních </w:t>
      </w:r>
      <w:r>
        <w:rPr>
          <w:sz w:val="20"/>
        </w:rPr>
        <w:t>prostředků a jména, příjmení a data narození skutečného majitele nebo majitelů,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286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3" w:hanging="286"/>
        <w:jc w:val="both"/>
        <w:rPr>
          <w:sz w:val="20"/>
        </w:rPr>
      </w:pPr>
      <w:r>
        <w:rPr>
          <w:sz w:val="20"/>
        </w:rPr>
        <w:t>termín dokončení akce do konce 12/2024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6"/>
          <w:sz w:val="20"/>
        </w:rPr>
        <w:t> </w:t>
      </w:r>
      <w:r>
        <w:rPr>
          <w:sz w:val="20"/>
        </w:rPr>
        <w:t>předání/převzetí</w:t>
      </w:r>
      <w:r>
        <w:rPr>
          <w:spacing w:val="-7"/>
          <w:sz w:val="20"/>
        </w:rPr>
        <w:t> </w:t>
      </w:r>
      <w:r>
        <w:rPr>
          <w:sz w:val="20"/>
        </w:rPr>
        <w:t>posledního vozidla dle příslušné kupní smlouvy). Přitom se konstatuje, že akce byla zahájena v 9/2022.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260" w:bottom="158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9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</w:pPr>
      <w:r>
        <w:rPr>
          <w:spacing w:val="-2"/>
        </w:rPr>
        <w:t>Výzvy.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pStyle w:val="Heading1"/>
        <w:spacing w:before="99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90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5689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68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9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2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5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8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09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2024-12-11T14:25:59Z</dcterms:created>
  <dcterms:modified xsi:type="dcterms:W3CDTF">2024-12-11T14:25:59Z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2024-12-11T00:00:00Z</vt:filetime>
  </property>
</Properties>
</file>