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0C8B" w14:textId="530AB56C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5B668D" w:rsidRPr="005B668D">
        <w:rPr>
          <w:b/>
          <w:caps/>
          <w:sz w:val="24"/>
        </w:rPr>
        <w:t>SILNICE II/497: uherské hradiště – bílovice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75AA7601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114D2C">
        <w:rPr>
          <w:rFonts w:cs="Calibri"/>
          <w:b/>
          <w:sz w:val="28"/>
          <w:szCs w:val="28"/>
          <w:lang w:eastAsia="en-US"/>
        </w:rPr>
        <w:t>č. 2</w:t>
      </w:r>
    </w:p>
    <w:p w14:paraId="2DE0EEA9" w14:textId="18EB2E3E" w:rsidR="0006354B" w:rsidRPr="00793D4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SML/04</w:t>
      </w:r>
      <w:r w:rsidR="003D2B0B" w:rsidRPr="003D2B0B">
        <w:rPr>
          <w:rFonts w:cs="Calibri"/>
          <w:b/>
          <w:sz w:val="28"/>
          <w:szCs w:val="28"/>
          <w:lang w:eastAsia="en-US"/>
        </w:rPr>
        <w:t>48</w:t>
      </w:r>
      <w:r w:rsidR="0006354B" w:rsidRPr="003D2B0B">
        <w:rPr>
          <w:rFonts w:cs="Calibri"/>
          <w:b/>
          <w:sz w:val="28"/>
          <w:szCs w:val="28"/>
          <w:lang w:eastAsia="en-US"/>
        </w:rPr>
        <w:t>/23</w:t>
      </w:r>
    </w:p>
    <w:p w14:paraId="29308D48" w14:textId="639C414D" w:rsidR="0006354B" w:rsidRDefault="0006354B" w:rsidP="0006354B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</w:t>
      </w:r>
      <w:r w:rsidR="006B4AD4">
        <w:rPr>
          <w:rFonts w:cs="Calibri"/>
          <w:b/>
          <w:sz w:val="24"/>
          <w:lang w:eastAsia="en-US"/>
        </w:rPr>
        <w:t>: 090/MCQJ/23</w:t>
      </w:r>
    </w:p>
    <w:p w14:paraId="1E19063C" w14:textId="77777777" w:rsidR="00E47AC1" w:rsidRDefault="00E47AC1" w:rsidP="00BB5014">
      <w:pPr>
        <w:spacing w:before="120"/>
        <w:jc w:val="both"/>
        <w:rPr>
          <w:rFonts w:cs="Calibri"/>
          <w:szCs w:val="18"/>
          <w:lang w:eastAsia="en-US"/>
        </w:rPr>
      </w:pP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1114EF37" w14:textId="4110EA4A" w:rsidR="00FF3EED" w:rsidRPr="001D2E86" w:rsidRDefault="00FF3EED" w:rsidP="00BB5014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B29BCE3" w14:textId="777206F1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B403B3D" w14:textId="77777777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2A2D66DB" w14:textId="12EE3D22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ACFB547" w14:textId="2D8099C1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D6A36D6" w14:textId="50276829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6EC6ABF9" w14:textId="7777777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4A3D3E2" w14:textId="1AE77D27" w:rsidR="0006354B" w:rsidRPr="0097458B" w:rsidRDefault="0006354B" w:rsidP="00DD3DB2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1F5CC5">
        <w:rPr>
          <w:rFonts w:cs="Calibri"/>
          <w:szCs w:val="18"/>
        </w:rPr>
        <w:t>xxxxxxxxx</w:t>
      </w:r>
      <w:proofErr w:type="spellEnd"/>
    </w:p>
    <w:p w14:paraId="2C047738" w14:textId="38116689" w:rsidR="0006354B" w:rsidRPr="0097458B" w:rsidRDefault="0006354B" w:rsidP="00DD3DB2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1F5CC5">
        <w:rPr>
          <w:rFonts w:cs="Calibri"/>
          <w:szCs w:val="18"/>
        </w:rPr>
        <w:t>xxxxxxxxxx</w:t>
      </w:r>
      <w:proofErr w:type="spellEnd"/>
    </w:p>
    <w:p w14:paraId="425E6B52" w14:textId="0B0BA7A8" w:rsidR="0006354B" w:rsidRPr="0097458B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1F5CC5">
        <w:rPr>
          <w:rFonts w:cs="Calibri"/>
          <w:szCs w:val="18"/>
        </w:rPr>
        <w:t>xxxxxxxx</w:t>
      </w:r>
      <w:proofErr w:type="spellEnd"/>
    </w:p>
    <w:p w14:paraId="3B4809AC" w14:textId="110A39F8" w:rsidR="0006354B" w:rsidRPr="0097458B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1F5CC5">
        <w:rPr>
          <w:rFonts w:cs="Calibri"/>
          <w:szCs w:val="18"/>
        </w:rPr>
        <w:t>xxxxx</w:t>
      </w:r>
      <w:proofErr w:type="spellEnd"/>
    </w:p>
    <w:p w14:paraId="55A7E001" w14:textId="32A76D34" w:rsidR="0006354B" w:rsidRPr="00ED48A6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1F5CC5">
          <w:rPr>
            <w:rStyle w:val="Hypertextovodkaz"/>
            <w:rFonts w:cs="Calibri"/>
            <w:szCs w:val="18"/>
          </w:rPr>
          <w:t>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24495C02" w14:textId="77777777" w:rsidR="0006354B" w:rsidRPr="00ED48A6" w:rsidRDefault="0006354B" w:rsidP="0006354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B5EEBB5" w14:textId="2F42C0DC" w:rsidR="00FF3EED" w:rsidRPr="00ED48A6" w:rsidRDefault="00FF3EED" w:rsidP="00BB5014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="000E3C8F"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FD940A0" w14:textId="01497D77" w:rsidR="00FF3EED" w:rsidRPr="00ED48A6" w:rsidRDefault="00FF3EED" w:rsidP="00BB5014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1703D453" w14:textId="4A8BF5F6" w:rsidR="0006354B" w:rsidRDefault="0006354B" w:rsidP="0006354B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STRABAG a. s.</w:t>
      </w:r>
    </w:p>
    <w:p w14:paraId="08F521DD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Kačírkova 982/4, Jinonice, 158 00 Praha 5</w:t>
      </w:r>
    </w:p>
    <w:p w14:paraId="3F20C71E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Zápis v obchodním rejstříku: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Městský soud Praha, oddíl B, vložka 7634</w:t>
      </w:r>
    </w:p>
    <w:p w14:paraId="6783ADB3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60838744</w:t>
      </w:r>
    </w:p>
    <w:p w14:paraId="41ABAA22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DIČ: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CZ60838744</w:t>
      </w:r>
    </w:p>
    <w:p w14:paraId="71AAA8B9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Zastoupený: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Dipl</w:t>
      </w:r>
      <w:proofErr w:type="spellEnd"/>
      <w:r>
        <w:rPr>
          <w:rFonts w:cs="Calibri"/>
          <w:szCs w:val="18"/>
        </w:rPr>
        <w:t xml:space="preserve">. Ing. Moritz </w:t>
      </w:r>
      <w:proofErr w:type="spellStart"/>
      <w:r>
        <w:rPr>
          <w:rFonts w:cs="Calibri"/>
          <w:szCs w:val="18"/>
        </w:rPr>
        <w:t>Freyborn</w:t>
      </w:r>
      <w:proofErr w:type="spellEnd"/>
      <w:r>
        <w:rPr>
          <w:rFonts w:cs="Calibri"/>
          <w:szCs w:val="18"/>
        </w:rPr>
        <w:t>, předseda představenstva a</w:t>
      </w:r>
    </w:p>
    <w:p w14:paraId="3B17C143" w14:textId="0ECB580C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Ing. </w:t>
      </w:r>
      <w:r w:rsidR="000A3C42">
        <w:rPr>
          <w:rFonts w:cs="Calibri"/>
          <w:szCs w:val="18"/>
        </w:rPr>
        <w:t>Tomáš Hoza</w:t>
      </w:r>
      <w:r>
        <w:rPr>
          <w:rFonts w:cs="Calibri"/>
          <w:szCs w:val="18"/>
        </w:rPr>
        <w:t>, člen představenstva</w:t>
      </w:r>
    </w:p>
    <w:p w14:paraId="195DEB27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ve věcech smluvních pověřen:</w:t>
      </w:r>
      <w:r>
        <w:rPr>
          <w:rFonts w:cs="Calibri"/>
          <w:szCs w:val="18"/>
        </w:rPr>
        <w:tab/>
        <w:t xml:space="preserve">Ing. Jan </w:t>
      </w:r>
      <w:proofErr w:type="spellStart"/>
      <w:r>
        <w:rPr>
          <w:rFonts w:cs="Calibri"/>
          <w:szCs w:val="18"/>
        </w:rPr>
        <w:t>Hýzl</w:t>
      </w:r>
      <w:proofErr w:type="spellEnd"/>
      <w:r>
        <w:rPr>
          <w:rFonts w:cs="Calibri"/>
          <w:szCs w:val="18"/>
        </w:rPr>
        <w:t>, prokurista a Ing. Jiří Svoboda, Ph.D., prokurista</w:t>
      </w:r>
    </w:p>
    <w:p w14:paraId="49F6D423" w14:textId="6C31E0E0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o technických věcech pověřen:</w:t>
      </w:r>
      <w:r>
        <w:rPr>
          <w:rFonts w:cs="Calibri"/>
          <w:szCs w:val="18"/>
        </w:rPr>
        <w:tab/>
      </w:r>
      <w:proofErr w:type="spellStart"/>
      <w:r w:rsidR="001F5CC5">
        <w:rPr>
          <w:rFonts w:cs="Calibri"/>
          <w:szCs w:val="18"/>
        </w:rPr>
        <w:t>xxxxxxxxx</w:t>
      </w:r>
      <w:proofErr w:type="spellEnd"/>
    </w:p>
    <w:p w14:paraId="1D3515E3" w14:textId="14287B0F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Stavbyvedoucí: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1F5CC5">
        <w:rPr>
          <w:rFonts w:cs="Calibri"/>
          <w:szCs w:val="18"/>
        </w:rPr>
        <w:t>xxxxxxxxxxxx</w:t>
      </w:r>
      <w:proofErr w:type="spellEnd"/>
    </w:p>
    <w:p w14:paraId="189570C5" w14:textId="54E26694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Tel.: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1F5CC5">
        <w:rPr>
          <w:rFonts w:cs="Calibri"/>
          <w:szCs w:val="18"/>
        </w:rPr>
        <w:t>xxxxxxxx</w:t>
      </w:r>
      <w:proofErr w:type="spellEnd"/>
    </w:p>
    <w:p w14:paraId="3813FE19" w14:textId="6423062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E-mail: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1F5CC5">
        <w:t>xxxxxxxxxx</w:t>
      </w:r>
      <w:proofErr w:type="spellEnd"/>
      <w:r>
        <w:rPr>
          <w:rFonts w:cs="Calibri"/>
          <w:szCs w:val="18"/>
        </w:rPr>
        <w:t xml:space="preserve"> </w:t>
      </w:r>
    </w:p>
    <w:p w14:paraId="7207D853" w14:textId="7AEAD195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Bankovní spojení: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UniCredit</w:t>
      </w:r>
      <w:proofErr w:type="spellEnd"/>
      <w:r>
        <w:rPr>
          <w:rFonts w:cs="Calibri"/>
          <w:szCs w:val="18"/>
        </w:rPr>
        <w:t xml:space="preserve"> Bank Czech Republic and Slovakia, a. s., Praha</w:t>
      </w:r>
    </w:p>
    <w:p w14:paraId="3202E0CA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č. </w:t>
      </w:r>
      <w:proofErr w:type="spellStart"/>
      <w:r>
        <w:rPr>
          <w:rFonts w:cs="Calibri"/>
          <w:szCs w:val="18"/>
        </w:rPr>
        <w:t>ú.</w:t>
      </w:r>
      <w:proofErr w:type="spellEnd"/>
      <w:r>
        <w:rPr>
          <w:rFonts w:cs="Calibri"/>
          <w:szCs w:val="18"/>
        </w:rPr>
        <w:t xml:space="preserve"> 5061885001/2700 </w:t>
      </w:r>
    </w:p>
    <w:p w14:paraId="15BE01B5" w14:textId="691DAD1B" w:rsidR="00FF3EED" w:rsidRPr="00ED48A6" w:rsidRDefault="00FF3EED" w:rsidP="00BB5014">
      <w:pPr>
        <w:spacing w:before="60"/>
        <w:rPr>
          <w:bCs/>
        </w:rPr>
      </w:pPr>
      <w:r w:rsidRPr="00ED48A6">
        <w:rPr>
          <w:bCs/>
        </w:rPr>
        <w:t>(dále jen „</w:t>
      </w:r>
      <w:r w:rsidR="000E3C8F"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735BEC00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23</w:t>
      </w:r>
      <w:r w:rsidRPr="002C551F">
        <w:t>.</w:t>
      </w:r>
      <w:r>
        <w:t>08</w:t>
      </w:r>
      <w:r w:rsidRPr="002C551F">
        <w:t>.20</w:t>
      </w:r>
      <w:r>
        <w:t>23</w:t>
      </w:r>
      <w:r w:rsidRPr="002C551F">
        <w:t xml:space="preserve"> </w:t>
      </w:r>
      <w:r w:rsidRPr="00792AB1">
        <w:t>uzavřely smlouvu</w:t>
      </w:r>
      <w:r>
        <w:t xml:space="preserve"> o dílo č. SML/0448</w:t>
      </w:r>
      <w:r w:rsidRPr="002C551F">
        <w:t>/</w:t>
      </w:r>
      <w:r>
        <w:t>23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Pr="00A404F6">
        <w:t>SILNICE II/497: UHERSKÉ HRADIŠTĚ – BÍLOVICE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Pr="00A404F6">
        <w:t>SILNICE II/497: UHERSKÉ HRADIŠTĚ – BÍLOVICE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2D78B199" w14:textId="5F729D04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634DE6">
        <w:t>díla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>ní části díla</w:t>
      </w:r>
      <w:r w:rsidRPr="00D5394E">
        <w:t xml:space="preserve"> je třeba provést změnu technologie provádění stavebních prací dle níže </w:t>
      </w:r>
      <w:r w:rsidR="0015232A"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07C06B3A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="00114D2C">
        <w:t xml:space="preserve">ve znění dodatku č. 1 </w:t>
      </w:r>
      <w:r w:rsidRPr="00D5394E">
        <w:t xml:space="preserve">ve výši </w:t>
      </w:r>
      <w:r w:rsidR="00114D2C" w:rsidRPr="00D5394E">
        <w:t>216 832 020,86</w:t>
      </w:r>
      <w:r w:rsidR="00114D2C">
        <w:t xml:space="preserve"> </w:t>
      </w:r>
      <w:r w:rsidRPr="00D5394E">
        <w:t xml:space="preserve">Kč bez DPH se dodatkem </w:t>
      </w:r>
      <w:r w:rsidR="00114D2C">
        <w:t>č. 2</w:t>
      </w:r>
      <w:r w:rsidRPr="00D5394E">
        <w:t xml:space="preserve"> </w:t>
      </w:r>
      <w:r w:rsidR="00114D2C">
        <w:t xml:space="preserve">zvyšuje o cenu dodatečných prací ve výši </w:t>
      </w:r>
      <w:r w:rsidR="00114D2C" w:rsidRPr="00114D2C">
        <w:t>247 280,00</w:t>
      </w:r>
      <w:r w:rsidR="00114D2C">
        <w:t xml:space="preserve"> Kč bez DPH a </w:t>
      </w:r>
      <w:r w:rsidR="00114D2C">
        <w:lastRenderedPageBreak/>
        <w:t xml:space="preserve">zároveň </w:t>
      </w:r>
      <w:r>
        <w:t>snižuje</w:t>
      </w:r>
      <w:r w:rsidRPr="00D5394E">
        <w:t xml:space="preserve"> o </w:t>
      </w:r>
      <w:r w:rsidR="00114D2C" w:rsidRPr="00114D2C">
        <w:t>2 874 414,89</w:t>
      </w:r>
      <w:r w:rsidR="00114D2C">
        <w:t xml:space="preserve"> </w:t>
      </w:r>
      <w:r w:rsidRPr="00D5394E">
        <w:t xml:space="preserve">Kč bez DPH na </w:t>
      </w:r>
      <w:r w:rsidR="002C2B65">
        <w:t xml:space="preserve">částku ve výši </w:t>
      </w:r>
      <w:r w:rsidR="00114D2C" w:rsidRPr="00114D2C">
        <w:t>214 204 885,97</w:t>
      </w:r>
      <w:r w:rsidR="00114D2C">
        <w:t xml:space="preserve"> </w:t>
      </w:r>
      <w:r w:rsidRPr="00D5394E">
        <w:t>Kč bez DPH</w:t>
      </w:r>
      <w:r>
        <w:t xml:space="preserve"> (tzn. </w:t>
      </w:r>
      <w:r w:rsidR="00114D2C">
        <w:t>snížení</w:t>
      </w:r>
      <w:r w:rsidR="002C2B65">
        <w:t xml:space="preserve"> </w:t>
      </w:r>
      <w:r>
        <w:t>ceny</w:t>
      </w:r>
      <w:r w:rsidR="002C2B65">
        <w:t xml:space="preserve"> o</w:t>
      </w:r>
      <w:r w:rsidR="00114D2C">
        <w:t xml:space="preserve"> </w:t>
      </w:r>
      <w:r w:rsidR="00114D2C" w:rsidRPr="00114D2C">
        <w:t>2 627 134,89</w:t>
      </w:r>
      <w:r w:rsidR="00114D2C">
        <w:t xml:space="preserve"> Kč bez DPH, součet veškerých změn </w:t>
      </w:r>
      <w:r w:rsidR="00E37FE7">
        <w:t xml:space="preserve">v průběhu realizace Smlouvy </w:t>
      </w:r>
      <w:r w:rsidR="00114D2C">
        <w:t>v absolutní hodnotě představuje 2,48</w:t>
      </w:r>
      <w:r>
        <w:t xml:space="preserve"> %)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01EC3956" w14:textId="77777777" w:rsidR="00090510" w:rsidRPr="00AA3A3F" w:rsidRDefault="00090510" w:rsidP="00090510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>K</w:t>
      </w:r>
      <w:r>
        <w:rPr>
          <w:rFonts w:cs="Calibri"/>
          <w:szCs w:val="18"/>
          <w:lang w:eastAsia="en-US"/>
        </w:rPr>
        <w:t> </w:t>
      </w:r>
      <w:r w:rsidRPr="00AA3A3F">
        <w:rPr>
          <w:rFonts w:cs="Calibri"/>
          <w:szCs w:val="18"/>
          <w:lang w:eastAsia="en-US"/>
        </w:rPr>
        <w:t>dosavadní</w:t>
      </w:r>
      <w:r>
        <w:rPr>
          <w:rFonts w:cs="Calibri"/>
          <w:szCs w:val="18"/>
          <w:lang w:eastAsia="en-US"/>
        </w:rPr>
        <w:t xml:space="preserve"> specifikaci </w:t>
      </w:r>
      <w:r w:rsidRPr="00AA3A3F">
        <w:rPr>
          <w:rFonts w:cs="Calibri"/>
          <w:szCs w:val="18"/>
          <w:lang w:eastAsia="en-US"/>
        </w:rPr>
        <w:t xml:space="preserve">SO se </w:t>
      </w:r>
      <w:r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6104CF72" w14:textId="77777777" w:rsidR="001F233A" w:rsidRPr="00A45E48" w:rsidRDefault="001F233A" w:rsidP="001F233A">
      <w:pPr>
        <w:pStyle w:val="Odstavecseseznamem"/>
        <w:spacing w:before="60"/>
        <w:ind w:left="786" w:firstLine="348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A45E48">
        <w:rPr>
          <w:rFonts w:cs="Calibri"/>
          <w:szCs w:val="18"/>
          <w:u w:val="single"/>
          <w:lang w:eastAsia="en-US"/>
        </w:rPr>
        <w:t>SO 101.01 Komunikace – úsek A – uznatelné náklady</w:t>
      </w:r>
    </w:p>
    <w:p w14:paraId="2EA86AFF" w14:textId="5129F0B7" w:rsidR="00A45E48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Změna </w:t>
      </w:r>
      <w:r w:rsidR="00D11B36">
        <w:rPr>
          <w:rFonts w:cs="Calibri"/>
          <w:szCs w:val="18"/>
          <w:lang w:eastAsia="en-US"/>
        </w:rPr>
        <w:t>2</w:t>
      </w:r>
      <w:r>
        <w:rPr>
          <w:rFonts w:cs="Calibri"/>
          <w:szCs w:val="18"/>
          <w:lang w:eastAsia="en-US"/>
        </w:rPr>
        <w:t>.01</w:t>
      </w:r>
    </w:p>
    <w:p w14:paraId="6255F379" w14:textId="70A583AB" w:rsidR="001F233A" w:rsidRDefault="001F233A" w:rsidP="001F233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1F233A">
        <w:rPr>
          <w:rFonts w:cs="Calibri"/>
          <w:szCs w:val="18"/>
          <w:lang w:eastAsia="en-US"/>
        </w:rPr>
        <w:t xml:space="preserve">V rozpočtu stavby byl navržen </w:t>
      </w:r>
      <w:r>
        <w:rPr>
          <w:rFonts w:cs="Calibri"/>
          <w:szCs w:val="18"/>
          <w:lang w:eastAsia="en-US"/>
        </w:rPr>
        <w:t>odvoz</w:t>
      </w:r>
      <w:r w:rsidRPr="001F233A">
        <w:rPr>
          <w:rFonts w:cs="Calibri"/>
          <w:szCs w:val="18"/>
          <w:lang w:eastAsia="en-US"/>
        </w:rPr>
        <w:t xml:space="preserve"> vytěžených materiálů na skládky, část materiálu byla využita při stavbě, některé práce se neprováděly. Nebezpečný odpad měl být odvezen na řízenou skládku, neboť se předpokládalo, že se v konstrukci vozovky bude nacházet penetrační makadam se zařazením do třídy ZAS-T4. Při realizaci však bylo zjištěno, že se jedná o makadam čistý, který bude využit při stavbě. </w:t>
      </w:r>
      <w:r>
        <w:rPr>
          <w:rFonts w:cs="Calibri"/>
          <w:szCs w:val="18"/>
          <w:lang w:eastAsia="en-US"/>
        </w:rPr>
        <w:t>Z toho důvodu n</w:t>
      </w:r>
      <w:r w:rsidRPr="001F233A">
        <w:rPr>
          <w:rFonts w:cs="Calibri"/>
          <w:szCs w:val="18"/>
          <w:lang w:eastAsia="en-US"/>
        </w:rPr>
        <w:t xml:space="preserve">ení třeba odvážet na skládku nebezpečný odpad v </w:t>
      </w:r>
      <w:r w:rsidR="006C4A8F">
        <w:rPr>
          <w:rFonts w:cs="Calibri"/>
          <w:szCs w:val="18"/>
          <w:lang w:eastAsia="en-US"/>
        </w:rPr>
        <w:t>množství</w:t>
      </w:r>
      <w:r w:rsidRPr="001F233A">
        <w:rPr>
          <w:rFonts w:cs="Calibri"/>
          <w:szCs w:val="18"/>
          <w:lang w:eastAsia="en-US"/>
        </w:rPr>
        <w:t xml:space="preserve"> 113,453 t a zeminu v </w:t>
      </w:r>
      <w:r w:rsidR="006C4A8F">
        <w:rPr>
          <w:rFonts w:cs="Calibri"/>
          <w:szCs w:val="18"/>
          <w:lang w:eastAsia="en-US"/>
        </w:rPr>
        <w:t>množství</w:t>
      </w:r>
      <w:r w:rsidRPr="001F233A">
        <w:rPr>
          <w:rFonts w:cs="Calibri"/>
          <w:szCs w:val="18"/>
          <w:lang w:eastAsia="en-US"/>
        </w:rPr>
        <w:t xml:space="preserve"> 588,30 t.</w:t>
      </w:r>
    </w:p>
    <w:p w14:paraId="1F211FB4" w14:textId="77777777" w:rsidR="001F233A" w:rsidRDefault="001F233A" w:rsidP="001F233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1F233A">
        <w:rPr>
          <w:rFonts w:cs="Calibri"/>
          <w:szCs w:val="18"/>
          <w:lang w:eastAsia="en-US"/>
        </w:rPr>
        <w:t xml:space="preserve">Nebude prováděno odstranění a osazení nových betonových žlabů v objemu 48,0 m2. Poplatek za skládku zeminy je částečně obsažen i v SO 001.1. Po prohlídce na místě stavby bylo konstatováno, že stávající betonové žlaby v km 0,703 - 0,783 jsou v dobrém stavu a není třeba je vyměňovat za nové. </w:t>
      </w:r>
    </w:p>
    <w:p w14:paraId="208AD960" w14:textId="77777777" w:rsidR="001F233A" w:rsidRDefault="001F233A" w:rsidP="001F233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1F233A">
        <w:rPr>
          <w:rFonts w:cs="Calibri"/>
          <w:szCs w:val="18"/>
          <w:lang w:eastAsia="en-US"/>
        </w:rPr>
        <w:t xml:space="preserve">V rozpočtu bylo uvažováno s vyrovnávací vrstvou, lokálními vysprávkami a opravami trhlin ve vozovce. </w:t>
      </w:r>
      <w:r>
        <w:rPr>
          <w:rFonts w:cs="Calibri"/>
          <w:szCs w:val="18"/>
          <w:lang w:eastAsia="en-US"/>
        </w:rPr>
        <w:t>Při posouzení skutečného stavu však bylo zjištěno, že t</w:t>
      </w:r>
      <w:r w:rsidRPr="001F233A">
        <w:rPr>
          <w:rFonts w:cs="Calibri"/>
          <w:szCs w:val="18"/>
          <w:lang w:eastAsia="en-US"/>
        </w:rPr>
        <w:t xml:space="preserve">yto práce </w:t>
      </w:r>
      <w:r>
        <w:rPr>
          <w:rFonts w:cs="Calibri"/>
          <w:szCs w:val="18"/>
          <w:lang w:eastAsia="en-US"/>
        </w:rPr>
        <w:t>není</w:t>
      </w:r>
      <w:r w:rsidRPr="001F233A">
        <w:rPr>
          <w:rFonts w:cs="Calibri"/>
          <w:szCs w:val="18"/>
          <w:lang w:eastAsia="en-US"/>
        </w:rPr>
        <w:t xml:space="preserve"> třeba provádět v objemu uvedeném v rozpočtu.</w:t>
      </w:r>
      <w:r>
        <w:rPr>
          <w:rFonts w:cs="Calibri"/>
          <w:szCs w:val="18"/>
          <w:lang w:eastAsia="en-US"/>
        </w:rPr>
        <w:t xml:space="preserve"> Z toho důvodu n</w:t>
      </w:r>
      <w:r w:rsidRPr="001F233A">
        <w:rPr>
          <w:rFonts w:cs="Calibri"/>
          <w:szCs w:val="18"/>
          <w:lang w:eastAsia="en-US"/>
        </w:rPr>
        <w:t>ebude prováděna vyrovnávací vrstva v objemu 51,605 m</w:t>
      </w:r>
      <w:r w:rsidRPr="001F233A">
        <w:rPr>
          <w:rFonts w:cs="Calibri"/>
          <w:szCs w:val="18"/>
          <w:vertAlign w:val="superscript"/>
          <w:lang w:eastAsia="en-US"/>
        </w:rPr>
        <w:t>3</w:t>
      </w:r>
      <w:r w:rsidRPr="001F233A">
        <w:rPr>
          <w:rFonts w:cs="Calibri"/>
          <w:szCs w:val="18"/>
          <w:lang w:eastAsia="en-US"/>
        </w:rPr>
        <w:t>, lokální vysprávky vozovky v objemu 74,483 m</w:t>
      </w:r>
      <w:r w:rsidRPr="001F233A">
        <w:rPr>
          <w:rFonts w:cs="Calibri"/>
          <w:szCs w:val="18"/>
          <w:vertAlign w:val="superscript"/>
          <w:lang w:eastAsia="en-US"/>
        </w:rPr>
        <w:t>3</w:t>
      </w:r>
      <w:r w:rsidRPr="001F233A">
        <w:rPr>
          <w:rFonts w:cs="Calibri"/>
          <w:szCs w:val="18"/>
          <w:lang w:eastAsia="en-US"/>
        </w:rPr>
        <w:t xml:space="preserve"> a oprava trhlin asfaltovou zálivkou v délce 844,0 m.  </w:t>
      </w:r>
    </w:p>
    <w:p w14:paraId="7FEF4370" w14:textId="32FCBC4F" w:rsidR="00956C5E" w:rsidRDefault="00956C5E" w:rsidP="001F233A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Změna </w:t>
      </w:r>
      <w:r w:rsidR="00D11B36">
        <w:rPr>
          <w:rFonts w:cs="Calibri"/>
          <w:szCs w:val="18"/>
          <w:lang w:eastAsia="en-US"/>
        </w:rPr>
        <w:t>2</w:t>
      </w:r>
      <w:r>
        <w:rPr>
          <w:rFonts w:cs="Calibri"/>
          <w:szCs w:val="18"/>
          <w:lang w:eastAsia="en-US"/>
        </w:rPr>
        <w:t>.0</w:t>
      </w:r>
      <w:r w:rsidR="001F233A">
        <w:rPr>
          <w:rFonts w:cs="Calibri"/>
          <w:szCs w:val="18"/>
          <w:lang w:eastAsia="en-US"/>
        </w:rPr>
        <w:t>5</w:t>
      </w:r>
    </w:p>
    <w:p w14:paraId="7491197F" w14:textId="342FD1D3" w:rsidR="001F233A" w:rsidRDefault="001F233A" w:rsidP="001F233A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1F233A">
        <w:rPr>
          <w:rFonts w:cs="Calibri"/>
          <w:szCs w:val="18"/>
          <w:lang w:eastAsia="en-US"/>
        </w:rPr>
        <w:t xml:space="preserve">V souběhu silnice II/497 a </w:t>
      </w:r>
      <w:proofErr w:type="spellStart"/>
      <w:r w:rsidRPr="001F233A">
        <w:rPr>
          <w:rFonts w:cs="Calibri"/>
          <w:szCs w:val="18"/>
          <w:lang w:eastAsia="en-US"/>
        </w:rPr>
        <w:t>Mistřického</w:t>
      </w:r>
      <w:proofErr w:type="spellEnd"/>
      <w:r w:rsidRPr="001F233A">
        <w:rPr>
          <w:rFonts w:cs="Calibri"/>
          <w:szCs w:val="18"/>
          <w:lang w:eastAsia="en-US"/>
        </w:rPr>
        <w:t xml:space="preserve"> potoka ve staničení stavby 1,102 - 1,278 je nutné osadit ocelové svodidlo z důvodu zajištění bezpečnosti silničního provoz</w:t>
      </w:r>
      <w:r>
        <w:rPr>
          <w:rFonts w:cs="Calibri"/>
          <w:szCs w:val="18"/>
          <w:lang w:eastAsia="en-US"/>
        </w:rPr>
        <w:t>u, které bylo p</w:t>
      </w:r>
      <w:r w:rsidRPr="001F233A">
        <w:rPr>
          <w:rFonts w:cs="Calibri"/>
          <w:szCs w:val="18"/>
          <w:lang w:eastAsia="en-US"/>
        </w:rPr>
        <w:t>ůvodně navrženo pouze v blízkosti mostu ev. č. 497-001. Po pročištění vodního toku však výška silničního tělesa a jeho sklon již vyžaduje osazení bezpečnostního zařízení</w:t>
      </w:r>
      <w:r>
        <w:rPr>
          <w:rFonts w:cs="Calibri"/>
          <w:szCs w:val="18"/>
          <w:lang w:eastAsia="en-US"/>
        </w:rPr>
        <w:t>, z toho důvodu bude o</w:t>
      </w:r>
      <w:r w:rsidRPr="001F233A">
        <w:rPr>
          <w:rFonts w:cs="Calibri"/>
          <w:szCs w:val="18"/>
          <w:lang w:eastAsia="en-US"/>
        </w:rPr>
        <w:t>celové svodidlo prodlouženo o 176,0 m.</w:t>
      </w:r>
    </w:p>
    <w:p w14:paraId="1A8A0586" w14:textId="77777777" w:rsidR="00D11B36" w:rsidRPr="00956C5E" w:rsidRDefault="00D11B36" w:rsidP="001F233A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163FE03D" w14:textId="1DDB1E0E" w:rsidR="00D11B36" w:rsidRPr="007647AC" w:rsidRDefault="00D11B36" w:rsidP="00D11B36">
      <w:pPr>
        <w:pStyle w:val="Odstavecseseznamem"/>
        <w:spacing w:before="60"/>
        <w:ind w:left="786" w:firstLine="348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7647AC">
        <w:rPr>
          <w:rFonts w:cs="Calibri"/>
          <w:szCs w:val="18"/>
          <w:u w:val="single"/>
          <w:lang w:eastAsia="en-US"/>
        </w:rPr>
        <w:t xml:space="preserve">SO </w:t>
      </w:r>
      <w:r w:rsidRPr="00D11B36">
        <w:rPr>
          <w:rFonts w:cs="Calibri"/>
          <w:szCs w:val="18"/>
          <w:u w:val="single"/>
          <w:lang w:eastAsia="en-US"/>
        </w:rPr>
        <w:t>101.02 Propustky – úsek A</w:t>
      </w:r>
    </w:p>
    <w:p w14:paraId="04855375" w14:textId="5B915596" w:rsidR="00D11B36" w:rsidRDefault="007647AC" w:rsidP="0014264D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11B36">
        <w:rPr>
          <w:rFonts w:cs="Calibri"/>
          <w:szCs w:val="18"/>
          <w:lang w:eastAsia="en-US"/>
        </w:rPr>
        <w:t>Změn</w:t>
      </w:r>
      <w:r w:rsidR="00D11B36">
        <w:rPr>
          <w:rFonts w:cs="Calibri"/>
          <w:szCs w:val="18"/>
          <w:lang w:eastAsia="en-US"/>
        </w:rPr>
        <w:t>a 2.02</w:t>
      </w:r>
    </w:p>
    <w:p w14:paraId="3A056C43" w14:textId="5D6CB737" w:rsidR="00D11B36" w:rsidRDefault="0026022B" w:rsidP="00D11B36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Při realizaci stavby b</w:t>
      </w:r>
      <w:r w:rsidR="00D11B36" w:rsidRPr="00D11B36">
        <w:rPr>
          <w:rFonts w:cs="Calibri"/>
          <w:szCs w:val="18"/>
          <w:lang w:eastAsia="en-US"/>
        </w:rPr>
        <w:t xml:space="preserve">ylo zjištěno, že propustky v km 0,764 pod vjezdem na pole a v km 0,784 pod vjezdem na čerpací stanici jsou v dobrém technické stavu a není třeba je realizovat. </w:t>
      </w:r>
      <w:r>
        <w:rPr>
          <w:rFonts w:cs="Calibri"/>
          <w:szCs w:val="18"/>
          <w:lang w:eastAsia="en-US"/>
        </w:rPr>
        <w:t>Z toho důvodu n</w:t>
      </w:r>
      <w:r w:rsidR="00D11B36" w:rsidRPr="00D11B36">
        <w:rPr>
          <w:rFonts w:cs="Calibri"/>
          <w:szCs w:val="18"/>
          <w:lang w:eastAsia="en-US"/>
        </w:rPr>
        <w:t>ebude provedeno vybourání stávajících propustků a osazení nových objektů DN 300 o délkách 7,5 m a 7,0 m.</w:t>
      </w:r>
    </w:p>
    <w:p w14:paraId="2B464757" w14:textId="77777777" w:rsidR="00EC1B73" w:rsidRDefault="00EC1B73" w:rsidP="00D11B36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E130200" w14:textId="05428C20" w:rsidR="00EC1B73" w:rsidRPr="00D7262A" w:rsidRDefault="00EC1B73" w:rsidP="00EC1B73">
      <w:pPr>
        <w:pStyle w:val="Odstavecseseznamem"/>
        <w:spacing w:before="60"/>
        <w:ind w:left="786" w:firstLine="348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EC1B73">
        <w:rPr>
          <w:rFonts w:cs="Calibri"/>
          <w:szCs w:val="18"/>
          <w:u w:val="single"/>
          <w:lang w:eastAsia="en-US"/>
        </w:rPr>
        <w:t>103 Komunikace – silnice III/49729 km 1,50</w:t>
      </w:r>
    </w:p>
    <w:p w14:paraId="52437C09" w14:textId="56137CA9" w:rsidR="00EC1B73" w:rsidRDefault="00D7262A" w:rsidP="005E22EB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C1B73">
        <w:rPr>
          <w:rFonts w:cs="Calibri"/>
          <w:szCs w:val="18"/>
          <w:lang w:eastAsia="en-US"/>
        </w:rPr>
        <w:t>Změn</w:t>
      </w:r>
      <w:r w:rsidR="00EC1B73">
        <w:rPr>
          <w:rFonts w:cs="Calibri"/>
          <w:szCs w:val="18"/>
          <w:lang w:eastAsia="en-US"/>
        </w:rPr>
        <w:t>a 2.03</w:t>
      </w:r>
    </w:p>
    <w:p w14:paraId="2132252D" w14:textId="7B1887F8" w:rsidR="00EC1B73" w:rsidRDefault="00EC1B73" w:rsidP="00EC1B7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C1B73">
        <w:rPr>
          <w:rFonts w:cs="Calibri"/>
          <w:szCs w:val="18"/>
          <w:lang w:eastAsia="en-US"/>
        </w:rPr>
        <w:t>Nebezpečný odpad měl být odvezen na řízenou skládku, neboť se předpokládalo, že se bude v konstrukci vozovky nacházet penetrační makadam se zařazením do třídy ZAS-T4. Při realizaci však bylo zjištěno, že se jedná o makadam čistý, který bude využit při stavbě</w:t>
      </w:r>
      <w:r>
        <w:rPr>
          <w:rFonts w:cs="Calibri"/>
          <w:szCs w:val="18"/>
          <w:lang w:eastAsia="en-US"/>
        </w:rPr>
        <w:t>. Z toho důvodu nebude realizován odvoz</w:t>
      </w:r>
      <w:r w:rsidRPr="00EC1B73">
        <w:rPr>
          <w:rFonts w:cs="Calibri"/>
          <w:szCs w:val="18"/>
          <w:lang w:eastAsia="en-US"/>
        </w:rPr>
        <w:t xml:space="preserve"> nebezpečn</w:t>
      </w:r>
      <w:r>
        <w:rPr>
          <w:rFonts w:cs="Calibri"/>
          <w:szCs w:val="18"/>
          <w:lang w:eastAsia="en-US"/>
        </w:rPr>
        <w:t>ého</w:t>
      </w:r>
      <w:r w:rsidRPr="00EC1B73">
        <w:rPr>
          <w:rFonts w:cs="Calibri"/>
          <w:szCs w:val="18"/>
          <w:lang w:eastAsia="en-US"/>
        </w:rPr>
        <w:t xml:space="preserve"> odpad</w:t>
      </w:r>
      <w:r>
        <w:rPr>
          <w:rFonts w:cs="Calibri"/>
          <w:szCs w:val="18"/>
          <w:lang w:eastAsia="en-US"/>
        </w:rPr>
        <w:t>u</w:t>
      </w:r>
      <w:r w:rsidRPr="00EC1B73">
        <w:rPr>
          <w:rFonts w:cs="Calibri"/>
          <w:szCs w:val="18"/>
          <w:lang w:eastAsia="en-US"/>
        </w:rPr>
        <w:t xml:space="preserve"> na skládku v </w:t>
      </w:r>
      <w:r w:rsidR="006C4A8F">
        <w:rPr>
          <w:rFonts w:cs="Calibri"/>
          <w:szCs w:val="18"/>
          <w:lang w:eastAsia="en-US"/>
        </w:rPr>
        <w:t>množství</w:t>
      </w:r>
      <w:r w:rsidRPr="00EC1B73">
        <w:rPr>
          <w:rFonts w:cs="Calibri"/>
          <w:szCs w:val="18"/>
          <w:lang w:eastAsia="en-US"/>
        </w:rPr>
        <w:t xml:space="preserve"> 20,026 t.</w:t>
      </w:r>
    </w:p>
    <w:p w14:paraId="38590E69" w14:textId="50C667C6" w:rsidR="00EC1B73" w:rsidRDefault="00EC1B73" w:rsidP="00EC1B7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C1B73">
        <w:rPr>
          <w:rFonts w:cs="Calibri"/>
          <w:szCs w:val="18"/>
          <w:lang w:eastAsia="en-US"/>
        </w:rPr>
        <w:t>Po konzultaci se zpracovatelem diagnostiky vozovky bylo konstatováno, že infiltrační postřik neplní žádnou funkci a spojení vrstev v tomto místě konstrukce vozovky není třeba zajišťovat</w:t>
      </w:r>
      <w:r>
        <w:rPr>
          <w:rFonts w:cs="Calibri"/>
          <w:szCs w:val="18"/>
          <w:lang w:eastAsia="en-US"/>
        </w:rPr>
        <w:t>, z toho důvodu n</w:t>
      </w:r>
      <w:r w:rsidRPr="00EC1B73">
        <w:rPr>
          <w:rFonts w:cs="Calibri"/>
          <w:szCs w:val="18"/>
          <w:lang w:eastAsia="en-US"/>
        </w:rPr>
        <w:t xml:space="preserve">ebude realizován </w:t>
      </w:r>
      <w:r w:rsidR="006C4A8F">
        <w:rPr>
          <w:rFonts w:cs="Calibri"/>
          <w:szCs w:val="18"/>
          <w:lang w:eastAsia="en-US"/>
        </w:rPr>
        <w:t>na ploše</w:t>
      </w:r>
      <w:r w:rsidRPr="00EC1B73">
        <w:rPr>
          <w:rFonts w:cs="Calibri"/>
          <w:szCs w:val="18"/>
          <w:lang w:eastAsia="en-US"/>
        </w:rPr>
        <w:t xml:space="preserve"> 436,8 m</w:t>
      </w:r>
      <w:r w:rsidRPr="00EC1B73">
        <w:rPr>
          <w:rFonts w:cs="Calibri"/>
          <w:szCs w:val="18"/>
          <w:vertAlign w:val="superscript"/>
          <w:lang w:eastAsia="en-US"/>
        </w:rPr>
        <w:t>2</w:t>
      </w:r>
      <w:r w:rsidRPr="00EC1B73">
        <w:rPr>
          <w:rFonts w:cs="Calibri"/>
          <w:szCs w:val="18"/>
          <w:lang w:eastAsia="en-US"/>
        </w:rPr>
        <w:t>.</w:t>
      </w:r>
    </w:p>
    <w:p w14:paraId="7C0A0FAC" w14:textId="77777777" w:rsidR="006579B4" w:rsidRDefault="006579B4" w:rsidP="00EC1B7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211390A" w14:textId="77777777" w:rsidR="006579B4" w:rsidRPr="00D7262A" w:rsidRDefault="006579B4" w:rsidP="006579B4">
      <w:pPr>
        <w:pStyle w:val="Odstavecseseznamem"/>
        <w:spacing w:before="60"/>
        <w:ind w:left="786" w:firstLine="348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>SO 201 Most 497-001</w:t>
      </w:r>
    </w:p>
    <w:p w14:paraId="07692C86" w14:textId="24A71113" w:rsidR="00D7262A" w:rsidRDefault="00D7262A" w:rsidP="00D7262A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</w:t>
      </w:r>
      <w:r w:rsidR="006579B4">
        <w:rPr>
          <w:rFonts w:cs="Calibri"/>
          <w:szCs w:val="18"/>
          <w:lang w:eastAsia="en-US"/>
        </w:rPr>
        <w:t>a 2.04</w:t>
      </w:r>
    </w:p>
    <w:p w14:paraId="5C7B5361" w14:textId="4BEE06E5" w:rsidR="006579B4" w:rsidRDefault="006579B4" w:rsidP="006579B4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6579B4">
        <w:rPr>
          <w:rFonts w:cs="Calibri"/>
          <w:szCs w:val="18"/>
          <w:lang w:eastAsia="en-US"/>
        </w:rPr>
        <w:t xml:space="preserve">Při realizaci stavebních prací </w:t>
      </w:r>
      <w:r>
        <w:rPr>
          <w:rFonts w:cs="Calibri"/>
          <w:szCs w:val="18"/>
          <w:lang w:eastAsia="en-US"/>
        </w:rPr>
        <w:t>bylo zjištěno, že není</w:t>
      </w:r>
      <w:r w:rsidRPr="006579B4">
        <w:rPr>
          <w:rFonts w:cs="Calibri"/>
          <w:szCs w:val="18"/>
          <w:lang w:eastAsia="en-US"/>
        </w:rPr>
        <w:t xml:space="preserve"> nutno osadit betonové svodidlo k oddělení silničního provozu od místa provádění prací v celé plánované délce.</w:t>
      </w:r>
    </w:p>
    <w:p w14:paraId="4D4DE04D" w14:textId="77777777" w:rsidR="006579B4" w:rsidRPr="006579B4" w:rsidRDefault="006579B4" w:rsidP="006579B4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4984A54A" w14:textId="5AAA476A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42CEF5DE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690FB6" w:rsidRPr="00690FB6">
        <w:rPr>
          <w:rFonts w:cs="Calibri"/>
          <w:szCs w:val="18"/>
          <w:lang w:eastAsia="en-US"/>
        </w:rPr>
        <w:t>214 204 885,97</w:t>
      </w:r>
      <w:r w:rsidR="00690FB6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1E3C139B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690FB6" w:rsidRPr="00690FB6">
        <w:rPr>
          <w:rFonts w:cs="Calibri"/>
          <w:szCs w:val="18"/>
          <w:lang w:eastAsia="en-US"/>
        </w:rPr>
        <w:t>44 983 026,05</w:t>
      </w:r>
      <w:r w:rsidR="00690FB6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3391A132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lastRenderedPageBreak/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690FB6" w:rsidRPr="00690FB6">
        <w:rPr>
          <w:rFonts w:cs="Calibri"/>
          <w:szCs w:val="18"/>
          <w:lang w:eastAsia="en-US"/>
        </w:rPr>
        <w:t>259 187 912,02</w:t>
      </w:r>
      <w:r w:rsidR="00690FB6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29C2F306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>
        <w:rPr>
          <w:rFonts w:cs="Calibri"/>
          <w:szCs w:val="18"/>
          <w:lang w:eastAsia="en-US"/>
        </w:rPr>
        <w:t xml:space="preserve">dvě stě </w:t>
      </w:r>
      <w:r w:rsidR="00690FB6">
        <w:rPr>
          <w:rFonts w:cs="Calibri"/>
          <w:szCs w:val="18"/>
          <w:lang w:eastAsia="en-US"/>
        </w:rPr>
        <w:t xml:space="preserve">padesát devět </w:t>
      </w:r>
      <w:r>
        <w:rPr>
          <w:rFonts w:cs="Calibri"/>
          <w:szCs w:val="18"/>
          <w:lang w:eastAsia="en-US"/>
        </w:rPr>
        <w:t>milion</w:t>
      </w:r>
      <w:r w:rsidR="00690FB6">
        <w:rPr>
          <w:rFonts w:cs="Calibri"/>
          <w:szCs w:val="18"/>
          <w:lang w:eastAsia="en-US"/>
        </w:rPr>
        <w:t>ů</w:t>
      </w:r>
      <w:r>
        <w:rPr>
          <w:rFonts w:cs="Calibri"/>
          <w:szCs w:val="18"/>
          <w:lang w:eastAsia="en-US"/>
        </w:rPr>
        <w:t xml:space="preserve"> </w:t>
      </w:r>
      <w:r w:rsidR="00690FB6">
        <w:rPr>
          <w:rFonts w:cs="Calibri"/>
          <w:szCs w:val="18"/>
          <w:lang w:eastAsia="en-US"/>
        </w:rPr>
        <w:t>sto osmdesát sedm tisíc devět</w:t>
      </w:r>
      <w:r w:rsidR="00EF4A97">
        <w:rPr>
          <w:rFonts w:cs="Calibri"/>
          <w:szCs w:val="18"/>
          <w:lang w:eastAsia="en-US"/>
        </w:rPr>
        <w:t xml:space="preserve"> set </w:t>
      </w:r>
      <w:r w:rsidR="00690FB6">
        <w:rPr>
          <w:rFonts w:cs="Calibri"/>
          <w:szCs w:val="18"/>
          <w:lang w:eastAsia="en-US"/>
        </w:rPr>
        <w:t>dvanáct</w:t>
      </w:r>
      <w:r w:rsidRPr="00A979C1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korun</w:t>
      </w:r>
      <w:r w:rsidRPr="0006354B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českých</w:t>
      </w:r>
      <w:r>
        <w:rPr>
          <w:rFonts w:cs="Calibri"/>
          <w:szCs w:val="18"/>
          <w:lang w:eastAsia="en-US"/>
        </w:rPr>
        <w:t xml:space="preserve">, </w:t>
      </w:r>
      <w:r w:rsidR="00690FB6">
        <w:rPr>
          <w:rFonts w:cs="Calibri"/>
          <w:szCs w:val="18"/>
          <w:lang w:eastAsia="en-US"/>
        </w:rPr>
        <w:t>02</w:t>
      </w:r>
      <w:r w:rsidRPr="00A979C1">
        <w:rPr>
          <w:rFonts w:cs="Calibri"/>
          <w:szCs w:val="18"/>
          <w:lang w:eastAsia="en-US"/>
        </w:rPr>
        <w:t>/100</w:t>
      </w:r>
      <w:r w:rsidRPr="00ED48A6">
        <w:rPr>
          <w:rFonts w:cs="Calibri"/>
          <w:szCs w:val="18"/>
          <w:lang w:eastAsia="en-US"/>
        </w:rPr>
        <w:t>)</w:t>
      </w:r>
    </w:p>
    <w:p w14:paraId="333A49B0" w14:textId="4B32F8EE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114D2C">
        <w:rPr>
          <w:rFonts w:cs="Calibri"/>
          <w:szCs w:val="18"/>
          <w:lang w:eastAsia="en-US"/>
        </w:rPr>
        <w:t>č. 2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70BCC743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114D2C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.01 – </w:t>
      </w:r>
      <w:r w:rsidR="00690FB6">
        <w:rPr>
          <w:rFonts w:ascii="Calibri" w:hAnsi="Calibri" w:cs="Calibri"/>
          <w:sz w:val="18"/>
          <w:szCs w:val="18"/>
        </w:rPr>
        <w:t>2.05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3B7B8EDB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114D2C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1BF2AE39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114D2C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114D2C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114D2C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47FCDBD8" w14:textId="68BA132D" w:rsidR="00E37FE7" w:rsidRPr="009129D5" w:rsidRDefault="00E37FE7" w:rsidP="00E37FE7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>dodatek S</w:t>
      </w:r>
      <w:r w:rsidRPr="009129D5">
        <w:rPr>
          <w:rFonts w:ascii="Calibri" w:hAnsi="Calibri" w:cs="Calibri"/>
          <w:sz w:val="18"/>
          <w:szCs w:val="18"/>
        </w:rPr>
        <w:t>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>dodatek S</w:t>
      </w:r>
      <w:r w:rsidRPr="009129D5">
        <w:rPr>
          <w:rFonts w:ascii="Calibri" w:hAnsi="Calibri" w:cs="Calibri"/>
          <w:sz w:val="18"/>
          <w:szCs w:val="18"/>
        </w:rPr>
        <w:t>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</w:t>
      </w:r>
      <w:r w:rsidRPr="009129D5">
        <w:rPr>
          <w:rFonts w:ascii="Calibri" w:hAnsi="Calibri" w:cs="Calibri"/>
          <w:sz w:val="18"/>
          <w:szCs w:val="18"/>
        </w:rPr>
        <w:t>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>dodatku</w:t>
      </w:r>
      <w:r w:rsidRPr="009129D5">
        <w:rPr>
          <w:rFonts w:ascii="Calibri" w:hAnsi="Calibri" w:cs="Calibri"/>
          <w:sz w:val="18"/>
          <w:szCs w:val="18"/>
        </w:rPr>
        <w:t>.</w:t>
      </w:r>
    </w:p>
    <w:bookmarkEnd w:id="0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1231C4E0" w14:textId="153548E2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  <w:r w:rsidR="00CC0881"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</w:tc>
        <w:tc>
          <w:tcPr>
            <w:tcW w:w="4553" w:type="dxa"/>
            <w:gridSpan w:val="2"/>
            <w:hideMark/>
          </w:tcPr>
          <w:p w14:paraId="6A985F1D" w14:textId="3839BD2D" w:rsidR="00206C07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  <w:r w:rsidR="00CC0881"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  <w:p w14:paraId="26E9D22F" w14:textId="5C0A8E6D" w:rsid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C06D8EC" w14:textId="4DBC89BC" w:rsidR="00C65D76" w:rsidRDefault="00C65D7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54FCCD62" w14:textId="77777777" w:rsidR="00C65D76" w:rsidRDefault="00C65D7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A5A77CE" w14:textId="301131C8" w:rsidR="00B1550E" w:rsidRPr="00B1550E" w:rsidRDefault="001F5CC5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 xml:space="preserve"> </w:t>
            </w:r>
          </w:p>
        </w:tc>
      </w:tr>
      <w:tr w:rsidR="00773481" w:rsidRPr="00ED48A6" w14:paraId="6B9E245B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06354B" w14:paraId="0748E1B3" w14:textId="77777777" w:rsidTr="0006354B">
        <w:trPr>
          <w:trHeight w:val="314"/>
        </w:trPr>
        <w:tc>
          <w:tcPr>
            <w:tcW w:w="4763" w:type="dxa"/>
            <w:gridSpan w:val="2"/>
          </w:tcPr>
          <w:p w14:paraId="013624DF" w14:textId="580F78EF" w:rsidR="0006354B" w:rsidRDefault="00152CFB">
            <w:pPr>
              <w:rPr>
                <w:lang w:eastAsia="en-US"/>
              </w:rPr>
            </w:pPr>
            <w:r>
              <w:rPr>
                <w:lang w:eastAsia="en-US"/>
              </w:rPr>
              <w:t>22.11.2024</w:t>
            </w:r>
          </w:p>
          <w:p w14:paraId="15312EF8" w14:textId="77777777" w:rsidR="0006354B" w:rsidRDefault="0006354B">
            <w:pPr>
              <w:rPr>
                <w:lang w:eastAsia="en-US"/>
              </w:rPr>
            </w:pPr>
          </w:p>
          <w:p w14:paraId="1AE39D2A" w14:textId="77777777" w:rsidR="0006354B" w:rsidRDefault="0006354B">
            <w:pPr>
              <w:rPr>
                <w:lang w:eastAsia="en-US"/>
              </w:rPr>
            </w:pPr>
          </w:p>
          <w:p w14:paraId="291114A9" w14:textId="77777777" w:rsidR="0006354B" w:rsidRDefault="0006354B">
            <w:pPr>
              <w:rPr>
                <w:lang w:eastAsia="en-US"/>
              </w:rPr>
            </w:pPr>
          </w:p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0971E10A" w14:textId="115F1356" w:rsidR="0006354B" w:rsidRDefault="00152CFB">
            <w:pPr>
              <w:rPr>
                <w:lang w:eastAsia="en-US"/>
              </w:rPr>
            </w:pPr>
            <w:r>
              <w:rPr>
                <w:lang w:eastAsia="en-US"/>
              </w:rPr>
              <w:t>21.11.2024</w:t>
            </w:r>
          </w:p>
          <w:p w14:paraId="70D2EF5C" w14:textId="77777777" w:rsidR="0006354B" w:rsidRDefault="0006354B">
            <w:pPr>
              <w:rPr>
                <w:lang w:eastAsia="en-US"/>
              </w:rPr>
            </w:pPr>
          </w:p>
          <w:p w14:paraId="673582CA" w14:textId="77777777" w:rsidR="0006354B" w:rsidRDefault="0006354B">
            <w:pPr>
              <w:rPr>
                <w:lang w:eastAsia="en-US"/>
              </w:rPr>
            </w:pPr>
          </w:p>
          <w:p w14:paraId="0AE77C71" w14:textId="77777777" w:rsidR="0006354B" w:rsidRDefault="0006354B">
            <w:pPr>
              <w:rPr>
                <w:lang w:eastAsia="en-US"/>
              </w:rPr>
            </w:pPr>
          </w:p>
          <w:p w14:paraId="6D9DB498" w14:textId="77777777" w:rsidR="0006354B" w:rsidRDefault="0006354B">
            <w:pPr>
              <w:rPr>
                <w:lang w:eastAsia="en-US"/>
              </w:rPr>
            </w:pPr>
          </w:p>
          <w:p w14:paraId="5626183D" w14:textId="77777777" w:rsidR="0006354B" w:rsidRDefault="0006354B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3085C88" w14:textId="77777777" w:rsidR="0006354B" w:rsidRDefault="000635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STRABAG a.s. </w:t>
            </w:r>
          </w:p>
          <w:p w14:paraId="52D2AAB1" w14:textId="77777777" w:rsidR="0006354B" w:rsidRDefault="0006354B">
            <w:pPr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 xml:space="preserve">Ing. Jan </w:t>
            </w:r>
            <w:proofErr w:type="spellStart"/>
            <w:r>
              <w:rPr>
                <w:rFonts w:cs="Calibri"/>
                <w:bCs/>
                <w:szCs w:val="18"/>
                <w:lang w:eastAsia="en-US"/>
              </w:rPr>
              <w:t>Hýzl</w:t>
            </w:r>
            <w:proofErr w:type="spellEnd"/>
            <w:r>
              <w:rPr>
                <w:rFonts w:cs="Calibri"/>
                <w:bCs/>
                <w:szCs w:val="18"/>
                <w:lang w:eastAsia="en-US"/>
              </w:rPr>
              <w:t>, prokurista</w:t>
            </w:r>
          </w:p>
          <w:p w14:paraId="76EB279B" w14:textId="77777777" w:rsidR="0006354B" w:rsidRDefault="0006354B">
            <w:pPr>
              <w:rPr>
                <w:lang w:eastAsia="en-US"/>
              </w:rPr>
            </w:pPr>
          </w:p>
          <w:p w14:paraId="365B674F" w14:textId="77777777" w:rsidR="0006354B" w:rsidRDefault="0006354B">
            <w:pPr>
              <w:rPr>
                <w:lang w:eastAsia="en-US"/>
              </w:rPr>
            </w:pPr>
          </w:p>
          <w:p w14:paraId="6B97213B" w14:textId="77777777" w:rsidR="0006354B" w:rsidRDefault="0006354B">
            <w:pPr>
              <w:rPr>
                <w:lang w:eastAsia="en-US"/>
              </w:rPr>
            </w:pP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59AB7E10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3D53143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373A490F" w14:textId="77777777" w:rsidR="0006354B" w:rsidRDefault="000635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STRABAG a.s. </w:t>
            </w:r>
          </w:p>
          <w:p w14:paraId="52119333" w14:textId="77777777" w:rsidR="0006354B" w:rsidRDefault="0006354B">
            <w:pPr>
              <w:rPr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Jiří Svoboda, Ph.D., prokurista</w:t>
            </w:r>
          </w:p>
        </w:tc>
      </w:tr>
      <w:tr w:rsidR="00773481" w:rsidRPr="00ED48A6" w14:paraId="53ECF23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9"/>
      <w:footerReference w:type="default" r:id="rId10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68D26" w14:textId="77777777" w:rsidR="007062F8" w:rsidRDefault="007062F8" w:rsidP="00F20287">
      <w:r>
        <w:separator/>
      </w:r>
    </w:p>
  </w:endnote>
  <w:endnote w:type="continuationSeparator" w:id="0">
    <w:p w14:paraId="16EE8AA0" w14:textId="77777777" w:rsidR="007062F8" w:rsidRDefault="007062F8" w:rsidP="00F20287">
      <w:r>
        <w:continuationSeparator/>
      </w:r>
    </w:p>
  </w:endnote>
  <w:endnote w:type="continuationNotice" w:id="1">
    <w:p w14:paraId="7E004537" w14:textId="77777777" w:rsidR="007062F8" w:rsidRDefault="00706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19A32" w14:textId="77777777" w:rsidR="007062F8" w:rsidRDefault="007062F8" w:rsidP="00F20287">
      <w:r>
        <w:separator/>
      </w:r>
    </w:p>
  </w:footnote>
  <w:footnote w:type="continuationSeparator" w:id="0">
    <w:p w14:paraId="3C2147E0" w14:textId="77777777" w:rsidR="007062F8" w:rsidRDefault="007062F8" w:rsidP="00F20287">
      <w:r>
        <w:continuationSeparator/>
      </w:r>
    </w:p>
  </w:footnote>
  <w:footnote w:type="continuationNotice" w:id="1">
    <w:p w14:paraId="1C68CFCC" w14:textId="77777777" w:rsidR="007062F8" w:rsidRDefault="00706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"/>
  </w:num>
  <w:num w:numId="3" w16cid:durableId="106514294">
    <w:abstractNumId w:val="4"/>
  </w:num>
  <w:num w:numId="4" w16cid:durableId="2058043574">
    <w:abstractNumId w:val="2"/>
  </w:num>
  <w:num w:numId="5" w16cid:durableId="103345466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0510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4D2C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2CFB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33A"/>
    <w:rsid w:val="001F29A7"/>
    <w:rsid w:val="001F2FF6"/>
    <w:rsid w:val="001F3477"/>
    <w:rsid w:val="001F3B2B"/>
    <w:rsid w:val="001F4BA7"/>
    <w:rsid w:val="001F5359"/>
    <w:rsid w:val="001F5845"/>
    <w:rsid w:val="001F5CC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022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8B5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357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579B4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0FB6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4A8F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2F8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27F0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57D3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098B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217D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5D8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0D47"/>
    <w:rsid w:val="00BD30DA"/>
    <w:rsid w:val="00BD3121"/>
    <w:rsid w:val="00BD4382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1B36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37FE7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1B73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cka@rs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2024-11-21T06:21:00Z</cp:lastPrinted>
  <dcterms:created xsi:type="dcterms:W3CDTF">2024-11-22T08:26:00Z</dcterms:created>
  <dcterms:modified xsi:type="dcterms:W3CDTF">2024-11-22T08:26:00Z</dcterms:modified>
</cp:coreProperties>
</file>