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512C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6E83E856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4B611A">
        <w:rPr>
          <w:rFonts w:ascii="Tahoma" w:hAnsi="Tahoma" w:cs="Tahoma"/>
          <w:bCs w:val="0"/>
          <w:sz w:val="28"/>
          <w:szCs w:val="28"/>
        </w:rPr>
        <w:t>DNS TČ 245</w:t>
      </w:r>
      <w:r w:rsidR="001A449F">
        <w:rPr>
          <w:rFonts w:ascii="Tahoma" w:hAnsi="Tahoma" w:cs="Tahoma"/>
          <w:bCs w:val="0"/>
          <w:sz w:val="28"/>
          <w:szCs w:val="28"/>
        </w:rPr>
        <w:t>/2024</w:t>
      </w:r>
    </w:p>
    <w:p w14:paraId="557525E6" w14:textId="77777777" w:rsidR="00D02268" w:rsidRPr="00C76F38" w:rsidRDefault="005473AD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</w:t>
      </w:r>
      <w:r w:rsidR="00D02268">
        <w:rPr>
          <w:rFonts w:ascii="Tahoma" w:hAnsi="Tahoma" w:cs="Tahoma"/>
          <w:bCs w:val="0"/>
          <w:sz w:val="28"/>
          <w:szCs w:val="28"/>
        </w:rPr>
        <w:t xml:space="preserve">, </w:t>
      </w:r>
      <w:proofErr w:type="spellStart"/>
      <w:r w:rsidR="00D02268">
        <w:rPr>
          <w:rFonts w:ascii="Tahoma" w:hAnsi="Tahoma" w:cs="Tahoma"/>
          <w:bCs w:val="0"/>
          <w:sz w:val="28"/>
          <w:szCs w:val="28"/>
        </w:rPr>
        <w:t>l.ú</w:t>
      </w:r>
      <w:proofErr w:type="spellEnd"/>
      <w:r w:rsidR="00D02268">
        <w:rPr>
          <w:rFonts w:ascii="Tahoma" w:hAnsi="Tahoma" w:cs="Tahoma"/>
          <w:bCs w:val="0"/>
          <w:sz w:val="28"/>
          <w:szCs w:val="28"/>
        </w:rPr>
        <w:t xml:space="preserve">. </w:t>
      </w:r>
      <w:r w:rsidR="00CE5018">
        <w:rPr>
          <w:rFonts w:ascii="Tahoma" w:hAnsi="Tahoma" w:cs="Tahoma"/>
          <w:bCs w:val="0"/>
          <w:sz w:val="28"/>
          <w:szCs w:val="28"/>
        </w:rPr>
        <w:t>3</w:t>
      </w:r>
    </w:p>
    <w:p w14:paraId="0A3BCFBC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39D1758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C955FB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985B3A9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94A65D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56319DE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4B611A">
        <w:rPr>
          <w:rFonts w:ascii="Tahoma" w:hAnsi="Tahoma" w:cs="Tahoma"/>
          <w:b/>
          <w:bCs/>
          <w:sz w:val="22"/>
          <w:szCs w:val="22"/>
        </w:rPr>
        <w:t>DNS TČ 245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1A449F">
        <w:rPr>
          <w:rFonts w:ascii="Tahoma" w:hAnsi="Tahoma" w:cs="Tahoma"/>
          <w:b/>
          <w:bCs/>
          <w:sz w:val="22"/>
          <w:szCs w:val="22"/>
        </w:rPr>
        <w:t>4</w:t>
      </w:r>
    </w:p>
    <w:p w14:paraId="48848F7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080F0E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0DA656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41443BFC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1BE0B4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2C2E59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9EE2952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C1380C">
        <w:rPr>
          <w:rFonts w:ascii="Tahoma" w:hAnsi="Tahoma" w:cs="Tahoma"/>
          <w:sz w:val="22"/>
          <w:szCs w:val="22"/>
        </w:rPr>
        <w:t>Quittovou</w:t>
      </w:r>
      <w:proofErr w:type="spellEnd"/>
      <w:r w:rsidR="00C1380C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30B3FE5D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4320BE2" w14:textId="44F9A719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szCs w:val="22"/>
        </w:rPr>
        <w:t>x</w:t>
      </w:r>
    </w:p>
    <w:p w14:paraId="0EFE8544" w14:textId="082E782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C2E9D">
          <w:rPr>
            <w:rFonts w:ascii="Tahoma" w:hAnsi="Tahoma" w:cs="Tahoma"/>
            <w:sz w:val="22"/>
            <w:szCs w:val="22"/>
          </w:rPr>
          <w:t>x</w:t>
        </w:r>
      </w:hyperlink>
    </w:p>
    <w:p w14:paraId="554B42F7" w14:textId="765B8E4E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szCs w:val="22"/>
        </w:rPr>
        <w:t>x</w:t>
      </w:r>
    </w:p>
    <w:p w14:paraId="4354DF96" w14:textId="15A9E59B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szCs w:val="22"/>
        </w:rPr>
        <w:t>x</w:t>
      </w:r>
    </w:p>
    <w:p w14:paraId="2A125FE0" w14:textId="198DE32A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1DF4DACF" w14:textId="752B2C24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557B0726" w14:textId="5CD867E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C2E9D">
        <w:rPr>
          <w:rFonts w:ascii="Tahoma" w:hAnsi="Tahoma" w:cs="Tahoma"/>
          <w:bCs/>
          <w:sz w:val="22"/>
          <w:szCs w:val="22"/>
        </w:rPr>
        <w:t>x</w:t>
      </w:r>
    </w:p>
    <w:p w14:paraId="6BCE0F60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B30B628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6C9061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8FC110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5473AD">
        <w:rPr>
          <w:rFonts w:ascii="Tahoma" w:hAnsi="Tahoma" w:cs="Tahoma"/>
          <w:bCs w:val="0"/>
          <w:sz w:val="22"/>
          <w:szCs w:val="22"/>
          <w:lang w:val="en-US"/>
        </w:rPr>
        <w:t>Josef Zavadil</w:t>
      </w:r>
    </w:p>
    <w:p w14:paraId="1925FD8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Rozstání 197</w:t>
      </w:r>
    </w:p>
    <w:p w14:paraId="617B0E09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lang w:bidi="en-US"/>
        </w:rPr>
        <w:t>46889001</w:t>
      </w:r>
    </w:p>
    <w:p w14:paraId="48D656BF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C7B9E">
        <w:rPr>
          <w:rFonts w:ascii="Tahoma" w:hAnsi="Tahoma" w:cs="Tahoma"/>
          <w:sz w:val="22"/>
          <w:szCs w:val="22"/>
        </w:rPr>
        <w:t>CZ5512161776</w:t>
      </w:r>
    </w:p>
    <w:p w14:paraId="61CAB14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Josef Zavadil</w:t>
      </w:r>
    </w:p>
    <w:p w14:paraId="3800E7F6" w14:textId="0DA6746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15CF8E0E" w14:textId="27F94AC1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56895FB7" w14:textId="5041159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6F29C4E5" w14:textId="74F8166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30738818" w14:textId="7C26E7F4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szCs w:val="22"/>
        </w:rPr>
        <w:t>x</w:t>
      </w:r>
    </w:p>
    <w:p w14:paraId="5B38C0C8" w14:textId="65094F2D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2B489E1C" w14:textId="034989B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C2E9D">
        <w:rPr>
          <w:rFonts w:ascii="Tahoma" w:hAnsi="Tahoma" w:cs="Tahoma"/>
          <w:sz w:val="22"/>
          <w:lang w:bidi="en-US"/>
        </w:rPr>
        <w:t>x</w:t>
      </w:r>
    </w:p>
    <w:p w14:paraId="1BE66FC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25A72A4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2ECDF8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44767A7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2603AF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0C2487B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63661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78510853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7B95548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7C09922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639E58D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62808FF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4B611A">
        <w:rPr>
          <w:rFonts w:ascii="Tahoma" w:hAnsi="Tahoma" w:cs="Tahoma"/>
          <w:b/>
          <w:bCs/>
        </w:rPr>
        <w:t>DNS TČ 245</w:t>
      </w:r>
      <w:r w:rsidR="00A92B46" w:rsidRPr="002E5DF4">
        <w:rPr>
          <w:rFonts w:ascii="Tahoma" w:hAnsi="Tahoma" w:cs="Tahoma"/>
          <w:b/>
          <w:bCs/>
        </w:rPr>
        <w:t>/202</w:t>
      </w:r>
      <w:r w:rsidR="001A449F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08EDF003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B1D609C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10FF905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7CD0FF1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8D62F9A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4BED0DA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60325A8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6C794C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31A2944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51FD57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714D165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55FC95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6BC33F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D22ACB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6492A2B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1FE3A24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AD5D595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86FBA20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71444759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372068F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30109E">
        <w:rPr>
          <w:rFonts w:ascii="Tahoma" w:hAnsi="Tahoma" w:cs="Tahoma"/>
          <w:b/>
          <w:bCs/>
          <w:sz w:val="22"/>
          <w:szCs w:val="22"/>
        </w:rPr>
        <w:t>LS Lipůvka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, lesní úsek č.</w:t>
      </w:r>
      <w:r w:rsidR="00CC0A3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02F4E">
        <w:rPr>
          <w:rFonts w:ascii="Tahoma" w:hAnsi="Tahoma" w:cs="Tahoma"/>
          <w:b/>
          <w:bCs/>
          <w:sz w:val="22"/>
          <w:szCs w:val="22"/>
        </w:rPr>
        <w:t>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8728513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C67FDAC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C7B8C2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3ABD41E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B611A">
        <w:rPr>
          <w:rFonts w:ascii="Tahoma" w:hAnsi="Tahoma" w:cs="Tahoma"/>
          <w:b/>
          <w:sz w:val="22"/>
          <w:szCs w:val="22"/>
        </w:rPr>
        <w:t>1 172 0</w:t>
      </w:r>
      <w:r w:rsidR="00F02F4E">
        <w:rPr>
          <w:rFonts w:ascii="Tahoma" w:hAnsi="Tahoma" w:cs="Tahoma"/>
          <w:b/>
          <w:sz w:val="22"/>
          <w:szCs w:val="22"/>
        </w:rPr>
        <w:t>0</w:t>
      </w:r>
      <w:r w:rsidR="00D352A8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9965DE4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89CA9ED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D2FC87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D2AF94B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4AA673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5846B94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2C3F45F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126B0446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E8F9D1D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568B3767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5D94A67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6C081F0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0E9BC9B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996D198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9F372B5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B84765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3BC2FA2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57C3FC2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5AA6AA26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6DA683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3DDF6B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54E2B9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12EBDFC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7DF5BD65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576FCA8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6BA2443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5E0E2283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5F4EE55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0C01337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3AE071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651C1D0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9850999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</w:p>
    <w:p w14:paraId="5FCE25E5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290B0F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03E0AC80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5D465EA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FAA0752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8E7BD76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114C6F">
        <w:rPr>
          <w:rFonts w:ascii="Tahoma" w:hAnsi="Tahoma" w:cs="Tahoma"/>
          <w:bCs/>
        </w:rPr>
        <w:t>Brně</w:t>
      </w:r>
    </w:p>
    <w:p w14:paraId="1D5C4EA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79414C81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920DEC8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D0F8A7A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84052C5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6B4315A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9D5FEBF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0109E">
        <w:rPr>
          <w:rFonts w:ascii="Tahoma" w:hAnsi="Tahoma" w:cs="Tahoma"/>
          <w:sz w:val="22"/>
          <w:szCs w:val="22"/>
        </w:rPr>
        <w:t>Josef Zavadil</w:t>
      </w:r>
    </w:p>
    <w:p w14:paraId="419AAFF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665C801F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5AC21B9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7965E5F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EAF23C7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FFC44C9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4BE7B56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326F6DB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49"/>
        <w:gridCol w:w="772"/>
        <w:gridCol w:w="959"/>
        <w:gridCol w:w="1134"/>
        <w:gridCol w:w="1092"/>
        <w:gridCol w:w="1186"/>
        <w:gridCol w:w="857"/>
        <w:gridCol w:w="1147"/>
        <w:gridCol w:w="1153"/>
        <w:gridCol w:w="1132"/>
        <w:gridCol w:w="2255"/>
        <w:gridCol w:w="1140"/>
        <w:gridCol w:w="965"/>
      </w:tblGrid>
      <w:tr w:rsidR="003429B0" w:rsidRPr="003429B0" w14:paraId="433BA7C5" w14:textId="77777777" w:rsidTr="00EC2E9D">
        <w:trPr>
          <w:trHeight w:val="300"/>
        </w:trPr>
        <w:tc>
          <w:tcPr>
            <w:tcW w:w="6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D925" w14:textId="77777777" w:rsidR="003429B0" w:rsidRPr="003429B0" w:rsidRDefault="003429B0" w:rsidP="003429B0">
            <w:pPr>
              <w:rPr>
                <w:rFonts w:cs="Tahoma"/>
                <w:i/>
                <w:iCs/>
                <w:color w:val="000000"/>
              </w:rPr>
            </w:pPr>
            <w:r w:rsidRPr="003429B0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3429B0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3429B0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304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A5F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5802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3B57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40B0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6FBD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A4B" w14:textId="77777777" w:rsidR="003429B0" w:rsidRPr="003429B0" w:rsidRDefault="003429B0" w:rsidP="003429B0">
            <w:pPr>
              <w:rPr>
                <w:rFonts w:cs="Tahoma"/>
                <w:color w:val="000000"/>
              </w:rPr>
            </w:pPr>
          </w:p>
        </w:tc>
      </w:tr>
      <w:tr w:rsidR="003429B0" w:rsidRPr="003429B0" w14:paraId="32F80FB8" w14:textId="77777777" w:rsidTr="00EC2E9D">
        <w:trPr>
          <w:trHeight w:val="1005"/>
        </w:trPr>
        <w:tc>
          <w:tcPr>
            <w:tcW w:w="154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2A01950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29B0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245/2024</w:t>
            </w:r>
          </w:p>
        </w:tc>
      </w:tr>
      <w:tr w:rsidR="003429B0" w:rsidRPr="003429B0" w14:paraId="7134101B" w14:textId="77777777" w:rsidTr="00EC2E9D">
        <w:trPr>
          <w:trHeight w:val="555"/>
        </w:trPr>
        <w:tc>
          <w:tcPr>
            <w:tcW w:w="4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17FD0C5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29B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3429B0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3429B0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3429B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109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F7907FB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29B0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3429B0" w:rsidRPr="003429B0" w14:paraId="5FC48C9F" w14:textId="77777777" w:rsidTr="00EC2E9D">
        <w:trPr>
          <w:trHeight w:val="31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55AD989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958552E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CC89BA8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7083CA0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20A6944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109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47536CF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EC2E9D" w:rsidRPr="003429B0" w14:paraId="49B8A69E" w14:textId="77777777" w:rsidTr="00EC2E9D">
        <w:trPr>
          <w:trHeight w:val="87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2539F68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D1724FC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BF2A6F8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6FC669D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BF96BE1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AAC5E39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A76F1F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F5EDDDD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724CD1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CF9A633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069B5D1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270CABF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C1EE797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8A76AC9" w14:textId="77777777" w:rsidR="003429B0" w:rsidRPr="003429B0" w:rsidRDefault="003429B0" w:rsidP="003429B0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29B0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EC2E9D" w:rsidRPr="003429B0" w14:paraId="1ECE2619" w14:textId="77777777" w:rsidTr="00EC2E9D">
        <w:trPr>
          <w:trHeight w:val="30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DCD02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9DFA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74E23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16C01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Oddělení 230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D39B5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3429B0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FBAE9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3429B0">
              <w:rPr>
                <w:rFonts w:cs="Tahoma"/>
                <w:color w:val="000000"/>
                <w:szCs w:val="22"/>
              </w:rPr>
              <w:t>jehlič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>./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>list.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661ACB" w14:textId="3A990FF4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61EB736" w14:textId="468626B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6767CF" w14:textId="1FF8ED4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065E32" w14:textId="21406C2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C587084" w14:textId="7FA1ABDF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1555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riziková těžba, uzavřená </w:t>
            </w:r>
            <w:proofErr w:type="gramStart"/>
            <w:r w:rsidRPr="003429B0">
              <w:rPr>
                <w:rFonts w:cs="Tahoma"/>
                <w:color w:val="000000"/>
                <w:szCs w:val="22"/>
              </w:rPr>
              <w:t>silnice  č.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 xml:space="preserve"> 739 (Svatá Kateřina, Blansko), zvýšený </w:t>
            </w:r>
            <w:proofErr w:type="spellStart"/>
            <w:r w:rsidRPr="003429B0">
              <w:rPr>
                <w:rFonts w:cs="Tahoma"/>
                <w:color w:val="000000"/>
                <w:szCs w:val="22"/>
              </w:rPr>
              <w:t>pobyb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 xml:space="preserve"> vozidel, při práci bude nutné demontovat a znovu nasazovat silniční svodidla, nesmí dojít k poškození krytu asfaltové vozovky ani svodidel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92C456" w14:textId="191EB91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69123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B83151F" w14:textId="515FD42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69123E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6221BFAA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984CD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C8EA6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D5A63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5697A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Oddělení 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0484F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3429B0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6D9A0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3429B0">
              <w:rPr>
                <w:rFonts w:cs="Tahoma"/>
                <w:color w:val="000000"/>
                <w:szCs w:val="22"/>
              </w:rPr>
              <w:t>jehlič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>./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>list.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3BB9F8B" w14:textId="019EF0EF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E46186" w14:textId="3B238A0D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7E3D34" w14:textId="25ABFF3F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FEC08B" w14:textId="652D1CDA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82D675E" w14:textId="022252D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356F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riziková těžba, uzavřená </w:t>
            </w:r>
            <w:proofErr w:type="gramStart"/>
            <w:r w:rsidRPr="003429B0">
              <w:rPr>
                <w:rFonts w:cs="Tahoma"/>
                <w:color w:val="000000"/>
                <w:szCs w:val="22"/>
              </w:rPr>
              <w:t>silnice  č.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 xml:space="preserve"> 739 (Svatá Kateřina, Blansko), zvýšený </w:t>
            </w:r>
            <w:proofErr w:type="spellStart"/>
            <w:r w:rsidRPr="003429B0">
              <w:rPr>
                <w:rFonts w:cs="Tahoma"/>
                <w:color w:val="000000"/>
                <w:szCs w:val="22"/>
              </w:rPr>
              <w:t>pobyb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 xml:space="preserve"> vozidel, při práci bude nutné demontovat a znovu nasazovat silniční </w:t>
            </w:r>
            <w:r w:rsidRPr="003429B0">
              <w:rPr>
                <w:rFonts w:cs="Tahoma"/>
                <w:color w:val="000000"/>
                <w:szCs w:val="22"/>
              </w:rPr>
              <w:lastRenderedPageBreak/>
              <w:t>svodidla, nesmí dojít k poškození krytu asfaltové vozovky ani svodidel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C8B3490" w14:textId="3963B77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69123E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36C706C" w14:textId="2017FB9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69123E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38520E24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C2D43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34A2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5142D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7D14A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Oddělení 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F3F5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104 - Vyvážení hmoty ke </w:t>
            </w:r>
            <w:proofErr w:type="spellStart"/>
            <w:r w:rsidRPr="003429B0">
              <w:rPr>
                <w:rFonts w:cs="Tahoma"/>
                <w:color w:val="000000"/>
                <w:szCs w:val="22"/>
              </w:rPr>
              <w:t>štěpkování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 xml:space="preserve"> P-OM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E98B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3429B0">
              <w:rPr>
                <w:rFonts w:cs="Tahoma"/>
                <w:color w:val="000000"/>
                <w:szCs w:val="22"/>
              </w:rPr>
              <w:t>jehlič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>./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>list.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B4AA46" w14:textId="5B7BC8F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DF50F75" w14:textId="416914F2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D5EAEAE" w14:textId="0F8C2144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602560" w14:textId="6140D759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869763" w14:textId="54EFFC8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8A34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6A7DB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 xml:space="preserve">riziková těžba, uzavřená </w:t>
            </w:r>
            <w:proofErr w:type="gramStart"/>
            <w:r w:rsidRPr="003429B0">
              <w:rPr>
                <w:rFonts w:cs="Tahoma"/>
                <w:color w:val="000000"/>
                <w:szCs w:val="22"/>
              </w:rPr>
              <w:t>silnice  č.</w:t>
            </w:r>
            <w:proofErr w:type="gramEnd"/>
            <w:r w:rsidRPr="003429B0">
              <w:rPr>
                <w:rFonts w:cs="Tahoma"/>
                <w:color w:val="000000"/>
                <w:szCs w:val="22"/>
              </w:rPr>
              <w:t xml:space="preserve"> 739 (Svatá Kateřina, Blansko), zvýšený </w:t>
            </w:r>
            <w:proofErr w:type="spellStart"/>
            <w:r w:rsidRPr="003429B0">
              <w:rPr>
                <w:rFonts w:cs="Tahoma"/>
                <w:color w:val="000000"/>
                <w:szCs w:val="22"/>
              </w:rPr>
              <w:t>pobyb</w:t>
            </w:r>
            <w:proofErr w:type="spellEnd"/>
            <w:r w:rsidRPr="003429B0">
              <w:rPr>
                <w:rFonts w:cs="Tahoma"/>
                <w:color w:val="000000"/>
                <w:szCs w:val="22"/>
              </w:rPr>
              <w:t xml:space="preserve"> vozidel, při práci bude nutné demontovat a znovu nasazovat silniční svodidla, nesmí dojít k poškození krytu asfaltové vozovky ani svodidel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D64C924" w14:textId="335B7B3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E853BC0" w14:textId="26E49FF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4791C70B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F5494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A011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D89B5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CBECC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46C95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A7A41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4DEB42" w14:textId="60E4250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6F69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6F518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989CB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C1C49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EDA9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340276" w14:textId="3A7C976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54F202B" w14:textId="7A815922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4F833CAB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8DDE6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9983A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5CC25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9926B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6E94B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4C1BB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CF9F75" w14:textId="7662D60C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5280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DEDF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1FBB2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5CBD5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9509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F63084" w14:textId="5C3582E1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DAFE224" w14:textId="3449A09D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010B195F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BB51C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DEB9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8473B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59497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352F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736CB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1E299B" w14:textId="370C4BF1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2EEE9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83AAB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38E72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079CC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1561B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51AB60" w14:textId="4E50A7B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828672E" w14:textId="261288D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035C6A16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8F3D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0EED3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AE930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4C7A4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FB02F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AD9CC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6454B9" w14:textId="7E17743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1317E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89079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4B2F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2DE1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8FC85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B058839" w14:textId="2EE35B43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E47CBA5" w14:textId="5D43A6D9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5C86F3FE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E8C1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1D7E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34889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67FFB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AC01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370DD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A19C2E6" w14:textId="7857DC6F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6BF6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9C80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7CA1A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2FC2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9F641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3D09C7A" w14:textId="66CBAA71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50FDC65" w14:textId="40A5019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6B00ADFB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4B474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FAD0E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2DF54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27952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93179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FD153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2471BD" w14:textId="5AD131EC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C62C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D68E1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14DBD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3CE9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5A03E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555910" w14:textId="4DEC470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7469CF7" w14:textId="0D5D7A3F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3AC4D05E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F78F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6F415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2987C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49F45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2EB54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CFCD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9ACD012" w14:textId="73D85A94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B7281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88F2B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D4F8F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0712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E0BE7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F73C36" w14:textId="0B2E790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CCDB5D0" w14:textId="417650A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31F499A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7A7DE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3C623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03E9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D9DD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5E08E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88ECD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F313A1" w14:textId="02D2F779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4D65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DE983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81ADE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9347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5D650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F9D486" w14:textId="6FD2F8D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35AF2BF" w14:textId="0D6C8874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59BE378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5765F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EFD0C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2A566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4105E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8D5FD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38A6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01B1EB" w14:textId="471684B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133AB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BF8C9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816A2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D31AB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B4943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8A671CC" w14:textId="1E770666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4686FF5" w14:textId="0DE8F26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E93ABDB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247C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38D80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C3DDC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1053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14C7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6E7FD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2C2204" w14:textId="63A6FAC3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21E06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AA86F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795F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1099A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306E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8D0CC9" w14:textId="65A5DAC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8304353" w14:textId="305B0F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398869F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4CF3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D747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693E1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0AC6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62213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A201B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29B507" w14:textId="47D53EB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12DA0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4354E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DD0C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DF437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C695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7D266DA" w14:textId="11229BB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DC0AC23" w14:textId="659E5FC3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4963F8D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1355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1716B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ECCA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8E3E2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F2E7A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AF011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BCA7586" w14:textId="600E9E3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B742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744AF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6CF28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A0BDC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9D062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5021355" w14:textId="08D013B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BAC85CF" w14:textId="502F3385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40384A06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0C6A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305D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23A98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2C52A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6B8EA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4BBF02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9EB879D" w14:textId="557B0DFD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BE94B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5BDB9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030E2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43157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9C00A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7D2C363" w14:textId="2AB526C1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B9EA54C" w14:textId="2CDA94C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2FE26ECD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7C93E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4403CE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2B05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446795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466E68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67D3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AFEE4C5" w14:textId="2FA89914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9B5D7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5C85E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89BE3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23E6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0149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A938ACD" w14:textId="499A63B2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940A40E" w14:textId="66AB6BCE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5D031BC0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C16D6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8F452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5D24F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EEC5F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9EC28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9A13A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F0E09C" w14:textId="51E87B5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58C94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EBD5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C1A51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E6527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F5AE0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42197AF" w14:textId="781EED0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7C5094F" w14:textId="779B11C2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6BC93CEC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4C7EE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AE0C5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1C0899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2A8C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90BF6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C346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4326AA" w14:textId="5AC3BB6A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2F1A0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06695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031C0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57C71C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7E536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B52E5F9" w14:textId="55C3C990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64D3A7A" w14:textId="48C82638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64206873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32B7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162B5A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89D000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FD3B3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D63F37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419B1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9A66AF" w14:textId="0628D93A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112C6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61F0B6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C453D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D92E2B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CD0EF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C34643" w14:textId="77777777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D6B44D7" w14:textId="6F61EA2B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73CD768" w14:textId="5DF68471" w:rsidR="00EC2E9D" w:rsidRPr="003429B0" w:rsidRDefault="00EC2E9D" w:rsidP="00EC2E9D">
            <w:pPr>
              <w:jc w:val="center"/>
              <w:rPr>
                <w:rFonts w:cs="Tahoma"/>
                <w:color w:val="000000"/>
              </w:rPr>
            </w:pPr>
            <w:r w:rsidRPr="0075283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C2E9D" w:rsidRPr="003429B0" w14:paraId="4EB3C3BE" w14:textId="77777777" w:rsidTr="00EC2E9D">
        <w:trPr>
          <w:trHeight w:val="30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40268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ED2893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3A4C3F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8BD33F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33E0DF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67B57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F69884" w14:textId="28CCEDE8" w:rsidR="003429B0" w:rsidRPr="003429B0" w:rsidRDefault="00EC2E9D" w:rsidP="003429B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45C69C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13386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82883F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1E0A9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046BF7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</w:rPr>
            </w:pPr>
            <w:r w:rsidRPr="003429B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AEC1E3" w14:textId="144544C7" w:rsidR="003429B0" w:rsidRPr="003429B0" w:rsidRDefault="00EC2E9D" w:rsidP="003429B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1511587" w14:textId="116A1DD4" w:rsidR="003429B0" w:rsidRPr="003429B0" w:rsidRDefault="00EC2E9D" w:rsidP="003429B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429B0" w:rsidRPr="003429B0" w14:paraId="06CFA8ED" w14:textId="77777777" w:rsidTr="00EC2E9D">
        <w:trPr>
          <w:trHeight w:val="315"/>
        </w:trPr>
        <w:tc>
          <w:tcPr>
            <w:tcW w:w="5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16938D9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29B0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B6BB18" w14:textId="338E737D" w:rsidR="003429B0" w:rsidRPr="003429B0" w:rsidRDefault="00EC2E9D" w:rsidP="003429B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29344E87" w14:textId="77777777" w:rsidR="003429B0" w:rsidRPr="003429B0" w:rsidRDefault="003429B0" w:rsidP="003429B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29B0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6B55D78" w14:textId="77777777" w:rsidR="003429B0" w:rsidRPr="003429B0" w:rsidRDefault="003429B0" w:rsidP="003429B0">
            <w:pPr>
              <w:jc w:val="center"/>
              <w:rPr>
                <w:rFonts w:cs="Tahoma"/>
                <w:color w:val="000000"/>
                <w:sz w:val="14"/>
                <w:szCs w:val="14"/>
              </w:rPr>
            </w:pPr>
            <w:r w:rsidRPr="003429B0">
              <w:rPr>
                <w:rFonts w:cs="Tahoma"/>
                <w:color w:val="000000"/>
                <w:sz w:val="14"/>
                <w:szCs w:val="14"/>
              </w:rPr>
              <w:t>1 172 000,00</w:t>
            </w:r>
          </w:p>
        </w:tc>
      </w:tr>
    </w:tbl>
    <w:p w14:paraId="679047E3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522CDB9" w14:textId="77777777" w:rsidR="00976F63" w:rsidRDefault="00976F63">
      <w:pPr>
        <w:spacing w:after="160" w:line="259" w:lineRule="auto"/>
        <w:rPr>
          <w:rFonts w:cs="Tahoma"/>
        </w:rPr>
      </w:pPr>
    </w:p>
    <w:p w14:paraId="433AE82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5E917F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A49BCAC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9D7C6B6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5EEFEC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3CAFBBEE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CC96B6F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2B503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16B17ED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25ABED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5E5715D1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4DECCE1D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0AC0A8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31D78C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CAFFF15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56D97B5B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05E2AC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679BCA2A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5EA79E2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F6BF3E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4B797AD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0E69E58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F97C6C3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B0E25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38E7B943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CBB05C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DD94CE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467264F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743584FB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443B7AAF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38DE5BD3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57575BC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6327D1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9F5ECB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0A87110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7AA43C1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9A2FBD5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CA3BF05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0E3F5D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045AF67A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0AE50B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A5BE86E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22F09D47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3CE740E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2246E699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5094730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FFCBA7B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D8AC372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F78C030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671A7C3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13DB1C3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66D9827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16E2BF3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3A98EFA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82DD1FA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30DD192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1B6D0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0334AD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AC9E52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E68EFF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ACADF0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3DAD28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CCB6DB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633CFC2A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5A2CCAC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192AE2A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330464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E0483B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6E3D8AE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A0672B8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746BDCA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8FDBEE6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699166A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0A1CF4F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3EF1DD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5759C1F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971EA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23B5A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A08C09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0CD2500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B5411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337E9F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317EF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785230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4181C7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C08BF7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6A742C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9BAA03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47A248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7BDCE9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7ABCF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534D42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6BC202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6A2B652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DD40D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B1748F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756CE3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58314348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4EF0961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147C17B" w14:textId="77777777" w:rsidR="00F74B0D" w:rsidRDefault="00F74B0D" w:rsidP="00620C01">
      <w:pPr>
        <w:jc w:val="center"/>
        <w:rPr>
          <w:b/>
          <w:bCs/>
        </w:rPr>
      </w:pPr>
    </w:p>
    <w:p w14:paraId="08D64D40" w14:textId="77777777" w:rsidR="00F420F8" w:rsidRDefault="00F420F8" w:rsidP="00620C01">
      <w:pPr>
        <w:jc w:val="center"/>
        <w:rPr>
          <w:b/>
          <w:bCs/>
        </w:rPr>
      </w:pPr>
    </w:p>
    <w:p w14:paraId="205E4141" w14:textId="77777777" w:rsidR="00F420F8" w:rsidRPr="00C76F38" w:rsidRDefault="00F420F8" w:rsidP="00C76F38">
      <w:pPr>
        <w:jc w:val="center"/>
        <w:rPr>
          <w:b/>
          <w:bCs/>
        </w:rPr>
      </w:pPr>
    </w:p>
    <w:p w14:paraId="5AFA2C8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A8A658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A65878B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640DAC5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7B9AA04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7604004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28CD73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4028AD2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3875AA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2AAE90D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5F6600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57CF4FB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4732623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2EEDB67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063EF2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4DBC627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E4D851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1EF84CD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6A829B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C5472D8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EC6B8D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AEBB72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259D11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AB64C0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E903E2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1EAD372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62AD7D1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64A673A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0AF718F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5A455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C5E3AAB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5FD7F25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903A427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1BBD53B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94194E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3F9702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351528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21D7D95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0B99F5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C22CA6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DBBF71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2F02D1C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A36573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31BBF0D5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212E2CA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F561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F5617">
        <w:rPr>
          <w:rFonts w:ascii="Tahoma" w:hAnsi="Tahoma" w:cs="Tahoma"/>
        </w:rPr>
      </w:r>
      <w:r w:rsidR="003F5617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7.4</w:t>
      </w:r>
      <w:r w:rsidR="003F561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F561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F5617">
        <w:rPr>
          <w:rFonts w:ascii="Tahoma" w:hAnsi="Tahoma" w:cs="Tahoma"/>
        </w:rPr>
      </w:r>
      <w:r w:rsidR="003F5617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7.5</w:t>
      </w:r>
      <w:r w:rsidR="003F561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799316D4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ADFACB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1F2B3E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6EBF48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51038C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1A5E24E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8BB3F4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3277AD4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343F943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06262C3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17B2E3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DA8037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6198C045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3C1501B1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CEEA8FD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AD5A28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0C95D8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3816C6C3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5CD3E6D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84B318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07B6D73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0C6B190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3ACA07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094335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08383F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069E33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93E519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56CD69C5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15F88D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910F3D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A66B21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0CA8D9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5A6E26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7E4754C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8BBF85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93EFC6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4065BFE7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A7FDB8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614D4DB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836AC1A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475336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F425EC5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03A8FA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1A686B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C8BBE8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81A0268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8DB522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0EBA47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5B116490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54BC167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06476523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BFFA596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9805C5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C6317F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09C79C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DF9007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492C28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1D3D4FA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42532E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21F7A9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CAF2AE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670CD7C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72BE9F4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15F0F9D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8ACF2E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DEEC32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4BC0D2E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F68DDB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350F570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288995CF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1000m, ale v obtížných lokalitách i více než 1000m (vzdálenost větší než 1000m doporučuje zadavatel nacenit jako kategorii vzdálenosti 1000m.</w:t>
      </w:r>
    </w:p>
    <w:p w14:paraId="4144F4E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D730494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10835505" w14:textId="77777777" w:rsidR="00650B56" w:rsidRPr="00604865" w:rsidRDefault="00650B56" w:rsidP="00650B56">
      <w:pPr>
        <w:rPr>
          <w:rFonts w:cs="Tahoma"/>
        </w:rPr>
      </w:pPr>
    </w:p>
    <w:p w14:paraId="19615D9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75002E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38B65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B6523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E7C9E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E07AE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7D826AA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5048C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505189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8E37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004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7C49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201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CD430F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3676CB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1C375F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29230F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D6D6D9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1114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4BDD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58996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4D9B7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E51963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0AFCBD7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CFD06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F108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EFF3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6F27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4521E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C335B7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94899F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14708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2293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2846A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E789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9C022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0AB07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2207E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39280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49BC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15C28D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3C440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AD971D5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F0ED0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FC291C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5FE7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43C04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334C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1981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7E4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5A1383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F621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170C4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2023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1EC16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33FE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AA461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397B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B48360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4CF43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4F41EE2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F5AE2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9F05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9A7E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057B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0AF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46B678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7704F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6AB84BA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3A79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5B4E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2CFE3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C6718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A2092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E97386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A5BA62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29010A3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F2C6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BC2EF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619C7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0BC04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FB09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98F0B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A57F7F1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BCFD9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7FE094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9E99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86522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0A9AC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DE195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22765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6DFAFA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2421EF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3DABA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F543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3BAD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48DD90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0CC1538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056F5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09F9B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BE17A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79D6B34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D26A36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E58580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E36C14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5A11FC0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14BDE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6A8336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DC8043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5711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3E42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F8F0E0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E19FF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4678475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0F551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5822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63D7B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BE99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E10D4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C531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1878E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E33E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0FD3A71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BE30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5807E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833FB7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D43CA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C3D1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7F5475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635025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AA880A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4D5B67F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46B079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404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BBB7D9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2CCDBF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1EB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379E5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C35E3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02CE5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76B3597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97D07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A2D7F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E44DBA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AC62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543C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C959CE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2B1553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81EC5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F96DA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375B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BB345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6790E22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C41244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A1962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AD377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DA1D68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4AEB30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D162AA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66ECA6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3573EF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5182F86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6B923" w14:textId="77777777" w:rsidR="00083493" w:rsidRDefault="00083493">
      <w:r>
        <w:separator/>
      </w:r>
    </w:p>
  </w:endnote>
  <w:endnote w:type="continuationSeparator" w:id="0">
    <w:p w14:paraId="486EBB11" w14:textId="77777777" w:rsidR="00083493" w:rsidRDefault="000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7BD31D28" w14:textId="77777777" w:rsidR="00922ED6" w:rsidRDefault="003429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282DC" w14:textId="77777777" w:rsidR="00922ED6" w:rsidRDefault="00922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45C7F" w14:textId="77777777" w:rsidR="00083493" w:rsidRDefault="00083493">
      <w:r>
        <w:separator/>
      </w:r>
    </w:p>
  </w:footnote>
  <w:footnote w:type="continuationSeparator" w:id="0">
    <w:p w14:paraId="61493B3A" w14:textId="77777777" w:rsidR="00083493" w:rsidRDefault="00083493">
      <w:r>
        <w:continuationSeparator/>
      </w:r>
    </w:p>
  </w:footnote>
  <w:footnote w:id="1">
    <w:p w14:paraId="27B818D2" w14:textId="77777777" w:rsidR="00922ED6" w:rsidRDefault="00922ED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996686506">
    <w:abstractNumId w:val="15"/>
  </w:num>
  <w:num w:numId="2" w16cid:durableId="602885235">
    <w:abstractNumId w:val="22"/>
  </w:num>
  <w:num w:numId="3" w16cid:durableId="50421033">
    <w:abstractNumId w:val="16"/>
  </w:num>
  <w:num w:numId="4" w16cid:durableId="846595590">
    <w:abstractNumId w:val="10"/>
  </w:num>
  <w:num w:numId="5" w16cid:durableId="1392385010">
    <w:abstractNumId w:val="25"/>
  </w:num>
  <w:num w:numId="6" w16cid:durableId="1100564839">
    <w:abstractNumId w:val="11"/>
  </w:num>
  <w:num w:numId="7" w16cid:durableId="855463487">
    <w:abstractNumId w:val="34"/>
  </w:num>
  <w:num w:numId="8" w16cid:durableId="1903828203">
    <w:abstractNumId w:val="19"/>
  </w:num>
  <w:num w:numId="9" w16cid:durableId="766928704">
    <w:abstractNumId w:val="24"/>
  </w:num>
  <w:num w:numId="10" w16cid:durableId="2073113051">
    <w:abstractNumId w:val="5"/>
  </w:num>
  <w:num w:numId="11" w16cid:durableId="462306672">
    <w:abstractNumId w:val="1"/>
  </w:num>
  <w:num w:numId="12" w16cid:durableId="1084493416">
    <w:abstractNumId w:val="26"/>
  </w:num>
  <w:num w:numId="13" w16cid:durableId="1699702446">
    <w:abstractNumId w:val="37"/>
  </w:num>
  <w:num w:numId="14" w16cid:durableId="956571134">
    <w:abstractNumId w:val="29"/>
  </w:num>
  <w:num w:numId="15" w16cid:durableId="2057047156">
    <w:abstractNumId w:val="23"/>
  </w:num>
  <w:num w:numId="16" w16cid:durableId="155263123">
    <w:abstractNumId w:val="30"/>
  </w:num>
  <w:num w:numId="17" w16cid:durableId="1857888400">
    <w:abstractNumId w:val="13"/>
  </w:num>
  <w:num w:numId="18" w16cid:durableId="864439958">
    <w:abstractNumId w:val="27"/>
  </w:num>
  <w:num w:numId="19" w16cid:durableId="1137067506">
    <w:abstractNumId w:val="12"/>
  </w:num>
  <w:num w:numId="20" w16cid:durableId="501090006">
    <w:abstractNumId w:val="36"/>
  </w:num>
  <w:num w:numId="21" w16cid:durableId="286356453">
    <w:abstractNumId w:val="6"/>
  </w:num>
  <w:num w:numId="22" w16cid:durableId="848713240">
    <w:abstractNumId w:val="7"/>
  </w:num>
  <w:num w:numId="23" w16cid:durableId="1846699600">
    <w:abstractNumId w:val="21"/>
  </w:num>
  <w:num w:numId="24" w16cid:durableId="1025324787">
    <w:abstractNumId w:val="4"/>
  </w:num>
  <w:num w:numId="25" w16cid:durableId="1965766850">
    <w:abstractNumId w:val="3"/>
  </w:num>
  <w:num w:numId="26" w16cid:durableId="322666242">
    <w:abstractNumId w:val="14"/>
  </w:num>
  <w:num w:numId="27" w16cid:durableId="1434596693">
    <w:abstractNumId w:val="0"/>
  </w:num>
  <w:num w:numId="28" w16cid:durableId="1976763395">
    <w:abstractNumId w:val="31"/>
  </w:num>
  <w:num w:numId="29" w16cid:durableId="371657111">
    <w:abstractNumId w:val="8"/>
  </w:num>
  <w:num w:numId="30" w16cid:durableId="1130975930">
    <w:abstractNumId w:val="18"/>
  </w:num>
  <w:num w:numId="31" w16cid:durableId="2006128201">
    <w:abstractNumId w:val="20"/>
  </w:num>
  <w:num w:numId="32" w16cid:durableId="2134668093">
    <w:abstractNumId w:val="32"/>
  </w:num>
  <w:num w:numId="33" w16cid:durableId="1403142977">
    <w:abstractNumId w:val="28"/>
  </w:num>
  <w:num w:numId="34" w16cid:durableId="1470169834">
    <w:abstractNumId w:val="17"/>
  </w:num>
  <w:num w:numId="35" w16cid:durableId="646520793">
    <w:abstractNumId w:val="33"/>
  </w:num>
  <w:num w:numId="36" w16cid:durableId="420182148">
    <w:abstractNumId w:val="9"/>
  </w:num>
  <w:num w:numId="37" w16cid:durableId="1908805428">
    <w:abstractNumId w:val="35"/>
  </w:num>
  <w:num w:numId="38" w16cid:durableId="50274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351B"/>
    <w:rsid w:val="00074D6B"/>
    <w:rsid w:val="00083493"/>
    <w:rsid w:val="0009613C"/>
    <w:rsid w:val="00097CB5"/>
    <w:rsid w:val="000A4A2E"/>
    <w:rsid w:val="000B36D9"/>
    <w:rsid w:val="000B42A1"/>
    <w:rsid w:val="000B4838"/>
    <w:rsid w:val="000D1FB2"/>
    <w:rsid w:val="000D745C"/>
    <w:rsid w:val="000E25F6"/>
    <w:rsid w:val="000E2A76"/>
    <w:rsid w:val="000F21CC"/>
    <w:rsid w:val="00114C6F"/>
    <w:rsid w:val="00123A98"/>
    <w:rsid w:val="00132BBB"/>
    <w:rsid w:val="00177B2B"/>
    <w:rsid w:val="0018311E"/>
    <w:rsid w:val="001A449F"/>
    <w:rsid w:val="001C7B9E"/>
    <w:rsid w:val="001F0CA7"/>
    <w:rsid w:val="00215A03"/>
    <w:rsid w:val="00221C5D"/>
    <w:rsid w:val="002367C4"/>
    <w:rsid w:val="00246F22"/>
    <w:rsid w:val="002569D7"/>
    <w:rsid w:val="0026399E"/>
    <w:rsid w:val="002734E5"/>
    <w:rsid w:val="0027602E"/>
    <w:rsid w:val="002A5D44"/>
    <w:rsid w:val="002B758D"/>
    <w:rsid w:val="002D5D25"/>
    <w:rsid w:val="002E57A9"/>
    <w:rsid w:val="002E5DF4"/>
    <w:rsid w:val="002F6983"/>
    <w:rsid w:val="0030109E"/>
    <w:rsid w:val="00317A29"/>
    <w:rsid w:val="00341B28"/>
    <w:rsid w:val="003429B0"/>
    <w:rsid w:val="00351F0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3F5617"/>
    <w:rsid w:val="004150FE"/>
    <w:rsid w:val="00442F4B"/>
    <w:rsid w:val="00445F23"/>
    <w:rsid w:val="0048208C"/>
    <w:rsid w:val="004871E3"/>
    <w:rsid w:val="004931EE"/>
    <w:rsid w:val="004B611A"/>
    <w:rsid w:val="004E3E82"/>
    <w:rsid w:val="005145D9"/>
    <w:rsid w:val="00517458"/>
    <w:rsid w:val="00540ED2"/>
    <w:rsid w:val="00542645"/>
    <w:rsid w:val="005473AD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6834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72555B"/>
    <w:rsid w:val="007264AC"/>
    <w:rsid w:val="007478C3"/>
    <w:rsid w:val="00767CB0"/>
    <w:rsid w:val="00782DD6"/>
    <w:rsid w:val="007A3749"/>
    <w:rsid w:val="007A4297"/>
    <w:rsid w:val="007A6A12"/>
    <w:rsid w:val="007A6A44"/>
    <w:rsid w:val="007B4255"/>
    <w:rsid w:val="007D748C"/>
    <w:rsid w:val="007D7C00"/>
    <w:rsid w:val="007E1FCC"/>
    <w:rsid w:val="007F4B88"/>
    <w:rsid w:val="007F4DEC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B5582"/>
    <w:rsid w:val="008C294F"/>
    <w:rsid w:val="008E542B"/>
    <w:rsid w:val="008F7C8B"/>
    <w:rsid w:val="00901F7B"/>
    <w:rsid w:val="00905B6D"/>
    <w:rsid w:val="009105DA"/>
    <w:rsid w:val="00911579"/>
    <w:rsid w:val="00922ED6"/>
    <w:rsid w:val="009307AE"/>
    <w:rsid w:val="00933764"/>
    <w:rsid w:val="00967243"/>
    <w:rsid w:val="00976F63"/>
    <w:rsid w:val="009A0679"/>
    <w:rsid w:val="009C1838"/>
    <w:rsid w:val="009C29B2"/>
    <w:rsid w:val="009E53A4"/>
    <w:rsid w:val="00A0115C"/>
    <w:rsid w:val="00A04EBA"/>
    <w:rsid w:val="00A23DA7"/>
    <w:rsid w:val="00A27398"/>
    <w:rsid w:val="00A30FA4"/>
    <w:rsid w:val="00A32A01"/>
    <w:rsid w:val="00A43FCF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7A0"/>
    <w:rsid w:val="00B823DC"/>
    <w:rsid w:val="00B839D9"/>
    <w:rsid w:val="00BB11F9"/>
    <w:rsid w:val="00BB49C9"/>
    <w:rsid w:val="00BC638A"/>
    <w:rsid w:val="00BD3D47"/>
    <w:rsid w:val="00C066D5"/>
    <w:rsid w:val="00C073F1"/>
    <w:rsid w:val="00C12AD5"/>
    <w:rsid w:val="00C1380C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E5018"/>
    <w:rsid w:val="00D00F39"/>
    <w:rsid w:val="00D02268"/>
    <w:rsid w:val="00D352A8"/>
    <w:rsid w:val="00D52F2C"/>
    <w:rsid w:val="00D61405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38BE"/>
    <w:rsid w:val="00E476E4"/>
    <w:rsid w:val="00E511A4"/>
    <w:rsid w:val="00E51869"/>
    <w:rsid w:val="00E67660"/>
    <w:rsid w:val="00E812CD"/>
    <w:rsid w:val="00E92DAB"/>
    <w:rsid w:val="00EA2A5C"/>
    <w:rsid w:val="00EC047D"/>
    <w:rsid w:val="00EC2724"/>
    <w:rsid w:val="00EC2E9D"/>
    <w:rsid w:val="00EE3CFD"/>
    <w:rsid w:val="00EF4A7B"/>
    <w:rsid w:val="00EF5E3C"/>
    <w:rsid w:val="00F02F4E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20A"/>
    <w:rsid w:val="00FA19E8"/>
    <w:rsid w:val="00FA73CD"/>
    <w:rsid w:val="00FC4D0D"/>
    <w:rsid w:val="00FD1E67"/>
    <w:rsid w:val="00FE31EF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BE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6856-6815-4784-A521-A638F89B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12348</Words>
  <Characters>72856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2024-10-18T10:57:00Z</dcterms:modified>
</cp:coreProperties>
</file>