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E7CD9" w14:textId="77777777" w:rsidR="00436B20" w:rsidRPr="00275210" w:rsidRDefault="00436B20" w:rsidP="00275210">
      <w:pPr>
        <w:pStyle w:val="Bezmezer"/>
        <w:spacing w:after="120"/>
        <w:jc w:val="center"/>
        <w:rPr>
          <w:rFonts w:cstheme="minorHAnsi"/>
          <w:b/>
        </w:rPr>
      </w:pPr>
      <w:bookmarkStart w:id="0" w:name="_GoBack"/>
      <w:bookmarkEnd w:id="0"/>
    </w:p>
    <w:p w14:paraId="6E98A4D4" w14:textId="3D7EE3E6" w:rsidR="000900AF" w:rsidRPr="00275210" w:rsidRDefault="00C55C93" w:rsidP="00275210">
      <w:pPr>
        <w:pStyle w:val="Bezmezer"/>
        <w:spacing w:after="120"/>
        <w:jc w:val="center"/>
        <w:rPr>
          <w:rFonts w:cstheme="minorHAnsi"/>
          <w:b/>
        </w:rPr>
      </w:pPr>
      <w:r w:rsidRPr="00275210">
        <w:rPr>
          <w:rFonts w:cstheme="minorHAnsi"/>
          <w:b/>
        </w:rPr>
        <w:t xml:space="preserve">DODATEK č. </w:t>
      </w:r>
      <w:r w:rsidR="00744ABF" w:rsidRPr="00275210">
        <w:rPr>
          <w:rFonts w:cstheme="minorHAnsi"/>
          <w:b/>
        </w:rPr>
        <w:t>1</w:t>
      </w:r>
      <w:r w:rsidRPr="00275210">
        <w:rPr>
          <w:rFonts w:cstheme="minorHAnsi"/>
          <w:b/>
        </w:rPr>
        <w:t xml:space="preserve"> </w:t>
      </w:r>
    </w:p>
    <w:p w14:paraId="562CF1B1" w14:textId="7A7F6596" w:rsidR="00744ABF" w:rsidRPr="00275210" w:rsidRDefault="00744ABF" w:rsidP="002752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3" w:hanging="567"/>
        <w:jc w:val="center"/>
        <w:rPr>
          <w:rFonts w:cstheme="minorHAnsi"/>
          <w:b/>
          <w:color w:val="000000"/>
        </w:rPr>
      </w:pPr>
      <w:r w:rsidRPr="00275210">
        <w:rPr>
          <w:rFonts w:cstheme="minorHAnsi"/>
          <w:b/>
          <w:color w:val="000000"/>
        </w:rPr>
        <w:t>ke Smlouvě o dílo</w:t>
      </w:r>
    </w:p>
    <w:p w14:paraId="2365E27C" w14:textId="05525DE2" w:rsidR="00744ABF" w:rsidRDefault="00744ABF" w:rsidP="002752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3" w:hanging="567"/>
        <w:jc w:val="center"/>
        <w:rPr>
          <w:rFonts w:cstheme="minorHAnsi"/>
          <w:b/>
          <w:color w:val="000000"/>
        </w:rPr>
      </w:pPr>
      <w:r w:rsidRPr="00275210">
        <w:rPr>
          <w:rFonts w:cstheme="minorHAnsi"/>
          <w:b/>
          <w:color w:val="000000"/>
        </w:rPr>
        <w:t xml:space="preserve"> číslo objednatele: 37/391/2024, č.j. NPU-391/68747/2024, číslo zhotovitele: 5068</w:t>
      </w:r>
    </w:p>
    <w:p w14:paraId="0D19738E" w14:textId="2060A276" w:rsidR="00A0340D" w:rsidRPr="00275210" w:rsidRDefault="00A0340D" w:rsidP="002752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3" w:hanging="567"/>
        <w:jc w:val="center"/>
        <w:rPr>
          <w:rFonts w:cstheme="minorHAnsi"/>
          <w:color w:val="FF0000"/>
        </w:rPr>
      </w:pPr>
      <w:r>
        <w:rPr>
          <w:rFonts w:cstheme="minorHAnsi"/>
          <w:b/>
          <w:color w:val="000000"/>
        </w:rPr>
        <w:t>(dále „Dodatek“)</w:t>
      </w:r>
    </w:p>
    <w:p w14:paraId="00F9BCE3" w14:textId="77777777" w:rsidR="00C55C93" w:rsidRPr="00275210" w:rsidRDefault="00C55C93" w:rsidP="00275210">
      <w:pPr>
        <w:pStyle w:val="Bezmezer"/>
        <w:jc w:val="center"/>
        <w:rPr>
          <w:rFonts w:cstheme="minorHAnsi"/>
          <w:b/>
        </w:rPr>
      </w:pPr>
    </w:p>
    <w:p w14:paraId="626AAAA0" w14:textId="77777777" w:rsidR="00744ABF" w:rsidRPr="008A665E" w:rsidRDefault="00744ABF" w:rsidP="00275210">
      <w:pPr>
        <w:pStyle w:val="Bezmezer"/>
        <w:rPr>
          <w:b/>
        </w:rPr>
      </w:pPr>
      <w:r w:rsidRPr="008A665E">
        <w:rPr>
          <w:b/>
        </w:rPr>
        <w:t>Národní památkový ústav, státní příspěvková organizace</w:t>
      </w:r>
    </w:p>
    <w:p w14:paraId="3120A746" w14:textId="77777777" w:rsidR="00744ABF" w:rsidRPr="00275210" w:rsidRDefault="00744ABF" w:rsidP="00275210">
      <w:pPr>
        <w:pStyle w:val="Bezmezer"/>
      </w:pPr>
      <w:r w:rsidRPr="00275210">
        <w:t>IČO: 75032333, DIČ: CZ75032333</w:t>
      </w:r>
    </w:p>
    <w:p w14:paraId="4CBDF887" w14:textId="77777777" w:rsidR="00744ABF" w:rsidRPr="00275210" w:rsidRDefault="00744ABF" w:rsidP="00275210">
      <w:pPr>
        <w:pStyle w:val="Bezmezer"/>
      </w:pPr>
      <w:r w:rsidRPr="00275210">
        <w:t>se sídlem Valdštejnské náměstí 162/3, 118 01 Praha 1 - Malá Strana</w:t>
      </w:r>
    </w:p>
    <w:p w14:paraId="2EF4338D" w14:textId="77777777" w:rsidR="00744ABF" w:rsidRPr="00275210" w:rsidRDefault="00744ABF" w:rsidP="00275210">
      <w:pPr>
        <w:pStyle w:val="Bezmezer"/>
      </w:pPr>
      <w:r w:rsidRPr="00275210">
        <w:t>zastoupen: Mgr. František Chupík, Ph.D., ředitelem územního odborného pracoviště v Olomouci</w:t>
      </w:r>
    </w:p>
    <w:p w14:paraId="696A8043" w14:textId="77777777" w:rsidR="00744ABF" w:rsidRPr="00275210" w:rsidRDefault="00744ABF" w:rsidP="00275210">
      <w:pPr>
        <w:pStyle w:val="Bezmezer"/>
      </w:pPr>
      <w:r w:rsidRPr="00275210">
        <w:t>bankovní spojení: Česká národní banka, č. ú.: 910004-60039011/0710</w:t>
      </w:r>
    </w:p>
    <w:p w14:paraId="35C77497" w14:textId="77777777" w:rsidR="00744ABF" w:rsidRPr="00275210" w:rsidRDefault="00744ABF" w:rsidP="00275210">
      <w:pPr>
        <w:pStyle w:val="Bezmezer"/>
      </w:pPr>
      <w:r w:rsidRPr="00275210">
        <w:rPr>
          <w:i/>
        </w:rPr>
        <w:t>zástupce pro věcná jednání: Mgr. František Chupík, Ph.D., 724 096 184, chupik.frantisek@npu.cz (dále jen „Zástupce objednatele“)</w:t>
      </w:r>
    </w:p>
    <w:p w14:paraId="3FD08E10" w14:textId="77777777" w:rsidR="00744ABF" w:rsidRPr="00275210" w:rsidRDefault="00744ABF" w:rsidP="00275210">
      <w:pPr>
        <w:pStyle w:val="Bezmezer"/>
        <w:rPr>
          <w:u w:val="single"/>
        </w:rPr>
      </w:pPr>
      <w:r w:rsidRPr="00275210">
        <w:rPr>
          <w:u w:val="single"/>
        </w:rPr>
        <w:t>Doručovací adresa:</w:t>
      </w:r>
    </w:p>
    <w:p w14:paraId="3EE6C10C" w14:textId="77777777" w:rsidR="00744ABF" w:rsidRPr="00275210" w:rsidRDefault="00744ABF" w:rsidP="00275210">
      <w:pPr>
        <w:pStyle w:val="Bezmezer"/>
      </w:pPr>
      <w:r w:rsidRPr="00275210">
        <w:t>Národní památkový ústav, územní odborné pracoviště v Olomouci</w:t>
      </w:r>
    </w:p>
    <w:p w14:paraId="3588BCE8" w14:textId="77777777" w:rsidR="00744ABF" w:rsidRPr="00275210" w:rsidRDefault="00744ABF" w:rsidP="00275210">
      <w:pPr>
        <w:pStyle w:val="Bezmezer"/>
        <w:rPr>
          <w:highlight w:val="lightGray"/>
        </w:rPr>
      </w:pPr>
      <w:r w:rsidRPr="00275210">
        <w:t>adresa: Horní náměstí 25, 779 00 Olomouc</w:t>
      </w:r>
    </w:p>
    <w:p w14:paraId="59C3D810" w14:textId="77777777" w:rsidR="00744ABF" w:rsidRPr="00275210" w:rsidRDefault="00744ABF" w:rsidP="00275210">
      <w:pPr>
        <w:pStyle w:val="Bezmezer"/>
      </w:pPr>
      <w:r w:rsidRPr="00275210">
        <w:t>(dále jen „Objednatel“)</w:t>
      </w:r>
    </w:p>
    <w:p w14:paraId="4944B81A" w14:textId="77777777" w:rsidR="00744ABF" w:rsidRPr="00275210" w:rsidRDefault="00744ABF" w:rsidP="00275210">
      <w:pPr>
        <w:pStyle w:val="Bezmezer"/>
      </w:pPr>
    </w:p>
    <w:p w14:paraId="6C579290" w14:textId="77777777" w:rsidR="00744ABF" w:rsidRPr="00275210" w:rsidRDefault="00744ABF" w:rsidP="00275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color w:val="000000"/>
        </w:rPr>
      </w:pPr>
      <w:r w:rsidRPr="00275210">
        <w:rPr>
          <w:rFonts w:cstheme="minorHAnsi"/>
          <w:color w:val="000000"/>
        </w:rPr>
        <w:t>a</w:t>
      </w:r>
    </w:p>
    <w:p w14:paraId="769E8556" w14:textId="77777777" w:rsidR="00744ABF" w:rsidRPr="00275210" w:rsidRDefault="00744ABF" w:rsidP="0027521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703" w:hanging="567"/>
        <w:rPr>
          <w:rFonts w:cstheme="minorHAnsi"/>
          <w:color w:val="000000"/>
        </w:rPr>
      </w:pPr>
    </w:p>
    <w:p w14:paraId="3A6E2B27" w14:textId="3A632690" w:rsidR="00744ABF" w:rsidRPr="008A665E" w:rsidRDefault="00744ABF" w:rsidP="00275210">
      <w:pPr>
        <w:pStyle w:val="Bezmezer"/>
        <w:rPr>
          <w:b/>
        </w:rPr>
      </w:pPr>
      <w:r w:rsidRPr="008A665E">
        <w:rPr>
          <w:b/>
        </w:rPr>
        <w:t xml:space="preserve">společnost </w:t>
      </w:r>
      <w:r w:rsidR="00B9711E">
        <w:rPr>
          <w:b/>
        </w:rPr>
        <w:t xml:space="preserve">KAMI - </w:t>
      </w:r>
      <w:r w:rsidRPr="008A665E">
        <w:rPr>
          <w:b/>
        </w:rPr>
        <w:t>BBP group</w:t>
      </w:r>
    </w:p>
    <w:p w14:paraId="2F7A5B33" w14:textId="26278FB2" w:rsidR="00744ABF" w:rsidRPr="00275210" w:rsidRDefault="00B9711E" w:rsidP="00275210">
      <w:pPr>
        <w:pStyle w:val="Bezmezer"/>
        <w:rPr>
          <w:bCs/>
        </w:rPr>
      </w:pPr>
      <w:r w:rsidRPr="00B9711E">
        <w:rPr>
          <w:rFonts w:cstheme="minorHAnsi"/>
          <w:bCs/>
          <w:szCs w:val="28"/>
        </w:rPr>
        <w:t>S</w:t>
      </w:r>
      <w:r w:rsidRPr="00B9711E">
        <w:rPr>
          <w:rFonts w:ascii="Calibri" w:hAnsi="Calibri" w:cs="Calibri"/>
          <w:bCs/>
        </w:rPr>
        <w:t xml:space="preserve">pojů 835/2, </w:t>
      </w:r>
      <w:r>
        <w:rPr>
          <w:rFonts w:ascii="Calibri" w:hAnsi="Calibri" w:cs="Calibri"/>
          <w:bCs/>
        </w:rPr>
        <w:t>Ostrava-</w:t>
      </w:r>
      <w:r w:rsidRPr="00B9711E">
        <w:rPr>
          <w:rFonts w:ascii="Calibri" w:hAnsi="Calibri" w:cs="Calibri"/>
          <w:bCs/>
        </w:rPr>
        <w:t>Poruba, 708 00</w:t>
      </w:r>
    </w:p>
    <w:p w14:paraId="040979D0" w14:textId="77777777" w:rsidR="00744ABF" w:rsidRPr="00275210" w:rsidRDefault="00744ABF" w:rsidP="00275210">
      <w:pPr>
        <w:pStyle w:val="Bezmezer"/>
      </w:pPr>
    </w:p>
    <w:p w14:paraId="233D15DE" w14:textId="77777777" w:rsidR="00B9711E" w:rsidRPr="00275210" w:rsidRDefault="00744ABF" w:rsidP="00B9711E">
      <w:pPr>
        <w:pStyle w:val="Bezmezer"/>
      </w:pPr>
      <w:r w:rsidRPr="00275210">
        <w:t xml:space="preserve">vedoucí společník: </w:t>
      </w:r>
      <w:r w:rsidR="00B9711E" w:rsidRPr="00275210">
        <w:t>KAMI PROFIT, s.r.o.</w:t>
      </w:r>
    </w:p>
    <w:p w14:paraId="0084B1F3" w14:textId="1B556986" w:rsidR="00B9711E" w:rsidRDefault="00B9711E" w:rsidP="00B9711E">
      <w:pPr>
        <w:pStyle w:val="Bezmezer"/>
        <w:rPr>
          <w:bCs/>
        </w:rPr>
      </w:pPr>
      <w:r w:rsidRPr="00275210">
        <w:rPr>
          <w:bCs/>
        </w:rPr>
        <w:t xml:space="preserve">Pri starom letisku 9219/17, Bratislava, Slovenská republika, </w:t>
      </w:r>
      <w:r>
        <w:rPr>
          <w:bCs/>
        </w:rPr>
        <w:t>I</w:t>
      </w:r>
      <w:r w:rsidRPr="00275210">
        <w:rPr>
          <w:bCs/>
        </w:rPr>
        <w:t>Č: 35943301</w:t>
      </w:r>
    </w:p>
    <w:p w14:paraId="2F4CC024" w14:textId="6A37510A" w:rsidR="00B9711E" w:rsidRPr="00B9711E" w:rsidRDefault="00B9711E" w:rsidP="00B9711E">
      <w:pPr>
        <w:pStyle w:val="Bezmezer"/>
        <w:spacing w:before="120"/>
        <w:rPr>
          <w:rFonts w:ascii="Calibri" w:hAnsi="Calibri" w:cs="Calibri"/>
          <w:bCs/>
        </w:rPr>
      </w:pPr>
      <w:r>
        <w:rPr>
          <w:bCs/>
        </w:rPr>
        <w:t>j</w:t>
      </w:r>
      <w:r w:rsidRPr="00B9711E">
        <w:rPr>
          <w:bCs/>
        </w:rPr>
        <w:t xml:space="preserve">ednající prostřednictvím </w:t>
      </w:r>
      <w:r w:rsidRPr="00B9711E">
        <w:rPr>
          <w:rFonts w:ascii="Calibri" w:hAnsi="Calibri" w:cs="Calibri"/>
          <w:bCs/>
        </w:rPr>
        <w:t>KAMI PROFIT, s.r.o., odšt</w:t>
      </w:r>
      <w:r>
        <w:rPr>
          <w:rFonts w:ascii="Calibri" w:hAnsi="Calibri" w:cs="Calibri"/>
          <w:bCs/>
        </w:rPr>
        <w:t>ě</w:t>
      </w:r>
      <w:r w:rsidRPr="00B9711E">
        <w:rPr>
          <w:rFonts w:ascii="Calibri" w:hAnsi="Calibri" w:cs="Calibri"/>
          <w:bCs/>
        </w:rPr>
        <w:t>pný závod</w:t>
      </w:r>
    </w:p>
    <w:p w14:paraId="178D4FDA" w14:textId="1AEB3DE0" w:rsidR="00B9711E" w:rsidRDefault="00B9711E" w:rsidP="00B9711E">
      <w:pPr>
        <w:spacing w:after="0" w:line="276" w:lineRule="auto"/>
        <w:rPr>
          <w:rFonts w:ascii="Calibri" w:hAnsi="Calibri" w:cs="Calibri"/>
          <w:bCs/>
        </w:rPr>
      </w:pPr>
      <w:r w:rsidRPr="00B9711E">
        <w:rPr>
          <w:rFonts w:cstheme="minorHAnsi"/>
          <w:bCs/>
          <w:szCs w:val="28"/>
        </w:rPr>
        <w:t>S</w:t>
      </w:r>
      <w:r w:rsidRPr="00B9711E">
        <w:rPr>
          <w:rFonts w:ascii="Calibri" w:hAnsi="Calibri" w:cs="Calibri"/>
          <w:bCs/>
        </w:rPr>
        <w:t xml:space="preserve">pojů 835/2, </w:t>
      </w:r>
      <w:r>
        <w:rPr>
          <w:rFonts w:ascii="Calibri" w:hAnsi="Calibri" w:cs="Calibri"/>
          <w:bCs/>
        </w:rPr>
        <w:t>Ostrava-</w:t>
      </w:r>
      <w:r w:rsidRPr="00B9711E">
        <w:rPr>
          <w:rFonts w:ascii="Calibri" w:hAnsi="Calibri" w:cs="Calibri"/>
          <w:bCs/>
        </w:rPr>
        <w:t>Poruba, 708 00, IČ: 05264758</w:t>
      </w:r>
    </w:p>
    <w:p w14:paraId="26BA97BC" w14:textId="66899B8F" w:rsidR="00B9711E" w:rsidRPr="00275210" w:rsidRDefault="00B9711E" w:rsidP="00B9711E">
      <w:pPr>
        <w:pStyle w:val="Bezmezer"/>
        <w:rPr>
          <w:bCs/>
        </w:rPr>
      </w:pPr>
      <w:r w:rsidRPr="00275210">
        <w:rPr>
          <w:bCs/>
        </w:rPr>
        <w:t xml:space="preserve">IDDS: </w:t>
      </w:r>
      <w:r w:rsidR="00403B7D">
        <w:rPr>
          <w:bCs/>
        </w:rPr>
        <w:t>f2dy85f</w:t>
      </w:r>
    </w:p>
    <w:p w14:paraId="2CC5F735" w14:textId="77777777" w:rsidR="00744ABF" w:rsidRPr="00275210" w:rsidRDefault="00744ABF" w:rsidP="00275210">
      <w:pPr>
        <w:pStyle w:val="Bezmezer"/>
        <w:rPr>
          <w:bCs/>
        </w:rPr>
      </w:pPr>
    </w:p>
    <w:p w14:paraId="6957DAE5" w14:textId="77777777" w:rsidR="00B9711E" w:rsidRPr="00275210" w:rsidRDefault="00744ABF" w:rsidP="00B9711E">
      <w:pPr>
        <w:pStyle w:val="Bezmezer"/>
      </w:pPr>
      <w:r w:rsidRPr="00275210">
        <w:t xml:space="preserve">společník 1: </w:t>
      </w:r>
      <w:r w:rsidR="00B9711E" w:rsidRPr="00275210">
        <w:t>BBP Stavby s.r.o.</w:t>
      </w:r>
    </w:p>
    <w:p w14:paraId="6A755F93" w14:textId="77777777" w:rsidR="00B9711E" w:rsidRPr="00275210" w:rsidRDefault="00B9711E" w:rsidP="00B9711E">
      <w:pPr>
        <w:pStyle w:val="Bezmezer"/>
        <w:rPr>
          <w:bCs/>
        </w:rPr>
      </w:pPr>
      <w:r w:rsidRPr="00275210">
        <w:rPr>
          <w:bCs/>
        </w:rPr>
        <w:t>Korunovační 103/6, Bubeneč, 17000 Praha 7, IČ: 03875199</w:t>
      </w:r>
    </w:p>
    <w:p w14:paraId="33E0892F" w14:textId="4B698C4F" w:rsidR="00B9711E" w:rsidRPr="00275210" w:rsidRDefault="00B9711E" w:rsidP="00B9711E">
      <w:pPr>
        <w:pStyle w:val="Bezmezer"/>
        <w:rPr>
          <w:bCs/>
        </w:rPr>
      </w:pPr>
    </w:p>
    <w:p w14:paraId="1F9597E0" w14:textId="11714B41" w:rsidR="00744ABF" w:rsidRPr="00275210" w:rsidRDefault="00744ABF" w:rsidP="00275210">
      <w:pPr>
        <w:pStyle w:val="Bezmezer"/>
        <w:rPr>
          <w:bCs/>
        </w:rPr>
      </w:pPr>
    </w:p>
    <w:p w14:paraId="48F03548" w14:textId="77777777" w:rsidR="00744ABF" w:rsidRPr="00275210" w:rsidRDefault="00744ABF" w:rsidP="00275210">
      <w:pPr>
        <w:pStyle w:val="Bezmezer"/>
        <w:rPr>
          <w:bCs/>
        </w:rPr>
      </w:pPr>
    </w:p>
    <w:p w14:paraId="4238DAE1" w14:textId="16A84A59" w:rsidR="00744ABF" w:rsidRPr="00275210" w:rsidRDefault="00744ABF" w:rsidP="00275210">
      <w:pPr>
        <w:pStyle w:val="Bezmezer"/>
        <w:rPr>
          <w:bCs/>
          <w:i/>
          <w:iCs/>
        </w:rPr>
      </w:pPr>
      <w:r w:rsidRPr="00275210">
        <w:rPr>
          <w:bCs/>
          <w:i/>
          <w:iCs/>
        </w:rPr>
        <w:t xml:space="preserve">na základě Smlouvy o společnosti </w:t>
      </w:r>
      <w:r w:rsidR="00B9711E">
        <w:rPr>
          <w:bCs/>
          <w:i/>
          <w:iCs/>
        </w:rPr>
        <w:t xml:space="preserve">a dodatku č.1 </w:t>
      </w:r>
      <w:r w:rsidRPr="00275210">
        <w:rPr>
          <w:bCs/>
          <w:i/>
          <w:iCs/>
        </w:rPr>
        <w:t>podle § 2716 a násl. občanského zákoníku</w:t>
      </w:r>
    </w:p>
    <w:p w14:paraId="1A31CDC5" w14:textId="77777777" w:rsidR="00744ABF" w:rsidRPr="00275210" w:rsidRDefault="00744ABF" w:rsidP="00275210">
      <w:pPr>
        <w:pStyle w:val="Bezmezer"/>
        <w:rPr>
          <w:i/>
          <w:iCs/>
        </w:rPr>
      </w:pPr>
    </w:p>
    <w:p w14:paraId="03AFC4DA" w14:textId="54699972" w:rsidR="00744ABF" w:rsidRPr="00275210" w:rsidRDefault="00744ABF" w:rsidP="00275210">
      <w:pPr>
        <w:pStyle w:val="Bezmezer"/>
        <w:rPr>
          <w:highlight w:val="yellow"/>
        </w:rPr>
      </w:pPr>
      <w:r w:rsidRPr="00275210">
        <w:t xml:space="preserve">Zastoupena: </w:t>
      </w:r>
      <w:r w:rsidR="00403B7D" w:rsidRPr="00275210">
        <w:t xml:space="preserve">Ing. Daniel Rimel </w:t>
      </w:r>
      <w:r w:rsidRPr="00275210">
        <w:t>(osoba oprávněná jednat za Zhotovitele)</w:t>
      </w:r>
    </w:p>
    <w:p w14:paraId="091FA136" w14:textId="77777777" w:rsidR="00744ABF" w:rsidRPr="00275210" w:rsidRDefault="00744ABF" w:rsidP="00275210">
      <w:pPr>
        <w:pStyle w:val="Bezmezer"/>
      </w:pPr>
      <w:r w:rsidRPr="00275210">
        <w:t>Bankovní spojení: Všeobecná úvěrová banka a.s., pobočka Praha; číslo účtu: 1000004786/6700.</w:t>
      </w:r>
    </w:p>
    <w:p w14:paraId="1D784912" w14:textId="77777777" w:rsidR="00744ABF" w:rsidRPr="00275210" w:rsidRDefault="00744ABF" w:rsidP="00275210">
      <w:pPr>
        <w:pStyle w:val="Bezmezer"/>
      </w:pPr>
      <w:r w:rsidRPr="00275210">
        <w:t>IBAN: CZ35 6700 0000 0010 0000 4786</w:t>
      </w:r>
    </w:p>
    <w:p w14:paraId="2A97F0B6" w14:textId="70B353A3" w:rsidR="00744ABF" w:rsidRPr="00275210" w:rsidRDefault="00744ABF" w:rsidP="00275210">
      <w:pPr>
        <w:pStyle w:val="Bezmezer"/>
        <w:rPr>
          <w:highlight w:val="yellow"/>
        </w:rPr>
      </w:pPr>
      <w:r w:rsidRPr="00275210">
        <w:t xml:space="preserve">zástupce pro věcná jednání: </w:t>
      </w:r>
      <w:r w:rsidR="00403B7D" w:rsidRPr="00275210">
        <w:t xml:space="preserve">Ing. Jakub Blaťák, Ph.D. </w:t>
      </w:r>
      <w:r w:rsidRPr="00275210">
        <w:t>(dále jen „Zástupce zhotovitele“)</w:t>
      </w:r>
    </w:p>
    <w:p w14:paraId="21FA404C" w14:textId="77777777" w:rsidR="00744ABF" w:rsidRPr="00275210" w:rsidRDefault="00744ABF" w:rsidP="00275210">
      <w:pPr>
        <w:pStyle w:val="Bezmezer"/>
      </w:pPr>
      <w:r w:rsidRPr="00275210">
        <w:t>(dále jen „Zhotovitel“)</w:t>
      </w:r>
    </w:p>
    <w:p w14:paraId="3D430566" w14:textId="77777777" w:rsidR="00C55C93" w:rsidRPr="00275210" w:rsidRDefault="00C55C93" w:rsidP="00275210">
      <w:pPr>
        <w:pStyle w:val="Zkladntext21"/>
        <w:ind w:left="-106" w:firstLine="106"/>
        <w:jc w:val="center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4F32FED5" w14:textId="7772B202" w:rsidR="00C55C93" w:rsidRPr="00275210" w:rsidRDefault="00C55C93" w:rsidP="00275210">
      <w:pPr>
        <w:pStyle w:val="Zkladntext21"/>
        <w:ind w:left="-106" w:firstLine="106"/>
        <w:jc w:val="center"/>
        <w:rPr>
          <w:rStyle w:val="Siln"/>
          <w:rFonts w:asciiTheme="minorHAnsi" w:hAnsiTheme="minorHAnsi" w:cstheme="minorHAnsi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Čl. I</w:t>
      </w:r>
      <w:r w:rsidR="005C04F0">
        <w:rPr>
          <w:rStyle w:val="Siln"/>
          <w:rFonts w:asciiTheme="minorHAnsi" w:hAnsiTheme="minorHAnsi" w:cstheme="minorHAnsi"/>
          <w:bCs/>
          <w:sz w:val="22"/>
          <w:szCs w:val="22"/>
        </w:rPr>
        <w:tab/>
        <w:t>Preambule</w:t>
      </w:r>
    </w:p>
    <w:p w14:paraId="7391269F" w14:textId="77777777" w:rsidR="005C04F0" w:rsidRPr="005C7301" w:rsidRDefault="005C04F0" w:rsidP="005C7301">
      <w:pPr>
        <w:pStyle w:val="Zkladntext21"/>
        <w:ind w:left="340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77E980B5" w14:textId="5CC26D9B" w:rsidR="00C55C93" w:rsidRPr="00275210" w:rsidRDefault="00276E31" w:rsidP="005C04F0">
      <w:pPr>
        <w:pStyle w:val="Zkladntext21"/>
        <w:numPr>
          <w:ilvl w:val="0"/>
          <w:numId w:val="1"/>
        </w:numPr>
        <w:rPr>
          <w:rStyle w:val="Siln"/>
          <w:rFonts w:asciiTheme="minorHAnsi" w:hAnsiTheme="minorHAnsi" w:cstheme="minorHAnsi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Smluvní strany uzavřely 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na základě výsledku veřejné zakázky pod názvem: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NPÚ, ÚOP v Olomouci – výstavba depozitního skladu a technického zázemí s fotovoltaickou elektrárnou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, ev. č. NEN: 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N006/24/V00004986 (dále jen „</w:t>
      </w:r>
      <w:r w:rsidR="005C04F0" w:rsidRPr="005C730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Veřejná zakázka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“)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s</w:t>
      </w:r>
      <w:r w:rsidR="005C04F0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mlouvu o dílo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dne </w:t>
      </w:r>
      <w:r w:rsidR="00275210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29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. </w:t>
      </w:r>
      <w:r w:rsidR="00275210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7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. 202</w:t>
      </w:r>
      <w:r w:rsidR="00275210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4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, ev. č. smlouvy </w:t>
      </w:r>
      <w:r w:rsidR="005C04F0" w:rsidRP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37/391/2024</w:t>
      </w:r>
      <w:r w:rsidR="005C04F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  <w:r w:rsidR="00A0340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(dále jen „</w:t>
      </w:r>
      <w:r w:rsidR="00A0340D" w:rsidRPr="005C7301">
        <w:rPr>
          <w:rStyle w:val="Siln"/>
          <w:rFonts w:asciiTheme="minorHAnsi" w:hAnsiTheme="minorHAnsi" w:cstheme="minorHAnsi"/>
          <w:b w:val="0"/>
          <w:bCs/>
          <w:i/>
          <w:spacing w:val="-2"/>
          <w:sz w:val="22"/>
          <w:szCs w:val="22"/>
        </w:rPr>
        <w:t>Smlouva</w:t>
      </w:r>
      <w:r w:rsidR="00A0340D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“)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, </w:t>
      </w:r>
      <w:r w:rsidR="00ED1A5D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jejímž předmětem </w:t>
      </w:r>
      <w:r w:rsidR="00FB2023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je zhotovení díla </w:t>
      </w:r>
      <w:r w:rsidR="00275210" w:rsidRPr="00275210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275210" w:rsidRPr="00275210">
        <w:rPr>
          <w:rFonts w:asciiTheme="minorHAnsi" w:hAnsiTheme="minorHAnsi" w:cstheme="minorHAnsi"/>
          <w:b/>
          <w:color w:val="000000"/>
          <w:sz w:val="22"/>
          <w:szCs w:val="22"/>
        </w:rPr>
        <w:t>NPÚ, ÚOP v</w:t>
      </w:r>
      <w:r w:rsidR="00E60ACE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275210" w:rsidRPr="00275210">
        <w:rPr>
          <w:rFonts w:asciiTheme="minorHAnsi" w:hAnsiTheme="minorHAnsi" w:cstheme="minorHAnsi"/>
          <w:b/>
          <w:color w:val="000000"/>
          <w:sz w:val="22"/>
          <w:szCs w:val="22"/>
        </w:rPr>
        <w:t>Olomouci – výstavba depozitního skladu a technického zázemí s</w:t>
      </w:r>
      <w:r w:rsidR="00E60ACE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275210" w:rsidRPr="00275210">
        <w:rPr>
          <w:rFonts w:asciiTheme="minorHAnsi" w:hAnsiTheme="minorHAnsi" w:cstheme="minorHAnsi"/>
          <w:b/>
          <w:color w:val="000000"/>
          <w:sz w:val="22"/>
          <w:szCs w:val="22"/>
        </w:rPr>
        <w:t>fotovoltaickou elektrárnou</w:t>
      </w:r>
      <w:r w:rsidR="00275210" w:rsidRPr="00275210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FB2023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28C2BCDA" w14:textId="1E24D6D1" w:rsidR="00624C2A" w:rsidRDefault="00263E80" w:rsidP="00275210">
      <w:pPr>
        <w:pStyle w:val="Zkladntext21"/>
        <w:numPr>
          <w:ilvl w:val="0"/>
          <w:numId w:val="1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lastRenderedPageBreak/>
        <w:t>Objednatel konstatuje, že p</w:t>
      </w:r>
      <w:r w:rsidR="00275210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ro odstraňování stávajícího starého skladu nebylo počítáno s</w:t>
      </w:r>
      <w:r w:rsidR="00E60AC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275210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potřebou roz</w:t>
      </w:r>
      <w:r w:rsid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</w:t>
      </w:r>
      <w:r w:rsidR="00275210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áhlejších výkopových sondáží nad rámec ověření základových podmínek pro výstavbu nového depozitu.</w:t>
      </w:r>
      <w:r w:rsid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Jedná se o změnu, kterou není možné dodatečně technicky oddělit od </w:t>
      </w:r>
      <w:r w:rsidR="00A0340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plnění dle Smlouvy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protože </w:t>
      </w:r>
      <w:r w:rsidR="00A0340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více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práce</w:t>
      </w:r>
      <w:r w:rsidR="00A0340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 které jsou předmětem tohoto Dodatku, a jsou blíže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popsané v</w:t>
      </w:r>
      <w:r w:rsidR="00A0340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e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změnovém listu</w:t>
      </w:r>
      <w:r w:rsidR="00A0340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č. 1, 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přímo souvisí s</w:t>
      </w:r>
      <w:r w:rsidR="00E60AC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pracemi původní </w:t>
      </w:r>
      <w:r w:rsidR="00A0340D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Veřejné 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zakázky, jsou spolu provázané, jejich neprovedení by zmařilo účel této investice. Samostatné zadání by bylo z</w:t>
      </w:r>
      <w:r w:rsidR="00E60AC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hlediska organizace stavby i finančních nákladů nelogické a neefektivní a z</w:t>
      </w:r>
      <w:r w:rsidR="00E60AC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167F2" w:rsidRPr="003167F2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technicko-organizačních důvodů nemožné. Vícepráce nelze oddělit a samostatně zadat.</w:t>
      </w:r>
      <w:r w:rsidR="00ED03C3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ED03C3" w:rsidRPr="00ED03C3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Bez vyřešení přeložky není možné pokračovat v</w:t>
      </w:r>
      <w:r w:rsidR="00E60AC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 w:rsidR="00ED03C3" w:rsidRPr="00ED03C3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demolici stávajícího objektu a výstavbě nového depozitního skladu.</w:t>
      </w:r>
      <w:r w:rsidR="00ED03C3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T</w:t>
      </w:r>
      <w:r w:rsidR="00240E17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yto</w:t>
      </w:r>
      <w:r w:rsidR="00ED03C3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40E17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skutečnosti jsou popsány ve změnovém listu č. </w:t>
      </w:r>
      <w:r w:rsid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1</w:t>
      </w:r>
      <w:r w:rsidR="00240E17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který je přílohou tohoto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="00240E17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odatku.</w:t>
      </w:r>
    </w:p>
    <w:p w14:paraId="09F57216" w14:textId="77777777" w:rsidR="005C04F0" w:rsidRDefault="005C04F0" w:rsidP="005C7301">
      <w:pPr>
        <w:pStyle w:val="Zkladntext21"/>
        <w:spacing w:after="120"/>
        <w:ind w:left="340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328DEE23" w14:textId="2A82230E" w:rsidR="005C04F0" w:rsidRPr="00275210" w:rsidRDefault="005C04F0" w:rsidP="005C7301">
      <w:pPr>
        <w:pStyle w:val="Zkladntext21"/>
        <w:spacing w:after="120"/>
        <w:ind w:left="340"/>
        <w:jc w:val="center"/>
        <w:rPr>
          <w:rStyle w:val="Siln"/>
          <w:rFonts w:asciiTheme="minorHAnsi" w:hAnsiTheme="minorHAnsi" w:cstheme="minorHAnsi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Čl. II </w:t>
      </w:r>
      <w:r>
        <w:rPr>
          <w:rStyle w:val="Siln"/>
          <w:rFonts w:asciiTheme="minorHAnsi" w:hAnsiTheme="minorHAnsi" w:cstheme="minorHAnsi"/>
          <w:bCs/>
          <w:sz w:val="22"/>
          <w:szCs w:val="22"/>
        </w:rPr>
        <w:tab/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Předmět </w:t>
      </w:r>
      <w:r>
        <w:rPr>
          <w:rStyle w:val="Siln"/>
          <w:rFonts w:asciiTheme="minorHAnsi" w:hAnsiTheme="minorHAnsi" w:cstheme="minorHAnsi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odatku</w:t>
      </w:r>
    </w:p>
    <w:p w14:paraId="538871AB" w14:textId="77777777" w:rsidR="005C04F0" w:rsidRPr="00275210" w:rsidRDefault="005C04F0" w:rsidP="005C7301">
      <w:pPr>
        <w:pStyle w:val="Zkladntext21"/>
        <w:ind w:left="34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689E04FC" w14:textId="77777777" w:rsidR="00E60ACE" w:rsidRDefault="00E60ACE" w:rsidP="005C7301">
      <w:pPr>
        <w:pStyle w:val="Zkladntext21"/>
        <w:numPr>
          <w:ilvl w:val="0"/>
          <w:numId w:val="9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 ohledem na výše uvedené skutečnosti se smluvní strany dohodly na změně Smlouvy, konkrétně na provedení víceprací, jež jsou blíže popsány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ve změnovém listu č.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1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, který je přílohou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č. 1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tohoto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odatku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5E9947F" w14:textId="4039BE7C" w:rsidR="00984AAF" w:rsidRDefault="00E60ACE" w:rsidP="005C7301">
      <w:pPr>
        <w:pStyle w:val="Zkladntext21"/>
        <w:numPr>
          <w:ilvl w:val="0"/>
          <w:numId w:val="9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Smluvní strany se tímto dohodly na změně čl. 1.1. Smlouvy takto:</w:t>
      </w:r>
      <w:r w:rsidR="00984AAF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26CD30B2" w14:textId="77777777" w:rsidR="00E60ACE" w:rsidRDefault="00E60ACE" w:rsidP="005C7301">
      <w:pPr>
        <w:pStyle w:val="Zkladntext21"/>
        <w:ind w:left="34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196DF420" w14:textId="1419F371" w:rsidR="005C04F0" w:rsidRPr="005C7301" w:rsidRDefault="005C04F0" w:rsidP="005C04F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</w:rPr>
      </w:pPr>
      <w:r w:rsidRPr="005C7301">
        <w:rPr>
          <w:i/>
          <w:color w:val="000000"/>
        </w:rPr>
        <w:t>Zhotovitel je povinen pro Objednatele provést na svůj náklad a nebezpečí dílo s názvem „</w:t>
      </w:r>
      <w:r w:rsidRPr="005C7301">
        <w:rPr>
          <w:b/>
          <w:i/>
          <w:color w:val="000000"/>
        </w:rPr>
        <w:t>NPÚ, ÚOP v Olomouci – výstavba depozitního skladu a technického zázemí s fotovoltaickou elektrárnou</w:t>
      </w:r>
      <w:r w:rsidRPr="005C7301">
        <w:rPr>
          <w:i/>
          <w:color w:val="000000"/>
        </w:rPr>
        <w:t xml:space="preserve">“ specifikované podrobněji v dalších částech této Smlouvy, zejména </w:t>
      </w:r>
      <w:r w:rsidRPr="005C7301">
        <w:rPr>
          <w:b/>
          <w:i/>
          <w:color w:val="000000"/>
        </w:rPr>
        <w:t xml:space="preserve">v Příloze č. 1: </w:t>
      </w:r>
      <w:r w:rsidRPr="004D48FE">
        <w:rPr>
          <w:b/>
          <w:i/>
          <w:color w:val="000000"/>
        </w:rPr>
        <w:t>Rozpočet</w:t>
      </w:r>
      <w:r w:rsidRPr="005C7301">
        <w:rPr>
          <w:b/>
          <w:i/>
          <w:color w:val="000000"/>
        </w:rPr>
        <w:t>,</w:t>
      </w:r>
      <w:r w:rsidR="004D48FE" w:rsidRPr="005C7301">
        <w:rPr>
          <w:b/>
          <w:i/>
          <w:color w:val="000000"/>
        </w:rPr>
        <w:t xml:space="preserve"> </w:t>
      </w:r>
      <w:r w:rsidR="0044680B">
        <w:rPr>
          <w:b/>
          <w:i/>
          <w:color w:val="000000"/>
        </w:rPr>
        <w:t xml:space="preserve">a </w:t>
      </w:r>
      <w:r w:rsidR="004D48FE" w:rsidRPr="005C7301">
        <w:rPr>
          <w:b/>
          <w:i/>
          <w:color w:val="000000"/>
        </w:rPr>
        <w:t>ve</w:t>
      </w:r>
      <w:r w:rsidR="0044680B">
        <w:rPr>
          <w:b/>
          <w:i/>
          <w:color w:val="000000"/>
        </w:rPr>
        <w:t> </w:t>
      </w:r>
      <w:r w:rsidR="004D48FE" w:rsidRPr="005C7301">
        <w:rPr>
          <w:b/>
          <w:i/>
          <w:color w:val="000000"/>
        </w:rPr>
        <w:t>změnovém listu č. 1</w:t>
      </w:r>
      <w:r w:rsidR="009817B1">
        <w:rPr>
          <w:b/>
          <w:i/>
          <w:color w:val="000000"/>
        </w:rPr>
        <w:t xml:space="preserve"> dle Dodatku č. 1</w:t>
      </w:r>
      <w:r w:rsidR="004D48FE" w:rsidRPr="005C7301">
        <w:rPr>
          <w:b/>
          <w:i/>
          <w:color w:val="000000"/>
        </w:rPr>
        <w:t xml:space="preserve">, </w:t>
      </w:r>
      <w:r w:rsidRPr="005C7301">
        <w:rPr>
          <w:i/>
          <w:color w:val="000000"/>
        </w:rPr>
        <w:t xml:space="preserve">a dále v dokumentech, které byly součástí zadávací dokumentace k Veřejné zakázce, a to v </w:t>
      </w:r>
      <w:r w:rsidRPr="00E60ACE">
        <w:rPr>
          <w:b/>
          <w:i/>
          <w:color w:val="000000"/>
        </w:rPr>
        <w:t>Projektové dokumentaci a v závazných dokumentech k realizaci stavby</w:t>
      </w:r>
      <w:r w:rsidRPr="00E60ACE">
        <w:rPr>
          <w:i/>
          <w:color w:val="000000"/>
        </w:rPr>
        <w:t xml:space="preserve"> </w:t>
      </w:r>
      <w:r w:rsidRPr="005C7301">
        <w:rPr>
          <w:i/>
          <w:color w:val="000000"/>
        </w:rPr>
        <w:t>(níže uvedené dokumenty dále označovány jako „Technické zadání“):</w:t>
      </w:r>
    </w:p>
    <w:p w14:paraId="2A3B2EDE" w14:textId="77777777" w:rsidR="005C04F0" w:rsidRPr="005C7301" w:rsidRDefault="005C04F0" w:rsidP="005C04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hanging="340"/>
        <w:jc w:val="both"/>
        <w:rPr>
          <w:i/>
          <w:color w:val="00000A"/>
        </w:rPr>
      </w:pPr>
      <w:r w:rsidRPr="005C7301">
        <w:rPr>
          <w:i/>
          <w:color w:val="00000A"/>
        </w:rPr>
        <w:t>Prováděcí dokumentace „DEPOZITNÍ SKLAD a TECHNICKÉ ZÁZEMÍ na ul. Wittgensteinova 12 v Olomouci-NOVOSTAVBA“, zpracovatel: Ing. Martin Trokan, se sídlem Žerotín 101, 784 01 p. Litovel, autorizovaný inženýr pod č.AI 1200065</w:t>
      </w:r>
    </w:p>
    <w:p w14:paraId="3B81B9D0" w14:textId="77777777" w:rsidR="005C04F0" w:rsidRPr="005C7301" w:rsidRDefault="005C04F0" w:rsidP="005C04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40"/>
        <w:jc w:val="both"/>
        <w:rPr>
          <w:i/>
          <w:color w:val="00000A"/>
        </w:rPr>
      </w:pPr>
      <w:r w:rsidRPr="005C7301">
        <w:rPr>
          <w:i/>
          <w:color w:val="00000A"/>
        </w:rPr>
        <w:t>zjednodušená projektová dokumentace ,PASPORT´„Objekt NPÚ ÚOP v Olomouci na ul. Wittgensteinova 12 v Olomouci“, zpracovatel: Ing. Martin Trokan, se sídlem Žerotín 101, 784 01 p. Litovel, autorizovaný inženýr pod č.AI 1200065</w:t>
      </w:r>
    </w:p>
    <w:p w14:paraId="7AC23F1E" w14:textId="77777777" w:rsidR="005C04F0" w:rsidRPr="005C7301" w:rsidRDefault="005C04F0" w:rsidP="005C04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40"/>
        <w:jc w:val="both"/>
        <w:rPr>
          <w:i/>
          <w:color w:val="00000A"/>
        </w:rPr>
      </w:pPr>
      <w:r w:rsidRPr="005C7301">
        <w:rPr>
          <w:i/>
          <w:color w:val="00000A"/>
        </w:rPr>
        <w:t>„PROJEKTOVÁ A TECHNICKÁ DOKUMENTACE - FVE elektrárna o výkonu 41,8 kWp - NPU Olomouc“, zpracovatel: Milan Trávníček, se sídlem Vaníčkova 518/18, Olomouc, autorizace v oboru technika prostředí staveb – specializace elektrotechnická zařízení ČKAIT 1202176</w:t>
      </w:r>
    </w:p>
    <w:p w14:paraId="08FC6AF2" w14:textId="77777777" w:rsidR="005C04F0" w:rsidRPr="005C7301" w:rsidRDefault="004A2EED" w:rsidP="005C04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A"/>
        </w:rPr>
      </w:pPr>
      <w:sdt>
        <w:sdtPr>
          <w:rPr>
            <w:i/>
          </w:rPr>
          <w:tag w:val="goog_rdk_1"/>
          <w:id w:val="-1618287555"/>
        </w:sdtPr>
        <w:sdtEndPr/>
        <w:sdtContent/>
      </w:sdt>
      <w:r w:rsidR="005C04F0" w:rsidRPr="005C7301">
        <w:rPr>
          <w:i/>
          <w:color w:val="00000A"/>
        </w:rPr>
        <w:t>Magistrát města Olomouce, POVOLENÍ K ODSTRANĚNÍ STAVBY, Č. j. SMOL/135164/ 2019/OS/PS/Mod</w:t>
      </w:r>
    </w:p>
    <w:p w14:paraId="569F81EE" w14:textId="77777777" w:rsidR="005C04F0" w:rsidRPr="005C7301" w:rsidRDefault="005C04F0" w:rsidP="005C04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A"/>
        </w:rPr>
      </w:pPr>
      <w:r w:rsidRPr="005C7301">
        <w:rPr>
          <w:i/>
          <w:color w:val="00000A"/>
        </w:rPr>
        <w:t>Magistrát města Olomouce, ÚZEMNÍ ROZHODNUTÍ č. 68/2019, Č. j. SMOL/213947/ 2019/OS/US/Zb</w:t>
      </w:r>
    </w:p>
    <w:p w14:paraId="40487442" w14:textId="77777777" w:rsidR="005C04F0" w:rsidRPr="005C7301" w:rsidRDefault="005C04F0" w:rsidP="005C04F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A"/>
        </w:rPr>
      </w:pPr>
      <w:r w:rsidRPr="005C7301">
        <w:rPr>
          <w:i/>
          <w:color w:val="00000A"/>
        </w:rPr>
        <w:t>Magistrát města Olomouce, STAVEBNÍ POVOLENÍ, Č. j. SMOL/268276/2019/OS/PS/Ste</w:t>
      </w:r>
    </w:p>
    <w:p w14:paraId="36A0D7ED" w14:textId="77777777" w:rsidR="005C04F0" w:rsidRPr="005C7301" w:rsidRDefault="005C04F0" w:rsidP="005C04F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color w:val="000000"/>
        </w:rPr>
      </w:pPr>
      <w:r w:rsidRPr="00E60ACE">
        <w:rPr>
          <w:i/>
          <w:color w:val="000000"/>
        </w:rPr>
        <w:t>(dále jen „</w:t>
      </w:r>
      <w:r w:rsidRPr="00E60ACE">
        <w:rPr>
          <w:b/>
          <w:i/>
          <w:color w:val="000000"/>
        </w:rPr>
        <w:t>Dílo</w:t>
      </w:r>
      <w:r w:rsidRPr="004D48FE">
        <w:rPr>
          <w:i/>
          <w:color w:val="000000"/>
        </w:rPr>
        <w:t xml:space="preserve">"). </w:t>
      </w:r>
    </w:p>
    <w:p w14:paraId="417AA738" w14:textId="77777777" w:rsidR="005C04F0" w:rsidRPr="00275210" w:rsidRDefault="005C04F0" w:rsidP="005C7301">
      <w:pPr>
        <w:pStyle w:val="Zkladntext21"/>
        <w:ind w:left="340"/>
        <w:rPr>
          <w:rStyle w:val="Siln"/>
          <w:rFonts w:asciiTheme="minorHAnsi" w:eastAsiaTheme="minorHAnsi" w:hAnsiTheme="minorHAnsi" w:cstheme="minorHAnsi"/>
          <w:b w:val="0"/>
          <w:bCs/>
          <w:sz w:val="22"/>
          <w:szCs w:val="22"/>
          <w:lang w:eastAsia="en-US"/>
        </w:rPr>
      </w:pPr>
    </w:p>
    <w:p w14:paraId="039E500F" w14:textId="44F6715F" w:rsidR="00314C1C" w:rsidRPr="00275210" w:rsidRDefault="00314C1C" w:rsidP="005C7301">
      <w:pPr>
        <w:pStyle w:val="Zkladntext21"/>
        <w:numPr>
          <w:ilvl w:val="0"/>
          <w:numId w:val="9"/>
        </w:numPr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Touto změnou dojde k navýšení ceny </w:t>
      </w:r>
      <w:r w:rsidR="000E50BB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Díla 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v částce </w:t>
      </w:r>
      <w:r w:rsidR="003978F6" w:rsidRPr="00275210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1</w:t>
      </w:r>
      <w:r w:rsidR="00275210" w:rsidRPr="00275210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21</w:t>
      </w:r>
      <w:r w:rsidR="0053771C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.</w:t>
      </w:r>
      <w:r w:rsidR="00275210" w:rsidRPr="00275210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400</w:t>
      </w:r>
      <w:r w:rsidRPr="00275210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,</w:t>
      </w:r>
      <w:r w:rsidR="00275210" w:rsidRPr="00275210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>06</w:t>
      </w:r>
      <w:r w:rsidRPr="00275210">
        <w:rPr>
          <w:rStyle w:val="Siln"/>
          <w:rFonts w:asciiTheme="minorHAnsi" w:hAnsiTheme="minorHAnsi" w:cstheme="minorHAnsi"/>
          <w:bCs/>
          <w:spacing w:val="-2"/>
          <w:sz w:val="22"/>
          <w:szCs w:val="22"/>
        </w:rPr>
        <w:t xml:space="preserve"> Kč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, tj. </w:t>
      </w:r>
      <w:r w:rsidR="003978F6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1</w:t>
      </w:r>
      <w:r w:rsid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46</w:t>
      </w:r>
      <w:r w:rsidR="0053771C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.</w:t>
      </w:r>
      <w:r w:rsid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894,07 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Kč včetně</w:t>
      </w:r>
      <w:r w:rsidR="009C19F1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 DPH, při DPH ve výši </w:t>
      </w:r>
      <w:r w:rsidR="004275C9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21</w:t>
      </w:r>
      <w:r w:rsidR="009C19F1"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>%.</w:t>
      </w:r>
      <w:r w:rsidRPr="00275210">
        <w:rPr>
          <w:rStyle w:val="Siln"/>
          <w:rFonts w:asciiTheme="minorHAnsi" w:hAnsiTheme="minorHAnsi" w:cstheme="minorHAnsi"/>
          <w:b w:val="0"/>
          <w:bCs/>
          <w:spacing w:val="-2"/>
          <w:sz w:val="22"/>
          <w:szCs w:val="22"/>
        </w:rPr>
        <w:t xml:space="preserve"> </w:t>
      </w:r>
    </w:p>
    <w:p w14:paraId="52127A16" w14:textId="77777777" w:rsidR="00B510F0" w:rsidRDefault="00C631BD" w:rsidP="005C7301">
      <w:pPr>
        <w:pStyle w:val="Zkladntext21"/>
        <w:numPr>
          <w:ilvl w:val="0"/>
          <w:numId w:val="9"/>
        </w:numPr>
        <w:spacing w:after="12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Smluvní strany </w:t>
      </w:r>
      <w:r w:rsidR="00B510F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se dohodly na změně čl. 5.1. Smlouvy takto:</w:t>
      </w:r>
    </w:p>
    <w:p w14:paraId="0A11CFD8" w14:textId="14E65208" w:rsidR="00B510F0" w:rsidRPr="005C7301" w:rsidRDefault="00B510F0" w:rsidP="005C7301">
      <w:pPr>
        <w:pStyle w:val="Zkladntext21"/>
        <w:numPr>
          <w:ilvl w:val="1"/>
          <w:numId w:val="11"/>
        </w:numPr>
        <w:spacing w:after="120"/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</w:pP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Smluvní cena je stanovena podle skutečné výměry prací, oceněné na základě jednotkových cen uvedených Zhotovitelem v Příloze 1 Smlouvy: Rozpočet, a dle změnového listu č. 1:</w:t>
      </w:r>
    </w:p>
    <w:p w14:paraId="685F392E" w14:textId="651E8052" w:rsidR="00B510F0" w:rsidRPr="005C7301" w:rsidRDefault="00B510F0" w:rsidP="005C7301">
      <w:pPr>
        <w:pStyle w:val="Zkladntext21"/>
        <w:spacing w:after="120"/>
        <w:ind w:left="700"/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</w:pP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v celkové výši 45 </w:t>
      </w:r>
      <w:r w:rsidR="009D2278"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422</w:t>
      </w: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 </w:t>
      </w:r>
      <w:r w:rsidR="009D2278"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1</w:t>
      </w: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21,</w:t>
      </w:r>
      <w:r w:rsidR="009D2278"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10</w:t>
      </w: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 Kč Kč („Smluvní cena“); smluvní cena nezahrnuje daň z přidané hodnoty (dále jen „DPH“)</w:t>
      </w:r>
    </w:p>
    <w:p w14:paraId="5E2DC0ED" w14:textId="016ECBA9" w:rsidR="009D2278" w:rsidRPr="005C7301" w:rsidRDefault="009D2278" w:rsidP="005C7301">
      <w:pPr>
        <w:pStyle w:val="Zkladntext21"/>
        <w:spacing w:after="120"/>
        <w:ind w:left="700"/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</w:pP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DPH ve výši </w:t>
      </w:r>
      <w:r w:rsidR="00821602"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9 538 645,43</w:t>
      </w: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 Kč</w:t>
      </w:r>
    </w:p>
    <w:p w14:paraId="28217DE4" w14:textId="348594EE" w:rsidR="00B510F0" w:rsidRPr="00B510F0" w:rsidRDefault="00B510F0" w:rsidP="005C7301">
      <w:pPr>
        <w:pStyle w:val="Zkladntext21"/>
        <w:spacing w:after="120"/>
        <w:ind w:left="340" w:firstLine="36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v celkové výši </w:t>
      </w:r>
      <w:r w:rsidR="009D2278"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>54 960 766,53</w:t>
      </w:r>
      <w:r w:rsidRPr="005C7301">
        <w:rPr>
          <w:rStyle w:val="Siln"/>
          <w:rFonts w:asciiTheme="minorHAnsi" w:hAnsiTheme="minorHAnsi" w:cstheme="minorHAnsi"/>
          <w:b w:val="0"/>
          <w:bCs/>
          <w:i/>
          <w:sz w:val="22"/>
          <w:szCs w:val="22"/>
        </w:rPr>
        <w:t xml:space="preserve"> Kč vč. DPH</w:t>
      </w:r>
      <w:r w:rsidR="00212759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3FBA4C0" w14:textId="3230228E" w:rsidR="00ED1A5D" w:rsidRPr="00275210" w:rsidRDefault="00ED1A5D" w:rsidP="005C7301">
      <w:pPr>
        <w:pStyle w:val="Zkladntext21"/>
        <w:spacing w:after="120"/>
        <w:ind w:left="70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4F98EEC1" w14:textId="5DFDCF7A" w:rsidR="001C7B5E" w:rsidRPr="00275210" w:rsidRDefault="001C7B5E" w:rsidP="005C7301">
      <w:pPr>
        <w:pStyle w:val="Zkladntext21"/>
        <w:numPr>
          <w:ilvl w:val="0"/>
          <w:numId w:val="9"/>
        </w:numPr>
        <w:spacing w:after="12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lastRenderedPageBreak/>
        <w:t xml:space="preserve">Předmětné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změny závazku ze Smlouvy jsou prováděny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ve smyslu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ust. § 222 odst. </w:t>
      </w:r>
      <w:r w:rsidR="005C7301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4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zákona č. 134/2016 Sb.,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 zadávání veřejných zakázek, v účinném znění, jakožto nepodstatná změna závazku.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Změna vychází z nálezových situací, které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bjednatel ani projektant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vypracovávající projektovou dokumentaci pro provádění Stavby, podle níž je Dílo dle Smlouvy prováděno,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nemohl posoudit do doby skutečného rozkrytí konstrukcí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Objektu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Hodnota změny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související se změnami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íla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dle tohoto Dodatku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činí 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0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,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2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7 % původní hodnoty závazku.</w:t>
      </w:r>
    </w:p>
    <w:p w14:paraId="796DD982" w14:textId="063E43D8" w:rsidR="00055177" w:rsidRPr="00275210" w:rsidRDefault="00055177" w:rsidP="00275210">
      <w:pPr>
        <w:pStyle w:val="Zkladntext21"/>
        <w:ind w:left="720"/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</w:p>
    <w:p w14:paraId="1905AC04" w14:textId="77777777" w:rsidR="00C06EDD" w:rsidRPr="00275210" w:rsidRDefault="00C06EDD" w:rsidP="00275210">
      <w:pPr>
        <w:pStyle w:val="Zkladntext21"/>
        <w:rPr>
          <w:rStyle w:val="Siln"/>
          <w:rFonts w:asciiTheme="minorHAnsi" w:hAnsiTheme="minorHAnsi" w:cstheme="minorHAnsi"/>
          <w:bCs/>
          <w:sz w:val="22"/>
          <w:szCs w:val="22"/>
        </w:rPr>
      </w:pPr>
    </w:p>
    <w:p w14:paraId="3C84725D" w14:textId="1CCD0A6B" w:rsidR="00DA38B2" w:rsidRPr="00275210" w:rsidRDefault="00DA38B2" w:rsidP="005C7301">
      <w:pPr>
        <w:pStyle w:val="Zkladntext21"/>
        <w:jc w:val="center"/>
        <w:rPr>
          <w:rStyle w:val="Siln"/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Čl.</w:t>
      </w:r>
      <w:r w:rsidR="001C40C7" w:rsidRPr="00275210">
        <w:rPr>
          <w:rStyle w:val="Siln"/>
          <w:rFonts w:asciiTheme="minorHAnsi" w:hAnsiTheme="minorHAnsi" w:cstheme="minorHAnsi"/>
          <w:bCs/>
          <w:sz w:val="22"/>
          <w:szCs w:val="22"/>
        </w:rPr>
        <w:t xml:space="preserve"> </w:t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III</w:t>
      </w:r>
      <w:r w:rsidR="00475581">
        <w:rPr>
          <w:rStyle w:val="Siln"/>
          <w:rFonts w:asciiTheme="minorHAnsi" w:hAnsiTheme="minorHAnsi" w:cstheme="minorHAnsi"/>
          <w:bCs/>
          <w:sz w:val="22"/>
          <w:szCs w:val="22"/>
        </w:rPr>
        <w:tab/>
      </w:r>
      <w:r w:rsidRPr="00275210">
        <w:rPr>
          <w:rStyle w:val="Siln"/>
          <w:rFonts w:asciiTheme="minorHAnsi" w:hAnsiTheme="minorHAnsi" w:cstheme="minorHAnsi"/>
          <w:bCs/>
          <w:sz w:val="22"/>
          <w:szCs w:val="22"/>
        </w:rPr>
        <w:t>Závěrečná ustanovení</w:t>
      </w:r>
    </w:p>
    <w:p w14:paraId="3DE55E1C" w14:textId="2189BC60" w:rsidR="00ED1A5D" w:rsidRPr="00275210" w:rsidRDefault="00ED1A5D" w:rsidP="00275210">
      <w:pPr>
        <w:pStyle w:val="Zkladntext21"/>
        <w:numPr>
          <w:ilvl w:val="0"/>
          <w:numId w:val="5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Smluvní strany prohlašují, že si tento Dodatek č. </w:t>
      </w:r>
      <w:r w:rsidR="008A665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1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před jeho podepsáním přečetly, že byl uzavřen po vzájemném projednání podle jejich pravé a svobodné vůle. </w:t>
      </w:r>
    </w:p>
    <w:p w14:paraId="23583A68" w14:textId="2FBF60BE" w:rsidR="00ED1A5D" w:rsidRPr="00275210" w:rsidRDefault="00ED1A5D" w:rsidP="00275210">
      <w:pPr>
        <w:pStyle w:val="Zkladntext21"/>
        <w:numPr>
          <w:ilvl w:val="0"/>
          <w:numId w:val="5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Tento </w:t>
      </w:r>
      <w:r w:rsidR="0014212C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odatek nabývá platnosti </w:t>
      </w:r>
      <w:r w:rsidR="009F7D8B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podpisem 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oprávněných zástupců obou smluvních stran a účinnosti dnem jejího uveřejnění v registru smluv podle zákona č. 340/2015 Sb., o registru smluv, přičemž </w:t>
      </w:r>
      <w:r w:rsidR="0014212C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odatek uveřejní objednatel.</w:t>
      </w:r>
    </w:p>
    <w:p w14:paraId="2D76D13A" w14:textId="4602BBE1" w:rsidR="00DA38B2" w:rsidRPr="00275210" w:rsidRDefault="00DA38B2" w:rsidP="00275210">
      <w:pPr>
        <w:pStyle w:val="Zkladntext21"/>
        <w:numPr>
          <w:ilvl w:val="0"/>
          <w:numId w:val="5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Ostatní ujednání původní Smlouvy o d</w:t>
      </w:r>
      <w:r w:rsidR="005654FE"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ílo zůstávají tímto Dodatkem č. </w:t>
      </w:r>
      <w:r w:rsidR="008A665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1</w:t>
      </w:r>
      <w:r w:rsidRPr="0027521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 nedotčené a beze změn.</w:t>
      </w:r>
    </w:p>
    <w:p w14:paraId="4289CCB4" w14:textId="5BEF1B7C" w:rsidR="00477DEC" w:rsidRDefault="008A665E" w:rsidP="008A665E">
      <w:pPr>
        <w:pStyle w:val="Zkladntext21"/>
        <w:numPr>
          <w:ilvl w:val="0"/>
          <w:numId w:val="5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 w:rsidRPr="008A665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Tento </w:t>
      </w:r>
      <w:r w:rsidR="00CB48B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 w:rsidRPr="008A665E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odatek je vyhotoven v elektronické podobě s připojenými elektronickými podpisy smluvních stran.</w:t>
      </w:r>
    </w:p>
    <w:p w14:paraId="6A5D82F7" w14:textId="7EFE4DCE" w:rsidR="008A665E" w:rsidRDefault="008A665E" w:rsidP="008A665E">
      <w:pPr>
        <w:pStyle w:val="Zkladntext21"/>
        <w:numPr>
          <w:ilvl w:val="0"/>
          <w:numId w:val="5"/>
        </w:numP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 xml:space="preserve">Součástí tohoto </w:t>
      </w:r>
      <w:r w:rsidR="00CB48B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D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odatku je změnový list č. 1 ze dne 9.</w:t>
      </w:r>
      <w:r w:rsidR="00CB48B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9.</w:t>
      </w:r>
      <w:r w:rsidR="00CB48B0"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 </w:t>
      </w:r>
      <w:r>
        <w:rPr>
          <w:rStyle w:val="Siln"/>
          <w:rFonts w:asciiTheme="minorHAnsi" w:hAnsiTheme="minorHAnsi" w:cstheme="minorHAnsi"/>
          <w:b w:val="0"/>
          <w:bCs/>
          <w:sz w:val="22"/>
          <w:szCs w:val="22"/>
        </w:rPr>
        <w:t>2024.</w:t>
      </w:r>
    </w:p>
    <w:p w14:paraId="1896CA19" w14:textId="77777777" w:rsidR="00744ABF" w:rsidRPr="00275210" w:rsidRDefault="00744ABF" w:rsidP="00275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567"/>
        <w:jc w:val="both"/>
        <w:rPr>
          <w:rFonts w:cstheme="minorHAnsi"/>
          <w:color w:val="000000"/>
        </w:rPr>
      </w:pPr>
    </w:p>
    <w:tbl>
      <w:tblPr>
        <w:tblW w:w="974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744ABF" w:rsidRPr="00275210" w14:paraId="38163E85" w14:textId="77777777" w:rsidTr="00581EA8">
        <w:trPr>
          <w:cantSplit/>
          <w:trHeight w:val="2160"/>
        </w:trPr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6BD3D6F4" w14:textId="14A3965F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V Olomouci, datum viz elektronický podpis</w:t>
            </w:r>
          </w:p>
          <w:p w14:paraId="38EA3F7C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0D9240CE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objednatel</w:t>
            </w:r>
          </w:p>
          <w:p w14:paraId="3ECCE0A0" w14:textId="77777777" w:rsidR="00744ABF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6ED8F811" w14:textId="77777777" w:rsidR="00403B7D" w:rsidRPr="00275210" w:rsidRDefault="00403B7D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225BADE5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322AE17D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……………………………………………………</w:t>
            </w:r>
          </w:p>
          <w:p w14:paraId="32195433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Národní památkový ústav</w:t>
            </w:r>
          </w:p>
          <w:p w14:paraId="10BFEF90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sdt>
            <w:sdtPr>
              <w:rPr>
                <w:rFonts w:cstheme="minorHAnsi"/>
              </w:rPr>
              <w:tag w:val="goog_rdk_43"/>
              <w:id w:val="-643656925"/>
            </w:sdtPr>
            <w:sdtEndPr/>
            <w:sdtContent>
              <w:p w14:paraId="2E562248" w14:textId="77777777" w:rsidR="00744ABF" w:rsidRPr="00275210" w:rsidRDefault="004A2EED" w:rsidP="00275210">
                <w:pPr>
                  <w:keepNext/>
                  <w:keepLines/>
                  <w:widowControl w:val="0"/>
                  <w:spacing w:line="240" w:lineRule="auto"/>
                  <w:ind w:right="669"/>
                  <w:rPr>
                    <w:rFonts w:eastAsia="Times New Roman" w:cstheme="minorHAnsi"/>
                    <w:color w:val="000000"/>
                  </w:rPr>
                </w:pPr>
                <w:sdt>
                  <w:sdtPr>
                    <w:rPr>
                      <w:rFonts w:cstheme="minorHAnsi"/>
                    </w:rPr>
                    <w:tag w:val="goog_rdk_39"/>
                    <w:id w:val="137228590"/>
                  </w:sdtPr>
                  <w:sdtEndPr/>
                  <w:sdtContent>
                    <w:sdt>
                      <w:sdtPr>
                        <w:rPr>
                          <w:rFonts w:cstheme="minorHAnsi"/>
                        </w:rPr>
                        <w:tag w:val="goog_rdk_40"/>
                        <w:id w:val="631825756"/>
                      </w:sdtPr>
                      <w:sdtEndPr/>
                      <w:sdtContent>
                        <w:r w:rsidR="00744ABF" w:rsidRPr="00275210">
                          <w:rPr>
                            <w:rFonts w:cstheme="minorHAnsi"/>
                          </w:rPr>
                          <w:t>Mgr. František Chupík, Ph.D., ředitel územního odborného</w:t>
                        </w:r>
                      </w:sdtContent>
                    </w:sdt>
                    <w:r w:rsidR="00744ABF" w:rsidRPr="00275210">
                      <w:rPr>
                        <w:rFonts w:cstheme="minorHAnsi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</w:rPr>
                        <w:tag w:val="goog_rdk_41"/>
                        <w:id w:val="1496757790"/>
                      </w:sdtPr>
                      <w:sdtEndPr/>
                      <w:sdtContent>
                        <w:r w:rsidR="00744ABF" w:rsidRPr="00275210">
                          <w:rPr>
                            <w:rFonts w:cstheme="minorHAnsi"/>
                          </w:rPr>
                          <w:t>pracoviště v Olomouci</w:t>
                        </w:r>
                      </w:sdtContent>
                    </w:sdt>
                  </w:sdtContent>
                </w:sdt>
                <w:sdt>
                  <w:sdtPr>
                    <w:rPr>
                      <w:rFonts w:cstheme="minorHAnsi"/>
                    </w:rPr>
                    <w:tag w:val="goog_rdk_42"/>
                    <w:id w:val="-469983950"/>
                    <w:showingPlcHdr/>
                  </w:sdtPr>
                  <w:sdtEndPr/>
                  <w:sdtContent>
                    <w:r w:rsidR="00744ABF" w:rsidRPr="00275210">
                      <w:rPr>
                        <w:rFonts w:cstheme="minorHAnsi"/>
                      </w:rPr>
                      <w:t xml:space="preserve">     </w:t>
                    </w:r>
                  </w:sdtContent>
                </w:sdt>
              </w:p>
            </w:sdtContent>
          </w:sdt>
          <w:p w14:paraId="396DFC1F" w14:textId="77777777" w:rsidR="00744ABF" w:rsidRPr="00275210" w:rsidRDefault="004A2EED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</w:rPr>
                <w:tag w:val="goog_rdk_45"/>
                <w:id w:val="110559199"/>
                <w:showingPlcHdr/>
              </w:sdtPr>
              <w:sdtEndPr/>
              <w:sdtContent>
                <w:r w:rsidR="00744ABF" w:rsidRPr="00275210">
                  <w:rPr>
                    <w:rFonts w:cstheme="minorHAnsi"/>
                  </w:rPr>
                  <w:t xml:space="preserve">     </w:t>
                </w:r>
              </w:sdtContent>
            </w:sdt>
          </w:p>
        </w:tc>
        <w:tc>
          <w:tcPr>
            <w:tcW w:w="4871" w:type="dxa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4B6E148B" w14:textId="66500895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V </w:t>
            </w:r>
            <w:r w:rsidR="00403B7D">
              <w:rPr>
                <w:rFonts w:cstheme="minorHAnsi"/>
                <w:color w:val="000000"/>
              </w:rPr>
              <w:t>Ostravě</w:t>
            </w:r>
            <w:r w:rsidRPr="00275210">
              <w:rPr>
                <w:rFonts w:cstheme="minorHAnsi"/>
                <w:color w:val="000000"/>
              </w:rPr>
              <w:t>, datum viz elektronický podpis</w:t>
            </w:r>
          </w:p>
          <w:p w14:paraId="5916E5D2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5E7B9483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zhotovitel</w:t>
            </w:r>
          </w:p>
          <w:p w14:paraId="4A644249" w14:textId="77777777" w:rsidR="00744ABF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7BB7491B" w14:textId="77777777" w:rsidR="00403B7D" w:rsidRPr="00275210" w:rsidRDefault="00403B7D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034FD140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</w:p>
          <w:p w14:paraId="281B38DA" w14:textId="77777777" w:rsidR="00744ABF" w:rsidRPr="00275210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>……………………………………………………</w:t>
            </w:r>
          </w:p>
          <w:p w14:paraId="173DEB47" w14:textId="2CB5C9ED" w:rsidR="00744ABF" w:rsidRPr="00275210" w:rsidRDefault="00403B7D" w:rsidP="00403B7D">
            <w:pPr>
              <w:rPr>
                <w:rFonts w:cstheme="minorHAnsi"/>
                <w:color w:val="000000"/>
              </w:rPr>
            </w:pPr>
            <w:r w:rsidRPr="00403B7D">
              <w:rPr>
                <w:rFonts w:cstheme="minorHAnsi"/>
                <w:color w:val="000000"/>
                <w:szCs w:val="28"/>
                <w:shd w:val="clear" w:color="auto" w:fill="FFFFFF"/>
              </w:rPr>
              <w:t xml:space="preserve">KAMI PROFIT, s.r.o. jednající prostřednictvím </w:t>
            </w:r>
            <w:r w:rsidRPr="00403B7D">
              <w:rPr>
                <w:rFonts w:ascii="Calibri" w:hAnsi="Calibri" w:cs="Calibri"/>
              </w:rPr>
              <w:t>KAMI PROFIT, s.r.o., odštěpný závod</w:t>
            </w:r>
          </w:p>
          <w:p w14:paraId="43D93F41" w14:textId="77777777" w:rsidR="00744ABF" w:rsidRDefault="00744ABF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 w:rsidRPr="00275210">
              <w:rPr>
                <w:rFonts w:cstheme="minorHAnsi"/>
                <w:color w:val="000000"/>
              </w:rPr>
              <w:t xml:space="preserve">Ing. </w:t>
            </w:r>
            <w:r w:rsidR="00403B7D">
              <w:rPr>
                <w:rFonts w:cstheme="minorHAnsi"/>
                <w:color w:val="000000"/>
              </w:rPr>
              <w:t>Daniel Rimel</w:t>
            </w:r>
          </w:p>
          <w:p w14:paraId="3D77CD92" w14:textId="7C8090F3" w:rsidR="00403B7D" w:rsidRPr="00275210" w:rsidRDefault="00403B7D" w:rsidP="0027521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9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vedoucí odštěpného závodu</w:t>
            </w:r>
          </w:p>
        </w:tc>
      </w:tr>
    </w:tbl>
    <w:p w14:paraId="7B6449AA" w14:textId="53A5BED5" w:rsidR="00BB445C" w:rsidRPr="00275210" w:rsidRDefault="00BB445C" w:rsidP="00275210">
      <w:pPr>
        <w:pStyle w:val="Zkladntext21"/>
        <w:rPr>
          <w:rStyle w:val="Siln"/>
          <w:rFonts w:asciiTheme="minorHAnsi" w:hAnsiTheme="minorHAnsi" w:cstheme="minorHAnsi"/>
          <w:b w:val="0"/>
          <w:sz w:val="22"/>
          <w:szCs w:val="22"/>
        </w:rPr>
      </w:pPr>
    </w:p>
    <w:sectPr w:rsidR="00BB445C" w:rsidRPr="00275210" w:rsidSect="00F1252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8F5F4" w14:textId="77777777" w:rsidR="00321653" w:rsidRDefault="00321653" w:rsidP="00E50AAC">
      <w:pPr>
        <w:spacing w:after="0" w:line="240" w:lineRule="auto"/>
      </w:pPr>
      <w:r>
        <w:separator/>
      </w:r>
    </w:p>
  </w:endnote>
  <w:endnote w:type="continuationSeparator" w:id="0">
    <w:p w14:paraId="0B9814F5" w14:textId="77777777" w:rsidR="00321653" w:rsidRDefault="00321653" w:rsidP="00E5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BB24C" w14:textId="77777777" w:rsidR="00321653" w:rsidRDefault="00321653" w:rsidP="00E50AAC">
      <w:pPr>
        <w:spacing w:after="0" w:line="240" w:lineRule="auto"/>
      </w:pPr>
      <w:r>
        <w:separator/>
      </w:r>
    </w:p>
  </w:footnote>
  <w:footnote w:type="continuationSeparator" w:id="0">
    <w:p w14:paraId="47C178E9" w14:textId="77777777" w:rsidR="00321653" w:rsidRDefault="00321653" w:rsidP="00E5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00AB" w14:textId="1C64595B" w:rsidR="00E50AAC" w:rsidRPr="00E50AAC" w:rsidRDefault="00E50AAC" w:rsidP="00E50AAC">
    <w:pPr>
      <w:pStyle w:val="Zhlav"/>
      <w:jc w:val="right"/>
      <w:rPr>
        <w:rFonts w:cstheme="minorHAnsi"/>
        <w:b/>
      </w:rPr>
    </w:pPr>
    <w:r>
      <w:tab/>
    </w:r>
    <w:r w:rsidRPr="00A14004">
      <w:rPr>
        <w:rFonts w:cstheme="minorHAnsi"/>
        <w:b/>
        <w:bCs/>
      </w:rPr>
      <w:t>NPU-</w:t>
    </w:r>
    <w:r w:rsidR="00744ABF">
      <w:rPr>
        <w:rFonts w:cstheme="minorHAnsi"/>
        <w:b/>
        <w:bCs/>
      </w:rPr>
      <w:t>391</w:t>
    </w:r>
    <w:r w:rsidRPr="00A14004">
      <w:rPr>
        <w:rFonts w:cstheme="minorHAnsi"/>
        <w:b/>
        <w:bCs/>
      </w:rPr>
      <w:t>/</w:t>
    </w:r>
    <w:r w:rsidR="00744ABF">
      <w:rPr>
        <w:rFonts w:cstheme="minorHAnsi"/>
        <w:b/>
        <w:bCs/>
      </w:rPr>
      <w:t>84602</w:t>
    </w:r>
    <w:r w:rsidRPr="00A14004">
      <w:rPr>
        <w:rFonts w:cstheme="minorHAnsi"/>
        <w:b/>
        <w:bCs/>
      </w:rPr>
      <w:t>/202</w:t>
    </w:r>
    <w:r w:rsidR="001C40C7" w:rsidRPr="00A14004">
      <w:rPr>
        <w:rFonts w:cstheme="minorHAnsi"/>
        <w:b/>
        <w:bCs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C2B"/>
    <w:multiLevelType w:val="multilevel"/>
    <w:tmpl w:val="1430B29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/>
        <w:vertAlign w:val="baseline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E0D3880"/>
    <w:multiLevelType w:val="hybridMultilevel"/>
    <w:tmpl w:val="EA345520"/>
    <w:lvl w:ilvl="0" w:tplc="30B2939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D145E"/>
    <w:multiLevelType w:val="hybridMultilevel"/>
    <w:tmpl w:val="EA345520"/>
    <w:lvl w:ilvl="0" w:tplc="30B2939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4459"/>
    <w:multiLevelType w:val="multilevel"/>
    <w:tmpl w:val="FFFFFFFF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134" w:hanging="17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61745BF4"/>
    <w:multiLevelType w:val="multilevel"/>
    <w:tmpl w:val="E654BD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62593276"/>
    <w:multiLevelType w:val="hybridMultilevel"/>
    <w:tmpl w:val="E71E1272"/>
    <w:lvl w:ilvl="0" w:tplc="CF6C22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6814"/>
    <w:multiLevelType w:val="multilevel"/>
    <w:tmpl w:val="175463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073A9"/>
    <w:rsid w:val="000321C4"/>
    <w:rsid w:val="0004067C"/>
    <w:rsid w:val="00053B96"/>
    <w:rsid w:val="00055177"/>
    <w:rsid w:val="00075899"/>
    <w:rsid w:val="000900AF"/>
    <w:rsid w:val="000A0D83"/>
    <w:rsid w:val="000D2F5F"/>
    <w:rsid w:val="000E50BB"/>
    <w:rsid w:val="000E5CF1"/>
    <w:rsid w:val="000F2277"/>
    <w:rsid w:val="001060F8"/>
    <w:rsid w:val="00122C23"/>
    <w:rsid w:val="0013024C"/>
    <w:rsid w:val="00130EBE"/>
    <w:rsid w:val="00134EBA"/>
    <w:rsid w:val="0014212C"/>
    <w:rsid w:val="001A6497"/>
    <w:rsid w:val="001B5241"/>
    <w:rsid w:val="001C40C7"/>
    <w:rsid w:val="001C45CE"/>
    <w:rsid w:val="001C7B5E"/>
    <w:rsid w:val="001F6FA3"/>
    <w:rsid w:val="0021113B"/>
    <w:rsid w:val="00212759"/>
    <w:rsid w:val="00240A42"/>
    <w:rsid w:val="00240E17"/>
    <w:rsid w:val="0024558D"/>
    <w:rsid w:val="00263E80"/>
    <w:rsid w:val="00275210"/>
    <w:rsid w:val="00276E31"/>
    <w:rsid w:val="002934DE"/>
    <w:rsid w:val="002D4262"/>
    <w:rsid w:val="002F37F1"/>
    <w:rsid w:val="002F55E8"/>
    <w:rsid w:val="00314C1C"/>
    <w:rsid w:val="003167F2"/>
    <w:rsid w:val="00321653"/>
    <w:rsid w:val="00323962"/>
    <w:rsid w:val="0034402B"/>
    <w:rsid w:val="00353F46"/>
    <w:rsid w:val="00366160"/>
    <w:rsid w:val="003779A0"/>
    <w:rsid w:val="003978F6"/>
    <w:rsid w:val="003E7F2B"/>
    <w:rsid w:val="003F2546"/>
    <w:rsid w:val="003F79B0"/>
    <w:rsid w:val="00403B7D"/>
    <w:rsid w:val="00404DC4"/>
    <w:rsid w:val="0040625D"/>
    <w:rsid w:val="0042663B"/>
    <w:rsid w:val="004275C9"/>
    <w:rsid w:val="00436B20"/>
    <w:rsid w:val="004440DA"/>
    <w:rsid w:val="0044680B"/>
    <w:rsid w:val="00447E43"/>
    <w:rsid w:val="00452FE0"/>
    <w:rsid w:val="004566C8"/>
    <w:rsid w:val="00460008"/>
    <w:rsid w:val="0046303F"/>
    <w:rsid w:val="00463DCC"/>
    <w:rsid w:val="00475581"/>
    <w:rsid w:val="00477DEC"/>
    <w:rsid w:val="00491389"/>
    <w:rsid w:val="004A2EED"/>
    <w:rsid w:val="004B42E6"/>
    <w:rsid w:val="004C7235"/>
    <w:rsid w:val="004D48FE"/>
    <w:rsid w:val="004D57C8"/>
    <w:rsid w:val="004E5FA2"/>
    <w:rsid w:val="004E7BB9"/>
    <w:rsid w:val="004F0A1E"/>
    <w:rsid w:val="00502694"/>
    <w:rsid w:val="00503F4E"/>
    <w:rsid w:val="00531B86"/>
    <w:rsid w:val="0053771C"/>
    <w:rsid w:val="00537A19"/>
    <w:rsid w:val="00543DDE"/>
    <w:rsid w:val="00553A74"/>
    <w:rsid w:val="005654FE"/>
    <w:rsid w:val="00585A22"/>
    <w:rsid w:val="005B7C32"/>
    <w:rsid w:val="005C04F0"/>
    <w:rsid w:val="005C6C11"/>
    <w:rsid w:val="005C7301"/>
    <w:rsid w:val="00600FAD"/>
    <w:rsid w:val="00606672"/>
    <w:rsid w:val="00624C2A"/>
    <w:rsid w:val="00627DDB"/>
    <w:rsid w:val="00653093"/>
    <w:rsid w:val="0068427C"/>
    <w:rsid w:val="006A23CD"/>
    <w:rsid w:val="00744ABF"/>
    <w:rsid w:val="00760FF0"/>
    <w:rsid w:val="00792033"/>
    <w:rsid w:val="007C24C5"/>
    <w:rsid w:val="007C4F76"/>
    <w:rsid w:val="007C62D3"/>
    <w:rsid w:val="007F5556"/>
    <w:rsid w:val="008078CD"/>
    <w:rsid w:val="00821602"/>
    <w:rsid w:val="00851147"/>
    <w:rsid w:val="00883676"/>
    <w:rsid w:val="008A665E"/>
    <w:rsid w:val="008C78D3"/>
    <w:rsid w:val="008D2985"/>
    <w:rsid w:val="00907E55"/>
    <w:rsid w:val="00912CEB"/>
    <w:rsid w:val="0095716B"/>
    <w:rsid w:val="00961D88"/>
    <w:rsid w:val="009817B1"/>
    <w:rsid w:val="00984AAF"/>
    <w:rsid w:val="009B5035"/>
    <w:rsid w:val="009C19F1"/>
    <w:rsid w:val="009D2278"/>
    <w:rsid w:val="009F7D8B"/>
    <w:rsid w:val="00A00B7A"/>
    <w:rsid w:val="00A0340D"/>
    <w:rsid w:val="00A1102D"/>
    <w:rsid w:val="00A14004"/>
    <w:rsid w:val="00A225DD"/>
    <w:rsid w:val="00A24F26"/>
    <w:rsid w:val="00A47BA6"/>
    <w:rsid w:val="00AA071B"/>
    <w:rsid w:val="00AC2953"/>
    <w:rsid w:val="00AC7107"/>
    <w:rsid w:val="00B04C0E"/>
    <w:rsid w:val="00B136F0"/>
    <w:rsid w:val="00B15116"/>
    <w:rsid w:val="00B16D35"/>
    <w:rsid w:val="00B23EA8"/>
    <w:rsid w:val="00B24CAE"/>
    <w:rsid w:val="00B411E4"/>
    <w:rsid w:val="00B50E63"/>
    <w:rsid w:val="00B510F0"/>
    <w:rsid w:val="00B52D40"/>
    <w:rsid w:val="00B56154"/>
    <w:rsid w:val="00B80EAE"/>
    <w:rsid w:val="00B9711E"/>
    <w:rsid w:val="00BB445C"/>
    <w:rsid w:val="00BB6331"/>
    <w:rsid w:val="00BD6DB6"/>
    <w:rsid w:val="00BE7C32"/>
    <w:rsid w:val="00BF29A6"/>
    <w:rsid w:val="00C06EDD"/>
    <w:rsid w:val="00C55C93"/>
    <w:rsid w:val="00C631BD"/>
    <w:rsid w:val="00C635BE"/>
    <w:rsid w:val="00C65B74"/>
    <w:rsid w:val="00C8228C"/>
    <w:rsid w:val="00C834AE"/>
    <w:rsid w:val="00CB48B0"/>
    <w:rsid w:val="00CC1974"/>
    <w:rsid w:val="00D0398B"/>
    <w:rsid w:val="00D125E9"/>
    <w:rsid w:val="00D26715"/>
    <w:rsid w:val="00D37C2E"/>
    <w:rsid w:val="00D56334"/>
    <w:rsid w:val="00D84290"/>
    <w:rsid w:val="00D947F5"/>
    <w:rsid w:val="00DA38B2"/>
    <w:rsid w:val="00DB3F89"/>
    <w:rsid w:val="00DD4392"/>
    <w:rsid w:val="00DE7BDB"/>
    <w:rsid w:val="00E22605"/>
    <w:rsid w:val="00E30FE0"/>
    <w:rsid w:val="00E50AAC"/>
    <w:rsid w:val="00E60ACE"/>
    <w:rsid w:val="00E711AC"/>
    <w:rsid w:val="00E936B4"/>
    <w:rsid w:val="00ED03C3"/>
    <w:rsid w:val="00ED1A5D"/>
    <w:rsid w:val="00EF5A43"/>
    <w:rsid w:val="00F1252E"/>
    <w:rsid w:val="00F20A95"/>
    <w:rsid w:val="00F21A5A"/>
    <w:rsid w:val="00FA0BBB"/>
    <w:rsid w:val="00FB2023"/>
    <w:rsid w:val="00FB744F"/>
    <w:rsid w:val="00FE2141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0A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50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AAC"/>
  </w:style>
  <w:style w:type="paragraph" w:styleId="Zpat">
    <w:name w:val="footer"/>
    <w:basedOn w:val="Normln"/>
    <w:link w:val="ZpatChar"/>
    <w:uiPriority w:val="99"/>
    <w:unhideWhenUsed/>
    <w:rsid w:val="00E5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AAC"/>
  </w:style>
  <w:style w:type="paragraph" w:styleId="Odstavecseseznamem">
    <w:name w:val="List Paragraph"/>
    <w:basedOn w:val="Normln"/>
    <w:uiPriority w:val="99"/>
    <w:qFormat/>
    <w:rsid w:val="00314C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Mičková Petra</cp:lastModifiedBy>
  <cp:revision>2</cp:revision>
  <cp:lastPrinted>2023-08-09T07:26:00Z</cp:lastPrinted>
  <dcterms:created xsi:type="dcterms:W3CDTF">2024-10-09T05:39:00Z</dcterms:created>
  <dcterms:modified xsi:type="dcterms:W3CDTF">2024-10-09T05:39:00Z</dcterms:modified>
</cp:coreProperties>
</file>