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6D4" w:rsidRDefault="008846D4">
      <w:pPr>
        <w:spacing w:after="99"/>
        <w:ind w:right="-271"/>
      </w:pPr>
    </w:p>
    <w:p w:rsidR="008846D4" w:rsidRDefault="00C80612">
      <w:pPr>
        <w:spacing w:after="40"/>
      </w:pPr>
      <w:r>
        <w:t xml:space="preserve"> </w:t>
      </w:r>
    </w:p>
    <w:p w:rsidR="008846D4" w:rsidRDefault="00C80612">
      <w:pPr>
        <w:spacing w:after="164"/>
        <w:ind w:left="-5" w:hanging="10"/>
      </w:pPr>
      <w:r>
        <w:rPr>
          <w:rFonts w:ascii="ISOCPEUR" w:eastAsia="ISOCPEUR" w:hAnsi="ISOCPEUR" w:cs="ISOCPEUR"/>
          <w:sz w:val="28"/>
          <w:u w:val="single" w:color="000000"/>
        </w:rPr>
        <w:t>CENOVÁ NABÍDKA PROJEKČNÍCH PRACÍ</w:t>
      </w:r>
      <w:r>
        <w:rPr>
          <w:rFonts w:ascii="ISOCPEUR" w:eastAsia="ISOCPEUR" w:hAnsi="ISOCPEUR" w:cs="ISOCPEUR"/>
          <w:sz w:val="28"/>
        </w:rPr>
        <w:t xml:space="preserve"> </w:t>
      </w:r>
    </w:p>
    <w:p w:rsidR="008846D4" w:rsidRDefault="00C80612">
      <w:pPr>
        <w:spacing w:after="10" w:line="267" w:lineRule="auto"/>
        <w:ind w:left="10" w:right="27" w:hanging="10"/>
      </w:pPr>
      <w:r>
        <w:rPr>
          <w:rFonts w:ascii="ISOCPEUR" w:eastAsia="ISOCPEUR" w:hAnsi="ISOCPEUR" w:cs="ISOCPEUR"/>
          <w:u w:val="single" w:color="000000"/>
        </w:rPr>
        <w:t>Akce:</w:t>
      </w:r>
      <w:r>
        <w:rPr>
          <w:rFonts w:ascii="ISOCPEUR" w:eastAsia="ISOCPEUR" w:hAnsi="ISOCPEUR" w:cs="ISOCPEUR"/>
        </w:rPr>
        <w:t xml:space="preserve"> Stavební úpravy a zateplení střechy OA, Karviná </w:t>
      </w:r>
    </w:p>
    <w:p w:rsidR="008846D4" w:rsidRDefault="00C80612">
      <w:pPr>
        <w:spacing w:after="10" w:line="267" w:lineRule="auto"/>
        <w:ind w:left="10" w:right="27" w:hanging="10"/>
      </w:pPr>
      <w:r>
        <w:rPr>
          <w:rFonts w:ascii="ISOCPEUR" w:eastAsia="ISOCPEUR" w:hAnsi="ISOCPEUR" w:cs="ISOCPEUR"/>
          <w:u w:val="single" w:color="000000"/>
        </w:rPr>
        <w:t>Pozemky:</w:t>
      </w:r>
      <w:r>
        <w:rPr>
          <w:rFonts w:ascii="ISOCPEUR" w:eastAsia="ISOCPEUR" w:hAnsi="ISOCPEUR" w:cs="ISOCPEUR"/>
        </w:rPr>
        <w:t xml:space="preserve"> p. č. 2515/3, katastrální území Karviná-město </w:t>
      </w:r>
    </w:p>
    <w:p w:rsidR="008846D4" w:rsidRDefault="00C80612">
      <w:pPr>
        <w:spacing w:after="10" w:line="267" w:lineRule="auto"/>
        <w:ind w:left="10" w:right="27" w:hanging="10"/>
      </w:pPr>
      <w:r>
        <w:rPr>
          <w:rFonts w:ascii="ISOCPEUR" w:eastAsia="ISOCPEUR" w:hAnsi="ISOCPEUR" w:cs="ISOCPEUR"/>
          <w:u w:val="single" w:color="000000"/>
        </w:rPr>
        <w:t>Adresa:</w:t>
      </w:r>
      <w:r>
        <w:rPr>
          <w:rFonts w:ascii="ISOCPEUR" w:eastAsia="ISOCPEUR" w:hAnsi="ISOCPEUR" w:cs="ISOCPEUR"/>
        </w:rPr>
        <w:t xml:space="preserve"> Leonovova 1795/3, 733 01 Karviná-</w:t>
      </w:r>
      <w:r>
        <w:rPr>
          <w:rFonts w:ascii="ISOCPEUR" w:eastAsia="ISOCPEUR" w:hAnsi="ISOCPEUR" w:cs="ISOCPEUR"/>
        </w:rPr>
        <w:t xml:space="preserve">Hranice </w:t>
      </w:r>
    </w:p>
    <w:p w:rsidR="008846D4" w:rsidRDefault="00C80612">
      <w:pPr>
        <w:spacing w:after="10" w:line="267" w:lineRule="auto"/>
        <w:ind w:left="10" w:right="672" w:hanging="10"/>
      </w:pPr>
      <w:r>
        <w:rPr>
          <w:rFonts w:ascii="ISOCPEUR" w:eastAsia="ISOCPEUR" w:hAnsi="ISOCPEUR" w:cs="ISOCPEUR"/>
          <w:u w:val="single" w:color="000000"/>
        </w:rPr>
        <w:t>Stavebník/investor:</w:t>
      </w:r>
      <w:r>
        <w:rPr>
          <w:rFonts w:ascii="ISOCPEUR" w:eastAsia="ISOCPEUR" w:hAnsi="ISOCPEUR" w:cs="ISOCPEUR"/>
        </w:rPr>
        <w:t xml:space="preserve"> Magistrát města Karviné, Fryštátská 72/1, 733 24 Karviná-Fryštát </w:t>
      </w:r>
      <w:r>
        <w:rPr>
          <w:rFonts w:ascii="ISOCPEUR" w:eastAsia="ISOCPEUR" w:hAnsi="ISOCPEUR" w:cs="ISOCPEUR"/>
          <w:u w:val="single" w:color="000000"/>
        </w:rPr>
        <w:t>Stručný popis akce:</w:t>
      </w:r>
      <w:r>
        <w:rPr>
          <w:rFonts w:ascii="ISOCPEUR" w:eastAsia="ISOCPEUR" w:hAnsi="ISOCPEUR" w:cs="ISOCPEUR"/>
        </w:rPr>
        <w:t xml:space="preserve"> </w:t>
      </w:r>
    </w:p>
    <w:p w:rsidR="008846D4" w:rsidRDefault="00C80612">
      <w:pPr>
        <w:spacing w:after="38" w:line="275" w:lineRule="auto"/>
        <w:ind w:right="37"/>
        <w:jc w:val="both"/>
      </w:pPr>
      <w:r>
        <w:rPr>
          <w:rFonts w:ascii="ISOCPEUR" w:eastAsia="ISOCPEUR" w:hAnsi="ISOCPEUR" w:cs="ISOCPEUR"/>
        </w:rPr>
        <w:t xml:space="preserve"> Projektová dokumentace ve stupni pro provedení stavby (DPS) včetně rozpočtu a výkazu výměr na opravu střešní konstrukce pavilonu školní jíde</w:t>
      </w:r>
      <w:r>
        <w:rPr>
          <w:rFonts w:ascii="ISOCPEUR" w:eastAsia="ISOCPEUR" w:hAnsi="ISOCPEUR" w:cs="ISOCPEUR"/>
        </w:rPr>
        <w:t>lny OA na ul. Leonovova 1795/3. Projektová dokumentace bude řešit zateplení této části střešní konstrukce, oplechování, řešení hromosvodu, odvětrání, střešní vpusti a dále posouzení budoucího umístění FVE. Před zahájením projekčních prací bude provedena so</w:t>
      </w:r>
      <w:r>
        <w:rPr>
          <w:rFonts w:ascii="ISOCPEUR" w:eastAsia="ISOCPEUR" w:hAnsi="ISOCPEUR" w:cs="ISOCPEUR"/>
        </w:rPr>
        <w:t xml:space="preserve">nda do střešní konstrukce pro ověření skladby střešního pláště. </w:t>
      </w:r>
    </w:p>
    <w:p w:rsidR="008846D4" w:rsidRDefault="00C80612">
      <w:pPr>
        <w:spacing w:after="75"/>
      </w:pPr>
      <w:r>
        <w:rPr>
          <w:rFonts w:ascii="ISOCPEUR" w:eastAsia="ISOCPEUR" w:hAnsi="ISOCPEUR" w:cs="ISOCPEUR"/>
        </w:rPr>
        <w:t xml:space="preserve"> </w:t>
      </w:r>
      <w:r>
        <w:rPr>
          <w:rFonts w:ascii="ISOCPEUR" w:eastAsia="ISOCPEUR" w:hAnsi="ISOCPEUR" w:cs="ISOCPEUR"/>
        </w:rPr>
        <w:tab/>
        <w:t xml:space="preserve"> </w:t>
      </w:r>
    </w:p>
    <w:p w:rsidR="008846D4" w:rsidRDefault="00C80612">
      <w:pPr>
        <w:spacing w:after="0"/>
        <w:ind w:left="-5" w:hanging="10"/>
      </w:pPr>
      <w:r>
        <w:rPr>
          <w:rFonts w:ascii="ISOCPEUR" w:eastAsia="ISOCPEUR" w:hAnsi="ISOCPEUR" w:cs="ISOCPEUR"/>
          <w:sz w:val="28"/>
          <w:u w:val="single" w:color="000000"/>
        </w:rPr>
        <w:t>Fáze předprojektové přípravy:</w:t>
      </w:r>
      <w:r>
        <w:rPr>
          <w:rFonts w:ascii="ISOCPEUR" w:eastAsia="ISOCPEUR" w:hAnsi="ISOCPEUR" w:cs="ISOCPEUR"/>
          <w:sz w:val="28"/>
        </w:rPr>
        <w:t xml:space="preserve"> </w:t>
      </w:r>
    </w:p>
    <w:p w:rsidR="008846D4" w:rsidRDefault="00C80612">
      <w:pPr>
        <w:numPr>
          <w:ilvl w:val="0"/>
          <w:numId w:val="1"/>
        </w:numPr>
        <w:spacing w:after="10" w:line="267" w:lineRule="auto"/>
        <w:ind w:right="27" w:hanging="348"/>
      </w:pPr>
      <w:r>
        <w:rPr>
          <w:rFonts w:ascii="ISOCPEUR" w:eastAsia="ISOCPEUR" w:hAnsi="ISOCPEUR" w:cs="ISOCPEUR"/>
        </w:rPr>
        <w:t xml:space="preserve">Shromáždění vstupních podkladů </w:t>
      </w:r>
    </w:p>
    <w:p w:rsidR="008846D4" w:rsidRDefault="00C80612">
      <w:pPr>
        <w:numPr>
          <w:ilvl w:val="0"/>
          <w:numId w:val="1"/>
        </w:numPr>
        <w:spacing w:after="10" w:line="267" w:lineRule="auto"/>
        <w:ind w:right="27" w:hanging="348"/>
      </w:pPr>
      <w:r>
        <w:rPr>
          <w:rFonts w:ascii="ISOCPEUR" w:eastAsia="ISOCPEUR" w:hAnsi="ISOCPEUR" w:cs="ISOCPEUR"/>
        </w:rPr>
        <w:t xml:space="preserve">Stanovení cílů a konzultace </w:t>
      </w:r>
    </w:p>
    <w:p w:rsidR="008846D4" w:rsidRDefault="00C80612">
      <w:pPr>
        <w:numPr>
          <w:ilvl w:val="0"/>
          <w:numId w:val="1"/>
        </w:numPr>
        <w:spacing w:after="10" w:line="267" w:lineRule="auto"/>
        <w:ind w:right="27" w:hanging="348"/>
      </w:pPr>
      <w:r>
        <w:rPr>
          <w:rFonts w:ascii="ISOCPEUR" w:eastAsia="ISOCPEUR" w:hAnsi="ISOCPEUR" w:cs="ISOCPEUR"/>
        </w:rPr>
        <w:t xml:space="preserve">Zaměření stávající střešní konstrukce </w:t>
      </w:r>
    </w:p>
    <w:p w:rsidR="008846D4" w:rsidRDefault="00C80612">
      <w:pPr>
        <w:numPr>
          <w:ilvl w:val="0"/>
          <w:numId w:val="1"/>
        </w:numPr>
        <w:spacing w:after="71" w:line="267" w:lineRule="auto"/>
        <w:ind w:right="27" w:hanging="348"/>
      </w:pPr>
      <w:r>
        <w:rPr>
          <w:rFonts w:ascii="ISOCPEUR" w:eastAsia="ISOCPEUR" w:hAnsi="ISOCPEUR" w:cs="ISOCPEUR"/>
        </w:rPr>
        <w:t xml:space="preserve">Provedení sond (2ks) do střešního pláště </w:t>
      </w:r>
    </w:p>
    <w:p w:rsidR="008846D4" w:rsidRDefault="00C80612">
      <w:pPr>
        <w:spacing w:after="59"/>
      </w:pPr>
      <w:r>
        <w:rPr>
          <w:rFonts w:ascii="ISOCPEUR" w:eastAsia="ISOCPEUR" w:hAnsi="ISOCPEUR" w:cs="ISOCPEUR"/>
          <w:sz w:val="24"/>
        </w:rPr>
        <w:t xml:space="preserve"> </w:t>
      </w:r>
      <w:r>
        <w:rPr>
          <w:rFonts w:ascii="ISOCPEUR" w:eastAsia="ISOCPEUR" w:hAnsi="ISOCPEUR" w:cs="ISOCPEUR"/>
          <w:sz w:val="24"/>
        </w:rPr>
        <w:tab/>
        <w:t xml:space="preserve"> </w:t>
      </w:r>
    </w:p>
    <w:p w:rsidR="008846D4" w:rsidRDefault="00C80612">
      <w:pPr>
        <w:spacing w:after="0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910211</wp:posOffset>
                </wp:positionH>
                <wp:positionV relativeFrom="page">
                  <wp:posOffset>10034226</wp:posOffset>
                </wp:positionV>
                <wp:extent cx="5731341" cy="6122"/>
                <wp:effectExtent l="0" t="0" r="0" b="0"/>
                <wp:wrapTopAndBottom/>
                <wp:docPr id="1622" name="Group 16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341" cy="6122"/>
                          <a:chOff x="0" y="0"/>
                          <a:chExt cx="5731341" cy="6122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57313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341">
                                <a:moveTo>
                                  <a:pt x="573134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12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22" style="width:451.287pt;height:0.482014pt;position:absolute;mso-position-horizontal-relative:page;mso-position-horizontal:absolute;margin-left:71.6702pt;mso-position-vertical-relative:page;margin-top:790.096pt;" coordsize="57313,61">
                <v:shape id="Shape 23" style="position:absolute;width:57313;height:0;left:0;top:0;" coordsize="5731341,0" path="m5731341,0l0,0x">
                  <v:stroke weight="0.482014pt" endcap="flat" joinstyle="round" on="true" color="#00000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rFonts w:ascii="ISOCPEUR" w:eastAsia="ISOCPEUR" w:hAnsi="ISOCPEUR" w:cs="ISOCPEUR"/>
          <w:sz w:val="28"/>
          <w:u w:val="single" w:color="000000"/>
        </w:rPr>
        <w:t>Fáze stav</w:t>
      </w:r>
      <w:r>
        <w:rPr>
          <w:rFonts w:ascii="ISOCPEUR" w:eastAsia="ISOCPEUR" w:hAnsi="ISOCPEUR" w:cs="ISOCPEUR"/>
          <w:sz w:val="28"/>
          <w:u w:val="single" w:color="000000"/>
        </w:rPr>
        <w:t>ebního řízení – Dokumentace pro provedení stavby (DPS):</w:t>
      </w:r>
      <w:r>
        <w:rPr>
          <w:rFonts w:ascii="ISOCPEUR" w:eastAsia="ISOCPEUR" w:hAnsi="ISOCPEUR" w:cs="ISOCPEUR"/>
          <w:sz w:val="28"/>
        </w:rPr>
        <w:t xml:space="preserve"> </w:t>
      </w:r>
    </w:p>
    <w:p w:rsidR="008846D4" w:rsidRDefault="00C80612">
      <w:pPr>
        <w:numPr>
          <w:ilvl w:val="0"/>
          <w:numId w:val="1"/>
        </w:numPr>
        <w:spacing w:after="10" w:line="267" w:lineRule="auto"/>
        <w:ind w:right="27" w:hanging="348"/>
      </w:pPr>
      <w:r>
        <w:rPr>
          <w:rFonts w:ascii="ISOCPEUR" w:eastAsia="ISOCPEUR" w:hAnsi="ISOCPEUR" w:cs="ISOCPEUR"/>
        </w:rPr>
        <w:t xml:space="preserve">Projektová dokumentace dle vyhl. č. 499/2006 Sb. (405/2017 Sb.) </w:t>
      </w:r>
    </w:p>
    <w:p w:rsidR="008846D4" w:rsidRDefault="00C80612">
      <w:pPr>
        <w:spacing w:after="10" w:line="267" w:lineRule="auto"/>
        <w:ind w:left="293" w:right="27" w:hanging="10"/>
      </w:pPr>
      <w:r>
        <w:rPr>
          <w:rFonts w:ascii="ISOCPEUR" w:eastAsia="ISOCPEUR" w:hAnsi="ISOCPEUR" w:cs="ISOCPEUR"/>
        </w:rPr>
        <w:t xml:space="preserve">Průvodní zpráva, souhrnná technická zpráva, situační výkresy, architektonicko-stavební řešení, stavebně konstrukční řešení – </w:t>
      </w:r>
      <w:r>
        <w:rPr>
          <w:rFonts w:ascii="ISOCPEUR" w:eastAsia="ISOCPEUR" w:hAnsi="ISOCPEUR" w:cs="ISOCPEUR"/>
        </w:rPr>
        <w:t xml:space="preserve">statické posouzení, technika prostředí staveb – řešení hromosvodu </w:t>
      </w:r>
    </w:p>
    <w:p w:rsidR="008846D4" w:rsidRDefault="00C80612">
      <w:pPr>
        <w:numPr>
          <w:ilvl w:val="0"/>
          <w:numId w:val="1"/>
        </w:numPr>
        <w:spacing w:after="10" w:line="267" w:lineRule="auto"/>
        <w:ind w:right="27" w:hanging="348"/>
      </w:pPr>
      <w:r>
        <w:rPr>
          <w:rFonts w:ascii="ISOCPEUR" w:eastAsia="ISOCPEUR" w:hAnsi="ISOCPEUR" w:cs="ISOCPEUR"/>
        </w:rPr>
        <w:t xml:space="preserve">Tisk a kompletace (3x tištěné paré + elektronická verze ve formátu PDF, DWG) </w:t>
      </w:r>
    </w:p>
    <w:p w:rsidR="008846D4" w:rsidRDefault="00C80612">
      <w:pPr>
        <w:spacing w:after="78"/>
      </w:pPr>
      <w:r>
        <w:rPr>
          <w:rFonts w:ascii="ISOCPEUR" w:eastAsia="ISOCPEUR" w:hAnsi="ISOCPEUR" w:cs="ISOCPEUR"/>
        </w:rPr>
        <w:t xml:space="preserve"> </w:t>
      </w:r>
    </w:p>
    <w:p w:rsidR="008846D4" w:rsidRDefault="00C80612">
      <w:pPr>
        <w:tabs>
          <w:tab w:val="center" w:pos="2450"/>
        </w:tabs>
        <w:spacing w:after="0"/>
        <w:ind w:left="-15"/>
      </w:pPr>
      <w:r>
        <w:rPr>
          <w:rFonts w:ascii="ISOCPEUR" w:eastAsia="ISOCPEUR" w:hAnsi="ISOCPEUR" w:cs="ISOCPEUR"/>
          <w:sz w:val="24"/>
        </w:rPr>
        <w:t xml:space="preserve">Cena (Kč): </w:t>
      </w:r>
      <w:r>
        <w:rPr>
          <w:rFonts w:ascii="ISOCPEUR" w:eastAsia="ISOCPEUR" w:hAnsi="ISOCPEUR" w:cs="ISOCPEUR"/>
          <w:sz w:val="24"/>
        </w:rPr>
        <w:tab/>
        <w:t xml:space="preserve">163 000,- Kč bez DPH </w:t>
      </w:r>
    </w:p>
    <w:p w:rsidR="008846D4" w:rsidRDefault="00C80612">
      <w:pPr>
        <w:spacing w:after="97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798185" cy="6096"/>
                <wp:effectExtent l="0" t="0" r="0" b="0"/>
                <wp:docPr id="1623" name="Group 1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096"/>
                          <a:chOff x="0" y="0"/>
                          <a:chExt cx="5798185" cy="6096"/>
                        </a:xfrm>
                      </wpg:grpSpPr>
                      <wps:wsp>
                        <wps:cNvPr id="1933" name="Shape 1933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23" style="width:456.55pt;height:0.47998pt;mso-position-horizontal-relative:char;mso-position-vertical-relative:line" coordsize="57981,60">
                <v:shape id="Shape 1934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846D4" w:rsidRDefault="00C80612">
      <w:pPr>
        <w:spacing w:after="0"/>
        <w:ind w:left="-5" w:hanging="10"/>
      </w:pPr>
      <w:r>
        <w:rPr>
          <w:rFonts w:ascii="ISOCPEUR" w:eastAsia="ISOCPEUR" w:hAnsi="ISOCPEUR" w:cs="ISOCPEUR"/>
          <w:sz w:val="24"/>
        </w:rPr>
        <w:t>Cena celkem:</w:t>
      </w:r>
      <w:r>
        <w:rPr>
          <w:rFonts w:ascii="ISOCPEUR" w:eastAsia="ISOCPEUR" w:hAnsi="ISOCPEUR" w:cs="ISOCPEUR"/>
          <w:sz w:val="24"/>
        </w:rPr>
        <w:tab/>
      </w:r>
      <w:r>
        <w:rPr>
          <w:rFonts w:ascii="ISOCPEUR" w:eastAsia="ISOCPEUR" w:hAnsi="ISOCPEUR" w:cs="ISOCPEUR"/>
          <w:sz w:val="24"/>
        </w:rPr>
        <w:t xml:space="preserve">163 000,- Kč bez DPH </w:t>
      </w:r>
    </w:p>
    <w:p w:rsidR="008846D4" w:rsidRDefault="00C80612">
      <w:pPr>
        <w:spacing w:after="23" w:line="258" w:lineRule="auto"/>
        <w:ind w:left="-5" w:hanging="10"/>
      </w:pPr>
      <w:r>
        <w:rPr>
          <w:rFonts w:ascii="ISOCPEUR" w:eastAsia="ISOCPEUR" w:hAnsi="ISOCPEUR" w:cs="ISOCPEUR"/>
          <w:color w:val="FF0000"/>
        </w:rPr>
        <w:t>Momentálně nejsme plátci DPH, ale v do</w:t>
      </w:r>
      <w:r>
        <w:rPr>
          <w:rFonts w:ascii="ISOCPEUR" w:eastAsia="ISOCPEUR" w:hAnsi="ISOCPEUR" w:cs="ISOCPEUR"/>
          <w:color w:val="FF0000"/>
        </w:rPr>
        <w:t xml:space="preserve">bě fakturace již plátci DPH budeme, tedy je potřeba připočítat </w:t>
      </w:r>
    </w:p>
    <w:p w:rsidR="008846D4" w:rsidRDefault="00C80612">
      <w:pPr>
        <w:spacing w:after="23" w:line="258" w:lineRule="auto"/>
        <w:ind w:left="-5" w:right="1950" w:hanging="10"/>
      </w:pPr>
      <w:r>
        <w:rPr>
          <w:rFonts w:ascii="ISOCPEUR" w:eastAsia="ISOCPEUR" w:hAnsi="ISOCPEUR" w:cs="ISOCPEUR"/>
          <w:color w:val="FF0000"/>
        </w:rPr>
        <w:t xml:space="preserve">21 % = 34 230 Kč a tedy výsledná fakturovaná částka bude 197 230 Kč vč. DPH </w:t>
      </w:r>
      <w:r>
        <w:rPr>
          <w:rFonts w:ascii="ISOCPEUR" w:eastAsia="ISOCPEUR" w:hAnsi="ISOCPEUR" w:cs="ISOCPEUR"/>
          <w:sz w:val="28"/>
        </w:rPr>
        <w:t xml:space="preserve"> </w:t>
      </w:r>
    </w:p>
    <w:p w:rsidR="00C80612" w:rsidRDefault="00C80612">
      <w:pPr>
        <w:spacing w:after="0"/>
        <w:ind w:left="-5" w:hanging="10"/>
        <w:rPr>
          <w:rFonts w:ascii="ISOCPEUR" w:eastAsia="ISOCPEUR" w:hAnsi="ISOCPEUR" w:cs="ISOCPEUR"/>
          <w:sz w:val="28"/>
          <w:u w:val="single" w:color="000000"/>
        </w:rPr>
      </w:pPr>
    </w:p>
    <w:p w:rsidR="008846D4" w:rsidRDefault="00C80612">
      <w:pPr>
        <w:spacing w:after="0"/>
        <w:ind w:left="-5" w:hanging="10"/>
      </w:pPr>
      <w:bookmarkStart w:id="0" w:name="_GoBack"/>
      <w:bookmarkEnd w:id="0"/>
      <w:r>
        <w:rPr>
          <w:rFonts w:ascii="ISOCPEUR" w:eastAsia="ISOCPEUR" w:hAnsi="ISOCPEUR" w:cs="ISOCPEUR"/>
          <w:sz w:val="28"/>
          <w:u w:val="single" w:color="000000"/>
        </w:rPr>
        <w:t>Autorský dozor:</w:t>
      </w:r>
      <w:r>
        <w:rPr>
          <w:rFonts w:ascii="ISOCPEUR" w:eastAsia="ISOCPEUR" w:hAnsi="ISOCPEUR" w:cs="ISOCPEUR"/>
          <w:sz w:val="24"/>
        </w:rPr>
        <w:t xml:space="preserve"> </w:t>
      </w:r>
    </w:p>
    <w:p w:rsidR="008846D4" w:rsidRDefault="00C80612">
      <w:pPr>
        <w:numPr>
          <w:ilvl w:val="0"/>
          <w:numId w:val="2"/>
        </w:numPr>
        <w:spacing w:after="67" w:line="267" w:lineRule="auto"/>
        <w:ind w:right="27" w:hanging="348"/>
      </w:pPr>
      <w:r>
        <w:rPr>
          <w:rFonts w:ascii="ISOCPEUR" w:eastAsia="ISOCPEUR" w:hAnsi="ISOCPEUR" w:cs="ISOCPEUR"/>
        </w:rPr>
        <w:t>Autorský dozor bude vykonávaný dle potřeby a požadavku investora na základě samostatné objednávky</w:t>
      </w:r>
      <w:r>
        <w:rPr>
          <w:rFonts w:ascii="ISOCPEUR" w:eastAsia="ISOCPEUR" w:hAnsi="ISOCPEUR" w:cs="ISOCPEUR"/>
        </w:rPr>
        <w:t xml:space="preserve">. </w:t>
      </w:r>
    </w:p>
    <w:p w:rsidR="008846D4" w:rsidRDefault="00C80612">
      <w:pPr>
        <w:tabs>
          <w:tab w:val="center" w:pos="1965"/>
        </w:tabs>
        <w:spacing w:after="59"/>
      </w:pPr>
      <w:r>
        <w:rPr>
          <w:rFonts w:ascii="ISOCPEUR" w:eastAsia="ISOCPEUR" w:hAnsi="ISOCPEUR" w:cs="ISOCPEUR"/>
          <w:sz w:val="24"/>
        </w:rPr>
        <w:t xml:space="preserve">Cena (Kč): </w:t>
      </w:r>
      <w:r>
        <w:rPr>
          <w:rFonts w:ascii="ISOCPEUR" w:eastAsia="ISOCPEUR" w:hAnsi="ISOCPEUR" w:cs="ISOCPEUR"/>
          <w:sz w:val="24"/>
        </w:rPr>
        <w:tab/>
        <w:t xml:space="preserve">550 kč/hod. </w:t>
      </w:r>
    </w:p>
    <w:p w:rsidR="008846D4" w:rsidRDefault="00C80612">
      <w:pPr>
        <w:spacing w:after="22"/>
      </w:pPr>
      <w:r>
        <w:rPr>
          <w:rFonts w:ascii="ISOCPEUR" w:eastAsia="ISOCPEUR" w:hAnsi="ISOCPEUR" w:cs="ISOCPEUR"/>
          <w:sz w:val="28"/>
        </w:rPr>
        <w:t xml:space="preserve"> </w:t>
      </w:r>
    </w:p>
    <w:p w:rsidR="008846D4" w:rsidRDefault="00C80612">
      <w:pPr>
        <w:spacing w:after="0"/>
        <w:ind w:left="-5" w:hanging="10"/>
      </w:pPr>
      <w:r>
        <w:rPr>
          <w:rFonts w:ascii="ISOCPEUR" w:eastAsia="ISOCPEUR" w:hAnsi="ISOCPEUR" w:cs="ISOCPEUR"/>
          <w:sz w:val="28"/>
          <w:u w:val="single" w:color="000000"/>
        </w:rPr>
        <w:t>Termín prací a dodání:</w:t>
      </w:r>
      <w:r>
        <w:rPr>
          <w:rFonts w:ascii="ISOCPEUR" w:eastAsia="ISOCPEUR" w:hAnsi="ISOCPEUR" w:cs="ISOCPEUR"/>
          <w:sz w:val="28"/>
        </w:rPr>
        <w:t xml:space="preserve"> </w:t>
      </w:r>
    </w:p>
    <w:p w:rsidR="008846D4" w:rsidRDefault="00C80612">
      <w:pPr>
        <w:numPr>
          <w:ilvl w:val="0"/>
          <w:numId w:val="2"/>
        </w:numPr>
        <w:spacing w:after="10" w:line="267" w:lineRule="auto"/>
        <w:ind w:right="27" w:hanging="348"/>
      </w:pPr>
      <w:r>
        <w:rPr>
          <w:rFonts w:ascii="ISOCPEUR" w:eastAsia="ISOCPEUR" w:hAnsi="ISOCPEUR" w:cs="ISOCPEUR"/>
        </w:rPr>
        <w:t xml:space="preserve">Začátek prací – 1. 10. 2024 </w:t>
      </w:r>
    </w:p>
    <w:p w:rsidR="008846D4" w:rsidRDefault="00C80612">
      <w:pPr>
        <w:numPr>
          <w:ilvl w:val="0"/>
          <w:numId w:val="2"/>
        </w:numPr>
        <w:spacing w:after="639"/>
        <w:ind w:right="27" w:hanging="348"/>
      </w:pPr>
      <w:r>
        <w:rPr>
          <w:rFonts w:ascii="ISOCPEUR" w:eastAsia="ISOCPEUR" w:hAnsi="ISOCPEUR" w:cs="ISOCPEUR"/>
        </w:rPr>
        <w:t xml:space="preserve">Dokončení PD DPS – 30. 11. 2024  </w:t>
      </w:r>
    </w:p>
    <w:p w:rsidR="008846D4" w:rsidRDefault="00C80612">
      <w:pPr>
        <w:spacing w:after="0"/>
        <w:ind w:right="10"/>
        <w:jc w:val="right"/>
      </w:pPr>
      <w:r>
        <w:t xml:space="preserve"> </w:t>
      </w:r>
    </w:p>
    <w:p w:rsidR="008846D4" w:rsidRDefault="00C80612">
      <w:pPr>
        <w:spacing w:after="0"/>
      </w:pPr>
      <w:r>
        <w:t xml:space="preserve"> </w:t>
      </w:r>
    </w:p>
    <w:sectPr w:rsidR="008846D4">
      <w:pgSz w:w="11906" w:h="16838"/>
      <w:pgMar w:top="269" w:right="137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SOCPEUR">
    <w:panose1 w:val="020B0604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2577B"/>
    <w:multiLevelType w:val="hybridMultilevel"/>
    <w:tmpl w:val="B9428C96"/>
    <w:lvl w:ilvl="0" w:tplc="DFFEA764">
      <w:start w:val="1"/>
      <w:numFmt w:val="bullet"/>
      <w:lvlText w:val="-"/>
      <w:lvlJc w:val="left"/>
      <w:pPr>
        <w:ind w:left="693"/>
      </w:pPr>
      <w:rPr>
        <w:rFonts w:ascii="ISOCPEUR" w:eastAsia="ISOCPEUR" w:hAnsi="ISOCPEUR" w:cs="ISOCPEU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C09920">
      <w:start w:val="1"/>
      <w:numFmt w:val="bullet"/>
      <w:lvlText w:val="o"/>
      <w:lvlJc w:val="left"/>
      <w:pPr>
        <w:ind w:left="1440"/>
      </w:pPr>
      <w:rPr>
        <w:rFonts w:ascii="ISOCPEUR" w:eastAsia="ISOCPEUR" w:hAnsi="ISOCPEUR" w:cs="ISOCPEU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44AD02">
      <w:start w:val="1"/>
      <w:numFmt w:val="bullet"/>
      <w:lvlText w:val="▪"/>
      <w:lvlJc w:val="left"/>
      <w:pPr>
        <w:ind w:left="2160"/>
      </w:pPr>
      <w:rPr>
        <w:rFonts w:ascii="ISOCPEUR" w:eastAsia="ISOCPEUR" w:hAnsi="ISOCPEUR" w:cs="ISOCPEU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509594">
      <w:start w:val="1"/>
      <w:numFmt w:val="bullet"/>
      <w:lvlText w:val="•"/>
      <w:lvlJc w:val="left"/>
      <w:pPr>
        <w:ind w:left="2880"/>
      </w:pPr>
      <w:rPr>
        <w:rFonts w:ascii="ISOCPEUR" w:eastAsia="ISOCPEUR" w:hAnsi="ISOCPEUR" w:cs="ISOCPEU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1EA610">
      <w:start w:val="1"/>
      <w:numFmt w:val="bullet"/>
      <w:lvlText w:val="o"/>
      <w:lvlJc w:val="left"/>
      <w:pPr>
        <w:ind w:left="3600"/>
      </w:pPr>
      <w:rPr>
        <w:rFonts w:ascii="ISOCPEUR" w:eastAsia="ISOCPEUR" w:hAnsi="ISOCPEUR" w:cs="ISOCPEU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62483E">
      <w:start w:val="1"/>
      <w:numFmt w:val="bullet"/>
      <w:lvlText w:val="▪"/>
      <w:lvlJc w:val="left"/>
      <w:pPr>
        <w:ind w:left="4320"/>
      </w:pPr>
      <w:rPr>
        <w:rFonts w:ascii="ISOCPEUR" w:eastAsia="ISOCPEUR" w:hAnsi="ISOCPEUR" w:cs="ISOCPEU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A0A314">
      <w:start w:val="1"/>
      <w:numFmt w:val="bullet"/>
      <w:lvlText w:val="•"/>
      <w:lvlJc w:val="left"/>
      <w:pPr>
        <w:ind w:left="5040"/>
      </w:pPr>
      <w:rPr>
        <w:rFonts w:ascii="ISOCPEUR" w:eastAsia="ISOCPEUR" w:hAnsi="ISOCPEUR" w:cs="ISOCPEU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DA8422">
      <w:start w:val="1"/>
      <w:numFmt w:val="bullet"/>
      <w:lvlText w:val="o"/>
      <w:lvlJc w:val="left"/>
      <w:pPr>
        <w:ind w:left="5760"/>
      </w:pPr>
      <w:rPr>
        <w:rFonts w:ascii="ISOCPEUR" w:eastAsia="ISOCPEUR" w:hAnsi="ISOCPEUR" w:cs="ISOCPEU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AE906E">
      <w:start w:val="1"/>
      <w:numFmt w:val="bullet"/>
      <w:lvlText w:val="▪"/>
      <w:lvlJc w:val="left"/>
      <w:pPr>
        <w:ind w:left="6480"/>
      </w:pPr>
      <w:rPr>
        <w:rFonts w:ascii="ISOCPEUR" w:eastAsia="ISOCPEUR" w:hAnsi="ISOCPEUR" w:cs="ISOCPEU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37712A"/>
    <w:multiLevelType w:val="hybridMultilevel"/>
    <w:tmpl w:val="566E4C3C"/>
    <w:lvl w:ilvl="0" w:tplc="EA568C86">
      <w:start w:val="1"/>
      <w:numFmt w:val="bullet"/>
      <w:lvlText w:val="-"/>
      <w:lvlJc w:val="left"/>
      <w:pPr>
        <w:ind w:left="693"/>
      </w:pPr>
      <w:rPr>
        <w:rFonts w:ascii="ISOCPEUR" w:eastAsia="ISOCPEUR" w:hAnsi="ISOCPEUR" w:cs="ISOCPEU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76B9FA">
      <w:start w:val="1"/>
      <w:numFmt w:val="bullet"/>
      <w:lvlText w:val="o"/>
      <w:lvlJc w:val="left"/>
      <w:pPr>
        <w:ind w:left="1440"/>
      </w:pPr>
      <w:rPr>
        <w:rFonts w:ascii="ISOCPEUR" w:eastAsia="ISOCPEUR" w:hAnsi="ISOCPEUR" w:cs="ISOCPEU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BC79B6">
      <w:start w:val="1"/>
      <w:numFmt w:val="bullet"/>
      <w:lvlText w:val="▪"/>
      <w:lvlJc w:val="left"/>
      <w:pPr>
        <w:ind w:left="2160"/>
      </w:pPr>
      <w:rPr>
        <w:rFonts w:ascii="ISOCPEUR" w:eastAsia="ISOCPEUR" w:hAnsi="ISOCPEUR" w:cs="ISOCPEU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10F4E0">
      <w:start w:val="1"/>
      <w:numFmt w:val="bullet"/>
      <w:lvlText w:val="•"/>
      <w:lvlJc w:val="left"/>
      <w:pPr>
        <w:ind w:left="2880"/>
      </w:pPr>
      <w:rPr>
        <w:rFonts w:ascii="ISOCPEUR" w:eastAsia="ISOCPEUR" w:hAnsi="ISOCPEUR" w:cs="ISOCPEU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D2EE7C">
      <w:start w:val="1"/>
      <w:numFmt w:val="bullet"/>
      <w:lvlText w:val="o"/>
      <w:lvlJc w:val="left"/>
      <w:pPr>
        <w:ind w:left="3600"/>
      </w:pPr>
      <w:rPr>
        <w:rFonts w:ascii="ISOCPEUR" w:eastAsia="ISOCPEUR" w:hAnsi="ISOCPEUR" w:cs="ISOCPEU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ECDB12">
      <w:start w:val="1"/>
      <w:numFmt w:val="bullet"/>
      <w:lvlText w:val="▪"/>
      <w:lvlJc w:val="left"/>
      <w:pPr>
        <w:ind w:left="4320"/>
      </w:pPr>
      <w:rPr>
        <w:rFonts w:ascii="ISOCPEUR" w:eastAsia="ISOCPEUR" w:hAnsi="ISOCPEUR" w:cs="ISOCPEU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563702">
      <w:start w:val="1"/>
      <w:numFmt w:val="bullet"/>
      <w:lvlText w:val="•"/>
      <w:lvlJc w:val="left"/>
      <w:pPr>
        <w:ind w:left="5040"/>
      </w:pPr>
      <w:rPr>
        <w:rFonts w:ascii="ISOCPEUR" w:eastAsia="ISOCPEUR" w:hAnsi="ISOCPEUR" w:cs="ISOCPEU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0A9704">
      <w:start w:val="1"/>
      <w:numFmt w:val="bullet"/>
      <w:lvlText w:val="o"/>
      <w:lvlJc w:val="left"/>
      <w:pPr>
        <w:ind w:left="5760"/>
      </w:pPr>
      <w:rPr>
        <w:rFonts w:ascii="ISOCPEUR" w:eastAsia="ISOCPEUR" w:hAnsi="ISOCPEUR" w:cs="ISOCPEU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EC0F5E">
      <w:start w:val="1"/>
      <w:numFmt w:val="bullet"/>
      <w:lvlText w:val="▪"/>
      <w:lvlJc w:val="left"/>
      <w:pPr>
        <w:ind w:left="6480"/>
      </w:pPr>
      <w:rPr>
        <w:rFonts w:ascii="ISOCPEUR" w:eastAsia="ISOCPEUR" w:hAnsi="ISOCPEUR" w:cs="ISOCPEUR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6D4"/>
    <w:rsid w:val="008846D4"/>
    <w:rsid w:val="00C8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6CC2"/>
  <w15:docId w15:val="{68578CB8-4E1A-4C71-911A-77FDEE8A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ziki777@seznam.cz</dc:creator>
  <cp:keywords/>
  <cp:lastModifiedBy>Hefnerová Andrea</cp:lastModifiedBy>
  <cp:revision>2</cp:revision>
  <dcterms:created xsi:type="dcterms:W3CDTF">2024-09-25T12:10:00Z</dcterms:created>
  <dcterms:modified xsi:type="dcterms:W3CDTF">2024-09-25T12:10:00Z</dcterms:modified>
</cp:coreProperties>
</file>