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20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1210700023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81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Jabloňany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485"/>
        <w:jc w:val="left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Jabloňany,</w:t>
      </w:r>
      <w:r>
        <w:rPr>
          <w:spacing w:val="-5"/>
        </w:rPr>
        <w:t> </w:t>
      </w:r>
      <w:r>
        <w:rPr/>
        <w:t>Jabloňany</w:t>
      </w:r>
      <w:r>
        <w:rPr>
          <w:spacing w:val="-3"/>
        </w:rPr>
        <w:t> </w:t>
      </w:r>
      <w:r>
        <w:rPr/>
        <w:t>č.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88,</w:t>
      </w:r>
      <w:r>
        <w:rPr>
          <w:spacing w:val="-5"/>
        </w:rPr>
        <w:t> </w:t>
      </w:r>
      <w:r>
        <w:rPr/>
        <w:t>679</w:t>
      </w:r>
      <w:r>
        <w:rPr>
          <w:spacing w:val="-2"/>
        </w:rPr>
        <w:t> </w:t>
      </w:r>
      <w:r>
        <w:rPr/>
        <w:t>01</w:t>
      </w:r>
      <w:r>
        <w:rPr>
          <w:spacing w:val="-3"/>
        </w:rPr>
        <w:t> </w:t>
      </w:r>
      <w:r>
        <w:rPr/>
        <w:t>Skalice</w:t>
      </w:r>
      <w:r>
        <w:rPr>
          <w:spacing w:val="-5"/>
        </w:rPr>
        <w:t> </w:t>
      </w:r>
      <w:r>
        <w:rPr/>
        <w:t>nad</w:t>
      </w:r>
      <w:r>
        <w:rPr>
          <w:spacing w:val="-4"/>
        </w:rPr>
        <w:t> </w:t>
      </w:r>
      <w:r>
        <w:rPr/>
        <w:t>Svitavou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00636754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Miroslavem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c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t</w:t>
      </w:r>
      <w:r>
        <w:rPr>
          <w:spacing w:val="-4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135"/>
        <w:jc w:val="left"/>
      </w:pPr>
      <w:r>
        <w:rPr/>
        <w:t>číslo účtu:</w:t>
        <w:tab/>
      </w:r>
      <w:r>
        <w:rPr>
          <w:spacing w:val="-2"/>
        </w:rPr>
        <w:t>94-2316631/0710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20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70"/>
      </w:pPr>
      <w:r>
        <w:rPr/>
        <w:t>„Smlouva“) se uzavírá na základě Rozhodnutí ministra životního prostředí č. 1210700023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7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7/2021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9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599"/>
        <w:jc w:val="left"/>
      </w:pPr>
      <w:r>
        <w:rPr/>
        <w:t>„Odkanalizování</w:t>
      </w:r>
      <w:r>
        <w:rPr>
          <w:spacing w:val="-11"/>
        </w:rPr>
        <w:t> </w:t>
      </w:r>
      <w:r>
        <w:rPr/>
        <w:t>obce</w:t>
      </w:r>
      <w:r>
        <w:rPr>
          <w:spacing w:val="-10"/>
        </w:rPr>
        <w:t> </w:t>
      </w:r>
      <w:r>
        <w:rPr/>
        <w:t>Jabloňany</w:t>
      </w:r>
      <w:r>
        <w:rPr>
          <w:spacing w:val="-10"/>
        </w:rPr>
        <w:t> </w:t>
      </w:r>
      <w:r>
        <w:rPr/>
        <w:t>systémem</w:t>
      </w:r>
      <w:r>
        <w:rPr>
          <w:spacing w:val="-10"/>
        </w:rPr>
        <w:t> </w:t>
      </w:r>
      <w:r>
        <w:rPr>
          <w:spacing w:val="-2"/>
        </w:rPr>
        <w:t>MDČOV“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20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72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11 100 000,00 Kč </w:t>
      </w:r>
      <w:r>
        <w:rPr>
          <w:sz w:val="20"/>
        </w:rPr>
        <w:t>(slovy: jedenáct milionů jedno sto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7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19 416 508,80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57,17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7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8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7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73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7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208"/>
      </w:pPr>
      <w:r>
        <w:rPr/>
        <w:t>Platební</w:t>
      </w:r>
      <w:r>
        <w:rPr>
          <w:spacing w:val="-8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7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7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7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7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3" w:after="0"/>
        <w:ind w:left="665" w:right="17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384" w:top="1060" w:bottom="1620" w:left="1320" w:right="960"/>
        </w:sectPr>
      </w:pPr>
    </w:p>
    <w:p>
      <w:pPr>
        <w:pStyle w:val="BodyText"/>
        <w:spacing w:before="73"/>
        <w:ind w:right="172"/>
      </w:pPr>
      <w:r>
        <w:rPr/>
        <w:t>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75" w:hanging="284"/>
        <w:jc w:val="both"/>
        <w:rPr>
          <w:sz w:val="20"/>
        </w:rPr>
      </w:pPr>
      <w:r>
        <w:rPr>
          <w:sz w:val="20"/>
        </w:rPr>
        <w:t>Příjemce podpory je povinen z</w:t>
      </w:r>
      <w:r>
        <w:rPr>
          <w:spacing w:val="-2"/>
          <w:sz w:val="20"/>
        </w:rPr>
        <w:t> </w:t>
      </w:r>
      <w:r>
        <w:rPr>
          <w:sz w:val="20"/>
        </w:rPr>
        <w:t>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7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7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75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74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7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7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 neuhrazených faktur příjemce podpory prokáže jejich úhradu doložením relevantních podkladů nejpozději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dnů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finančních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7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7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7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25" w:right="112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67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 zpracované Ing. Ivou Výtiskovou (1/2023), podle dokumentace žádosti ze dne 16. 9. 2022, podle dokumentace výběrového řízení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dílo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společností</w:t>
      </w:r>
      <w:r>
        <w:rPr>
          <w:spacing w:val="-1"/>
          <w:sz w:val="20"/>
        </w:rPr>
        <w:t> </w:t>
      </w:r>
      <w:r>
        <w:rPr>
          <w:sz w:val="20"/>
        </w:rPr>
        <w:t>COMMODUM,</w:t>
      </w:r>
      <w:r>
        <w:rPr>
          <w:spacing w:val="-5"/>
          <w:sz w:val="20"/>
        </w:rPr>
        <w:t> </w:t>
      </w:r>
      <w:r>
        <w:rPr>
          <w:sz w:val="20"/>
        </w:rPr>
        <w:t>spol.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r.o.,</w:t>
      </w:r>
      <w:r>
        <w:rPr>
          <w:spacing w:val="-5"/>
          <w:sz w:val="20"/>
        </w:rPr>
        <w:t> </w:t>
      </w:r>
      <w:r>
        <w:rPr>
          <w:sz w:val="20"/>
        </w:rPr>
        <w:t>IČO:</w:t>
      </w:r>
      <w:r>
        <w:rPr>
          <w:spacing w:val="-5"/>
          <w:sz w:val="20"/>
        </w:rPr>
        <w:t> </w:t>
      </w:r>
      <w:r>
        <w:rPr>
          <w:sz w:val="20"/>
        </w:rPr>
        <w:t>46577238</w:t>
      </w:r>
      <w:r>
        <w:rPr>
          <w:spacing w:val="-1"/>
          <w:sz w:val="20"/>
        </w:rPr>
        <w:t> </w:t>
      </w:r>
      <w:r>
        <w:rPr>
          <w:sz w:val="20"/>
        </w:rPr>
        <w:t>ze</w:t>
      </w:r>
      <w:r>
        <w:rPr>
          <w:spacing w:val="-6"/>
          <w:sz w:val="20"/>
        </w:rPr>
        <w:t> </w:t>
      </w:r>
      <w:r>
        <w:rPr>
          <w:sz w:val="20"/>
        </w:rPr>
        <w:t>dne</w:t>
      </w:r>
      <w:r>
        <w:rPr>
          <w:spacing w:val="-6"/>
          <w:sz w:val="20"/>
        </w:rPr>
        <w:t> </w:t>
      </w:r>
      <w:r>
        <w:rPr>
          <w:sz w:val="20"/>
        </w:rPr>
        <w:t>13.</w:t>
      </w:r>
      <w:r>
        <w:rPr>
          <w:spacing w:val="-5"/>
          <w:sz w:val="20"/>
        </w:rPr>
        <w:t> </w:t>
      </w:r>
      <w:r>
        <w:rPr>
          <w:sz w:val="20"/>
        </w:rPr>
        <w:t>5.</w:t>
      </w:r>
      <w:r>
        <w:rPr>
          <w:spacing w:val="-5"/>
          <w:sz w:val="20"/>
        </w:rPr>
        <w:t> </w:t>
      </w:r>
      <w:r>
        <w:rPr>
          <w:sz w:val="20"/>
        </w:rPr>
        <w:t>2024, včetně případných 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77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předpokládaném</w:t>
      </w:r>
      <w:r>
        <w:rPr>
          <w:spacing w:val="-14"/>
          <w:sz w:val="20"/>
        </w:rPr>
        <w:t> </w:t>
      </w:r>
      <w:r>
        <w:rPr>
          <w:sz w:val="20"/>
        </w:rPr>
        <w:t>rozsahu,</w:t>
      </w:r>
      <w:r>
        <w:rPr>
          <w:spacing w:val="-14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dojde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prevenci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omezení</w:t>
      </w:r>
      <w:r>
        <w:rPr>
          <w:spacing w:val="-14"/>
          <w:sz w:val="20"/>
        </w:rPr>
        <w:t> </w:t>
      </w:r>
      <w:r>
        <w:rPr>
          <w:sz w:val="20"/>
        </w:rPr>
        <w:t>znečištění</w:t>
      </w:r>
      <w:r>
        <w:rPr>
          <w:spacing w:val="-14"/>
          <w:sz w:val="20"/>
        </w:rPr>
        <w:t> </w:t>
      </w:r>
      <w:r>
        <w:rPr>
          <w:sz w:val="20"/>
        </w:rPr>
        <w:t>povrchových a podzemních vod z komunálních zdrojů prostřednictvím realizace 72 ks domovní ČOV do kapacity 50 EO v obci Jabloňany, a to takto: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960"/>
        </w:sectPr>
      </w:pPr>
    </w:p>
    <w:tbl>
      <w:tblPr>
        <w:tblW w:w="0" w:type="auto"/>
        <w:jc w:val="left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1"/>
        <w:gridCol w:w="1640"/>
      </w:tblGrid>
      <w:tr>
        <w:trPr>
          <w:trHeight w:val="265" w:hRule="atLeast"/>
        </w:trPr>
        <w:tc>
          <w:tcPr>
            <w:tcW w:w="7511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Celková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kapacita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realizovaných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640" w:type="dxa"/>
          </w:tcPr>
          <w:p>
            <w:pPr>
              <w:pStyle w:val="TableParagraph"/>
              <w:spacing w:line="246" w:lineRule="exact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478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5"/>
                <w:sz w:val="20"/>
              </w:rPr>
              <w:t>EO</w:t>
            </w:r>
          </w:p>
        </w:tc>
      </w:tr>
      <w:tr>
        <w:trPr>
          <w:trHeight w:val="266" w:hRule="atLeast"/>
        </w:trPr>
        <w:tc>
          <w:tcPr>
            <w:tcW w:w="7511" w:type="dxa"/>
          </w:tcPr>
          <w:p>
            <w:pPr>
              <w:pStyle w:val="TableParagraph"/>
              <w:spacing w:line="247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budov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vlastnictví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obce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640" w:type="dxa"/>
          </w:tcPr>
          <w:p>
            <w:pPr>
              <w:pStyle w:val="TableParagraph"/>
              <w:spacing w:line="247" w:lineRule="exact"/>
              <w:ind w:left="0" w:right="6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6" w:hRule="atLeast"/>
        </w:trPr>
        <w:tc>
          <w:tcPr>
            <w:tcW w:w="7511" w:type="dxa"/>
          </w:tcPr>
          <w:p>
            <w:pPr>
              <w:pStyle w:val="TableParagraph"/>
              <w:spacing w:line="247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bytových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domů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640" w:type="dxa"/>
          </w:tcPr>
          <w:p>
            <w:pPr>
              <w:pStyle w:val="TableParagraph"/>
              <w:spacing w:line="247" w:lineRule="exact"/>
              <w:ind w:left="0" w:right="7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6" w:hRule="atLeast"/>
        </w:trPr>
        <w:tc>
          <w:tcPr>
            <w:tcW w:w="7511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obyvatel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budov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realizovaným </w:t>
            </w:r>
            <w:r>
              <w:rPr>
                <w:spacing w:val="-4"/>
                <w:sz w:val="20"/>
              </w:rPr>
              <w:t>DČOV:</w:t>
            </w:r>
          </w:p>
        </w:tc>
        <w:tc>
          <w:tcPr>
            <w:tcW w:w="1640" w:type="dxa"/>
          </w:tcPr>
          <w:p>
            <w:pPr>
              <w:pStyle w:val="TableParagraph"/>
              <w:spacing w:line="246" w:lineRule="exact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252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6" w:hRule="atLeast"/>
        </w:trPr>
        <w:tc>
          <w:tcPr>
            <w:tcW w:w="7511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realizovaných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DČOV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kapacitě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 </w:t>
            </w:r>
            <w:r>
              <w:rPr>
                <w:spacing w:val="-5"/>
                <w:sz w:val="20"/>
              </w:rPr>
              <w:t>EO:</w:t>
            </w:r>
          </w:p>
        </w:tc>
        <w:tc>
          <w:tcPr>
            <w:tcW w:w="1640" w:type="dxa"/>
          </w:tcPr>
          <w:p>
            <w:pPr>
              <w:pStyle w:val="TableParagraph"/>
              <w:spacing w:line="246" w:lineRule="exact"/>
              <w:ind w:left="0" w:right="73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6" w:hRule="atLeast"/>
        </w:trPr>
        <w:tc>
          <w:tcPr>
            <w:tcW w:w="7511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realizovaných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DČOV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kapacitě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EO:</w:t>
            </w:r>
          </w:p>
        </w:tc>
        <w:tc>
          <w:tcPr>
            <w:tcW w:w="1640" w:type="dxa"/>
          </w:tcPr>
          <w:p>
            <w:pPr>
              <w:pStyle w:val="TableParagraph"/>
              <w:spacing w:line="246" w:lineRule="exact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</w:tr>
      <w:tr>
        <w:trPr>
          <w:trHeight w:val="265" w:hRule="atLeast"/>
        </w:trPr>
        <w:tc>
          <w:tcPr>
            <w:tcW w:w="7511" w:type="dxa"/>
          </w:tcPr>
          <w:p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rodinných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domů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připojených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realizovaným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DČOV:</w:t>
            </w:r>
          </w:p>
        </w:tc>
        <w:tc>
          <w:tcPr>
            <w:tcW w:w="1640" w:type="dxa"/>
          </w:tcPr>
          <w:p>
            <w:pPr>
              <w:pStyle w:val="TableParagraph"/>
              <w:spacing w:line="246" w:lineRule="exact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ks,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35" w:after="0"/>
        <w:ind w:left="741" w:right="171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provedena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pozemcích,</w:t>
      </w:r>
      <w:r>
        <w:rPr>
          <w:spacing w:val="-6"/>
          <w:sz w:val="20"/>
        </w:rPr>
        <w:t> </w:t>
      </w:r>
      <w:r>
        <w:rPr>
          <w:sz w:val="20"/>
        </w:rPr>
        <w:t>jejichž</w:t>
      </w:r>
      <w:r>
        <w:rPr>
          <w:spacing w:val="-3"/>
          <w:sz w:val="20"/>
        </w:rPr>
        <w:t> </w:t>
      </w:r>
      <w:r>
        <w:rPr>
          <w:sz w:val="20"/>
        </w:rPr>
        <w:t>seznam</w:t>
      </w:r>
      <w:r>
        <w:rPr>
          <w:spacing w:val="-7"/>
          <w:sz w:val="20"/>
        </w:rPr>
        <w:t> </w:t>
      </w:r>
      <w:r>
        <w:rPr>
          <w:sz w:val="20"/>
        </w:rPr>
        <w:t>předložil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vlastníci</w:t>
      </w:r>
      <w:r>
        <w:rPr>
          <w:spacing w:val="-6"/>
          <w:sz w:val="20"/>
        </w:rPr>
        <w:t> </w:t>
      </w:r>
      <w:r>
        <w:rPr>
          <w:sz w:val="20"/>
        </w:rPr>
        <w:t>vyslovili souhlas s</w:t>
      </w:r>
      <w:r>
        <w:rPr>
          <w:spacing w:val="-1"/>
          <w:sz w:val="20"/>
        </w:rPr>
        <w:t> </w:t>
      </w:r>
      <w:r>
        <w:rPr>
          <w:sz w:val="20"/>
        </w:rPr>
        <w:t>realizací akce a zajištěním udržitelnosti akce po dobu 10 let od dokončení realizace akce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75" w:hanging="360"/>
        <w:jc w:val="both"/>
        <w:rPr>
          <w:sz w:val="20"/>
        </w:rPr>
      </w:pPr>
      <w:r>
        <w:rPr>
          <w:sz w:val="20"/>
        </w:rPr>
        <w:t>zabezpečí, že předmět podpory bude plnit svoji funkci po dobu 10 let od ukončení realizace akce,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73" w:hanging="360"/>
        <w:jc w:val="both"/>
        <w:rPr>
          <w:sz w:val="20"/>
        </w:rPr>
      </w:pPr>
      <w:r>
        <w:rPr>
          <w:sz w:val="20"/>
        </w:rPr>
        <w:t>zajistí řádný a odborný provoz všech podpořených DČOV v souladu s jejich platným provozním řádem a návodem k obsluze a další povinnosti podle čl. 10 písm. l), n) a o)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80" w:hanging="360"/>
        <w:jc w:val="both"/>
        <w:rPr>
          <w:sz w:val="20"/>
        </w:rPr>
      </w:pPr>
      <w:r>
        <w:rPr>
          <w:sz w:val="20"/>
        </w:rPr>
        <w:t>zajistí řádné, nevratné a bezpečné odpojení původních jímek či septiků u nemovitých věcí, jež budou napojeny na nové DČOV,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71" w:hanging="360"/>
        <w:jc w:val="both"/>
        <w:rPr>
          <w:sz w:val="20"/>
        </w:rPr>
      </w:pPr>
      <w:r>
        <w:rPr>
          <w:sz w:val="20"/>
        </w:rPr>
        <w:t>vypracuje</w:t>
      </w:r>
      <w:r>
        <w:rPr>
          <w:spacing w:val="-14"/>
          <w:sz w:val="20"/>
        </w:rPr>
        <w:t> </w:t>
      </w:r>
      <w:r>
        <w:rPr>
          <w:sz w:val="20"/>
        </w:rPr>
        <w:t>1x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rok</w:t>
      </w:r>
      <w:r>
        <w:rPr>
          <w:spacing w:val="-13"/>
          <w:sz w:val="20"/>
        </w:rPr>
        <w:t> </w:t>
      </w:r>
      <w:r>
        <w:rPr>
          <w:sz w:val="20"/>
        </w:rPr>
        <w:t>souhrnnou</w:t>
      </w:r>
      <w:r>
        <w:rPr>
          <w:spacing w:val="-14"/>
          <w:sz w:val="20"/>
        </w:rPr>
        <w:t> </w:t>
      </w:r>
      <w:r>
        <w:rPr>
          <w:sz w:val="20"/>
        </w:rPr>
        <w:t>roční</w:t>
      </w:r>
      <w:r>
        <w:rPr>
          <w:spacing w:val="-14"/>
          <w:sz w:val="20"/>
        </w:rPr>
        <w:t> </w:t>
      </w:r>
      <w:r>
        <w:rPr>
          <w:sz w:val="20"/>
        </w:rPr>
        <w:t>zprávu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provozu</w:t>
      </w:r>
      <w:r>
        <w:rPr>
          <w:spacing w:val="-14"/>
          <w:sz w:val="20"/>
        </w:rPr>
        <w:t> </w:t>
      </w:r>
      <w:r>
        <w:rPr>
          <w:sz w:val="20"/>
        </w:rPr>
        <w:t>všech</w:t>
      </w:r>
      <w:r>
        <w:rPr>
          <w:spacing w:val="-13"/>
          <w:sz w:val="20"/>
        </w:rPr>
        <w:t> </w:t>
      </w:r>
      <w:r>
        <w:rPr>
          <w:sz w:val="20"/>
        </w:rPr>
        <w:t>podpořených</w:t>
      </w:r>
      <w:r>
        <w:rPr>
          <w:spacing w:val="-14"/>
          <w:sz w:val="20"/>
        </w:rPr>
        <w:t> </w:t>
      </w:r>
      <w:r>
        <w:rPr>
          <w:sz w:val="20"/>
        </w:rPr>
        <w:t>DČOV,</w:t>
      </w:r>
      <w:r>
        <w:rPr>
          <w:spacing w:val="-14"/>
          <w:sz w:val="20"/>
        </w:rPr>
        <w:t> </w:t>
      </w:r>
      <w:r>
        <w:rPr>
          <w:sz w:val="20"/>
        </w:rPr>
        <w:t>kterou</w:t>
      </w:r>
      <w:r>
        <w:rPr>
          <w:spacing w:val="-14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 vždy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31.</w:t>
      </w:r>
      <w:r>
        <w:rPr>
          <w:spacing w:val="-4"/>
          <w:sz w:val="20"/>
        </w:rPr>
        <w:t> </w:t>
      </w:r>
      <w:r>
        <w:rPr>
          <w:sz w:val="20"/>
        </w:rPr>
        <w:t>1.</w:t>
      </w:r>
      <w:r>
        <w:rPr>
          <w:spacing w:val="-4"/>
          <w:sz w:val="20"/>
        </w:rPr>
        <w:t> </w:t>
      </w:r>
      <w:r>
        <w:rPr>
          <w:sz w:val="20"/>
        </w:rPr>
        <w:t>následujícího kalendářního</w:t>
      </w:r>
      <w:r>
        <w:rPr>
          <w:spacing w:val="-3"/>
          <w:sz w:val="20"/>
        </w:rPr>
        <w:t> </w:t>
      </w:r>
      <w:r>
        <w:rPr>
          <w:sz w:val="20"/>
        </w:rPr>
        <w:t>roku,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po celou</w:t>
      </w:r>
      <w:r>
        <w:rPr>
          <w:spacing w:val="-3"/>
          <w:sz w:val="20"/>
        </w:rPr>
        <w:t> </w:t>
      </w:r>
      <w:r>
        <w:rPr>
          <w:sz w:val="20"/>
        </w:rPr>
        <w:t>dobu udržitelnosti;</w:t>
      </w:r>
      <w:r>
        <w:rPr>
          <w:spacing w:val="-1"/>
          <w:sz w:val="20"/>
        </w:rPr>
        <w:t> </w:t>
      </w:r>
      <w:r>
        <w:rPr>
          <w:sz w:val="20"/>
        </w:rPr>
        <w:t>náležitosti</w:t>
      </w:r>
      <w:r>
        <w:rPr>
          <w:spacing w:val="-4"/>
          <w:sz w:val="20"/>
        </w:rPr>
        <w:t> </w:t>
      </w:r>
      <w:r>
        <w:rPr>
          <w:sz w:val="20"/>
        </w:rPr>
        <w:t>zprávy</w:t>
      </w:r>
      <w:r>
        <w:rPr>
          <w:spacing w:val="-4"/>
          <w:sz w:val="20"/>
        </w:rPr>
        <w:t> </w:t>
      </w:r>
      <w:r>
        <w:rPr>
          <w:sz w:val="20"/>
        </w:rPr>
        <w:t>jsou uvedeny v čl. 10 písm. p) 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1" w:right="168" w:hanging="360"/>
        <w:jc w:val="left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podle pokynů v čl. 10 písm. t) 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u)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75" w:hanging="360"/>
        <w:jc w:val="both"/>
        <w:rPr>
          <w:sz w:val="20"/>
        </w:rPr>
      </w:pPr>
      <w:r>
        <w:rPr>
          <w:sz w:val="20"/>
        </w:rPr>
        <w:t>termín dokončení akce do konce 2/2025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9/2024,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73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5"/>
          <w:sz w:val="20"/>
        </w:rPr>
        <w:t> </w:t>
      </w:r>
      <w:r>
        <w:rPr>
          <w:sz w:val="20"/>
        </w:rPr>
        <w:t>8/2025</w:t>
      </w:r>
      <w:r>
        <w:rPr>
          <w:spacing w:val="35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2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2"/>
          <w:sz w:val="20"/>
        </w:rPr>
        <w:t> </w:t>
      </w:r>
      <w:r>
        <w:rPr>
          <w:sz w:val="20"/>
        </w:rPr>
        <w:t>ČR</w:t>
      </w:r>
      <w:r>
        <w:rPr>
          <w:spacing w:val="36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Závěrečnému vyhodnocení akce (dále jen „ZVA“) podle čl. 12 písm. d) Výzvy a dále: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17"/>
        <w:ind w:left="809" w:right="16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spacing w:after="0"/>
        <w:sectPr>
          <w:pgSz w:w="12240" w:h="15840"/>
          <w:pgMar w:header="0" w:footer="1384" w:top="1120" w:bottom="1660" w:left="1320" w:right="960"/>
        </w:sect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7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7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7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7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7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7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7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7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7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s)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12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78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7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</w:t>
      </w:r>
      <w:r>
        <w:rPr>
          <w:spacing w:val="-1"/>
          <w:sz w:val="20"/>
        </w:rPr>
        <w:t> </w:t>
      </w:r>
      <w:r>
        <w:rPr>
          <w:sz w:val="20"/>
        </w:rPr>
        <w:t>písm. b), c) nebo d) bude</w:t>
      </w:r>
      <w:r>
        <w:rPr>
          <w:spacing w:val="-1"/>
          <w:sz w:val="20"/>
        </w:rPr>
        <w:t> </w:t>
      </w:r>
      <w:r>
        <w:rPr>
          <w:sz w:val="20"/>
        </w:rPr>
        <w:t>postiženo odvodem</w:t>
      </w:r>
      <w:r>
        <w:rPr>
          <w:spacing w:val="-1"/>
          <w:sz w:val="20"/>
        </w:rPr>
        <w:t> </w:t>
      </w:r>
      <w:r>
        <w:rPr>
          <w:sz w:val="20"/>
        </w:rPr>
        <w:t>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7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960"/>
        </w:sectPr>
      </w:pPr>
    </w:p>
    <w:p>
      <w:pPr>
        <w:pStyle w:val="BodyText"/>
        <w:spacing w:before="73"/>
        <w:ind w:right="171"/>
      </w:pPr>
      <w:r>
        <w:rPr/>
        <w:t>50</w:t>
      </w:r>
      <w:r>
        <w:rPr>
          <w:spacing w:val="-7"/>
        </w:rPr>
        <w:t> </w:t>
      </w:r>
      <w:r>
        <w:rPr/>
        <w:t>%</w:t>
      </w:r>
      <w:r>
        <w:rPr>
          <w:spacing w:val="-8"/>
        </w:rPr>
        <w:t> </w:t>
      </w:r>
      <w:r>
        <w:rPr/>
        <w:t>stanovených</w:t>
      </w:r>
      <w:r>
        <w:rPr>
          <w:spacing w:val="-8"/>
        </w:rPr>
        <w:t> </w:t>
      </w:r>
      <w:r>
        <w:rPr/>
        <w:t>indikátorů.</w:t>
      </w:r>
      <w:r>
        <w:rPr>
          <w:spacing w:val="-8"/>
        </w:rPr>
        <w:t> </w:t>
      </w:r>
      <w:r>
        <w:rPr/>
        <w:t>V</w:t>
      </w:r>
      <w:r>
        <w:rPr>
          <w:spacing w:val="-7"/>
        </w:rPr>
        <w:t> </w:t>
      </w:r>
      <w:r>
        <w:rPr/>
        <w:t>případě</w:t>
      </w:r>
      <w:r>
        <w:rPr>
          <w:spacing w:val="-9"/>
        </w:rPr>
        <w:t> </w:t>
      </w:r>
      <w:r>
        <w:rPr/>
        <w:t>plnění</w:t>
      </w:r>
      <w:r>
        <w:rPr>
          <w:spacing w:val="-8"/>
        </w:rPr>
        <w:t> </w:t>
      </w:r>
      <w:r>
        <w:rPr/>
        <w:t>účelu</w:t>
      </w:r>
      <w:r>
        <w:rPr>
          <w:spacing w:val="-8"/>
        </w:rPr>
        <w:t> </w:t>
      </w:r>
      <w:r>
        <w:rPr/>
        <w:t>akce</w:t>
      </w:r>
      <w:r>
        <w:rPr>
          <w:spacing w:val="-9"/>
        </w:rPr>
        <w:t> </w:t>
      </w:r>
      <w:r>
        <w:rPr/>
        <w:t>podle</w:t>
      </w:r>
      <w:r>
        <w:rPr>
          <w:spacing w:val="-9"/>
        </w:rPr>
        <w:t> </w:t>
      </w:r>
      <w:r>
        <w:rPr/>
        <w:t>v předchozí</w:t>
      </w:r>
      <w:r>
        <w:rPr>
          <w:spacing w:val="-8"/>
        </w:rPr>
        <w:t> </w:t>
      </w:r>
      <w:r>
        <w:rPr/>
        <w:t>větě</w:t>
      </w:r>
      <w:r>
        <w:rPr>
          <w:spacing w:val="-9"/>
        </w:rPr>
        <w:t> </w:t>
      </w:r>
      <w:r>
        <w:rPr/>
        <w:t>citovaného</w:t>
      </w:r>
      <w:r>
        <w:rPr>
          <w:spacing w:val="-7"/>
        </w:rPr>
        <w:t> </w:t>
      </w:r>
      <w:r>
        <w:rPr/>
        <w:t>ustanovení v</w:t>
      </w:r>
      <w:r>
        <w:rPr>
          <w:spacing w:val="-2"/>
        </w:rPr>
        <w:t> </w:t>
      </w:r>
      <w:r>
        <w:rPr/>
        <w:t>rozmezí</w:t>
      </w:r>
      <w:r>
        <w:rPr>
          <w:spacing w:val="40"/>
        </w:rPr>
        <w:t> </w:t>
      </w:r>
      <w:r>
        <w:rPr/>
        <w:t>51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99</w:t>
      </w:r>
      <w:r>
        <w:rPr>
          <w:spacing w:val="40"/>
        </w:rPr>
        <w:t> </w:t>
      </w:r>
      <w:r>
        <w:rPr/>
        <w:t>%</w:t>
      </w:r>
      <w:r>
        <w:rPr>
          <w:spacing w:val="40"/>
        </w:rPr>
        <w:t> </w:t>
      </w:r>
      <w:r>
        <w:rPr/>
        <w:t>stanovených</w:t>
      </w:r>
      <w:r>
        <w:rPr>
          <w:spacing w:val="40"/>
        </w:rPr>
        <w:t> </w:t>
      </w:r>
      <w:r>
        <w:rPr/>
        <w:t>indikátorů,</w:t>
      </w:r>
      <w:r>
        <w:rPr>
          <w:spacing w:val="40"/>
        </w:rPr>
        <w:t> </w:t>
      </w:r>
      <w:r>
        <w:rPr/>
        <w:t>bude</w:t>
      </w:r>
      <w:r>
        <w:rPr>
          <w:spacing w:val="40"/>
        </w:rPr>
        <w:t> </w:t>
      </w:r>
      <w:r>
        <w:rPr/>
        <w:t>toto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postiženo</w:t>
      </w:r>
      <w:r>
        <w:rPr>
          <w:spacing w:val="40"/>
        </w:rPr>
        <w:t> </w:t>
      </w:r>
      <w:r>
        <w:rPr/>
        <w:t>odvodem</w:t>
      </w:r>
      <w:r>
        <w:rPr>
          <w:spacing w:val="40"/>
        </w:rPr>
        <w:t> </w:t>
      </w:r>
      <w:r>
        <w:rPr/>
        <w:t>v rozmezí</w:t>
      </w:r>
      <w:r>
        <w:rPr>
          <w:spacing w:val="40"/>
        </w:rPr>
        <w:t> </w:t>
      </w:r>
      <w:r>
        <w:rPr/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7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1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6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6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spacing w:before="1"/>
        <w:ind w:left="3414" w:right="320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7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8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7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7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73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4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6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7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96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71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3"/>
        <w:ind w:left="0"/>
        <w:jc w:val="left"/>
        <w:rPr>
          <w:sz w:val="27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320" w:right="96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7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7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7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7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7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7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4" w:top="1060" w:bottom="1660" w:left="1320" w:right="96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jc w:val="left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384" w:top="1120" w:bottom="1660" w:left="1320" w:right="96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729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6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92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38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84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76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2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0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16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4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4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48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5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20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12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2024-09-23T11:21:01Z</dcterms:created>
  <dcterms:modified xsi:type="dcterms:W3CDTF">2024-09-23T11:21:01Z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</Properties>
</file>