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763D518E"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9B277F">
        <w:rPr>
          <w:rFonts w:eastAsia="HG Mincho Light J" w:cs="Arial"/>
          <w:b/>
          <w:caps/>
          <w:position w:val="6"/>
          <w:lang w:eastAsia="zh-TW"/>
        </w:rPr>
        <w:t>SMLPS-2024-000101</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EFCBA8"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Pr="00643CFC">
        <w:rPr>
          <w:sz w:val="22"/>
          <w:szCs w:val="22"/>
        </w:rPr>
        <w:tab/>
      </w:r>
      <w:r w:rsidRPr="00643CFC">
        <w:rPr>
          <w:sz w:val="22"/>
          <w:szCs w:val="22"/>
        </w:rPr>
        <w:tab/>
      </w:r>
      <w:r w:rsidR="00866087" w:rsidRPr="00CF6887">
        <w:rPr>
          <w:b/>
          <w:sz w:val="22"/>
          <w:szCs w:val="22"/>
        </w:rPr>
        <w:t>Hvězdárna v Úpici</w:t>
      </w:r>
    </w:p>
    <w:p w14:paraId="394F60F1" w14:textId="3750B090" w:rsidR="004A7DFC" w:rsidRPr="00CF6887" w:rsidRDefault="004A7DFC" w:rsidP="004A7DFC">
      <w:pPr>
        <w:pStyle w:val="Parodstavec"/>
        <w:numPr>
          <w:ilvl w:val="0"/>
          <w:numId w:val="0"/>
        </w:numPr>
        <w:ind w:left="567" w:hanging="567"/>
        <w:jc w:val="both"/>
        <w:rPr>
          <w:b/>
          <w:sz w:val="22"/>
          <w:szCs w:val="22"/>
          <w:lang w:val="cs-CZ"/>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r>
      <w:r w:rsidR="00CF6887">
        <w:rPr>
          <w:b/>
          <w:sz w:val="22"/>
          <w:szCs w:val="22"/>
          <w:lang w:val="cs-CZ"/>
        </w:rPr>
        <w:t>U Lipek 160, Úpice, 542 32</w:t>
      </w:r>
    </w:p>
    <w:p w14:paraId="74DE3662" w14:textId="08FF37BE" w:rsidR="006C196F"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6C196F">
        <w:rPr>
          <w:b/>
          <w:sz w:val="22"/>
          <w:szCs w:val="22"/>
        </w:rPr>
        <w:t xml:space="preserve">Ing. Marcelem Bělíkem </w:t>
      </w:r>
      <w:r w:rsidR="006C196F">
        <w:rPr>
          <w:b/>
          <w:sz w:val="22"/>
          <w:szCs w:val="22"/>
        </w:rPr>
        <w:t>–</w:t>
      </w:r>
      <w:r w:rsidR="006C196F">
        <w:rPr>
          <w:b/>
          <w:sz w:val="22"/>
          <w:szCs w:val="22"/>
        </w:rPr>
        <w:t xml:space="preserve"> ředitelem</w:t>
      </w:r>
    </w:p>
    <w:p w14:paraId="771B8785" w14:textId="0BD94F02" w:rsidR="004A7DFC" w:rsidRPr="00CF6887"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CF6887">
        <w:rPr>
          <w:b/>
          <w:sz w:val="22"/>
          <w:szCs w:val="22"/>
          <w:lang w:val="cs-CZ"/>
        </w:rPr>
        <w:t>00371912</w:t>
      </w:r>
    </w:p>
    <w:p w14:paraId="762AE031" w14:textId="7CD114DE" w:rsidR="004A7DFC" w:rsidRPr="00CF6887" w:rsidRDefault="004A7DFC" w:rsidP="004A7DFC">
      <w:pPr>
        <w:pStyle w:val="Parodstavec"/>
        <w:numPr>
          <w:ilvl w:val="0"/>
          <w:numId w:val="0"/>
        </w:numPr>
        <w:ind w:left="567" w:hanging="567"/>
        <w:jc w:val="both"/>
        <w:rPr>
          <w:b/>
          <w:sz w:val="22"/>
          <w:szCs w:val="22"/>
          <w:lang w:val="cs-CZ"/>
        </w:rPr>
      </w:pPr>
      <w:r w:rsidRPr="00643CFC">
        <w:rPr>
          <w:b/>
          <w:sz w:val="22"/>
          <w:szCs w:val="22"/>
        </w:rPr>
        <w:t>DIČ: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r>
      <w:r w:rsidR="00CF6887">
        <w:rPr>
          <w:b/>
          <w:sz w:val="22"/>
          <w:szCs w:val="22"/>
          <w:lang w:val="cs-CZ"/>
        </w:rPr>
        <w:t>CZ00371912</w:t>
      </w:r>
    </w:p>
    <w:p w14:paraId="65E7A0C6" w14:textId="4C26BC8D" w:rsidR="004A7DFC" w:rsidRPr="00643CFC" w:rsidRDefault="004A7DFC" w:rsidP="004A7DFC">
      <w:pPr>
        <w:pStyle w:val="Parodstavec"/>
        <w:numPr>
          <w:ilvl w:val="0"/>
          <w:numId w:val="0"/>
        </w:numPr>
        <w:ind w:left="567" w:hanging="567"/>
        <w:jc w:val="both"/>
        <w:rPr>
          <w:b/>
          <w:sz w:val="22"/>
          <w:szCs w:val="22"/>
        </w:rPr>
      </w:pPr>
      <w:r w:rsidRPr="00643CFC">
        <w:rPr>
          <w:b/>
          <w:sz w:val="22"/>
          <w:szCs w:val="22"/>
        </w:rPr>
        <w:t>zapsán:</w:t>
      </w:r>
      <w:r w:rsidRPr="00643CFC">
        <w:rPr>
          <w:b/>
          <w:sz w:val="22"/>
          <w:szCs w:val="22"/>
        </w:rPr>
        <w:tab/>
      </w:r>
      <w:r w:rsidRPr="00643CFC">
        <w:rPr>
          <w:b/>
          <w:sz w:val="22"/>
          <w:szCs w:val="22"/>
        </w:rPr>
        <w:tab/>
      </w:r>
      <w:r w:rsidRPr="00643CFC">
        <w:rPr>
          <w:b/>
          <w:sz w:val="22"/>
          <w:szCs w:val="22"/>
        </w:rPr>
        <w:tab/>
        <w:t>v obchodním rejstříku vedeném u</w:t>
      </w:r>
      <w:r w:rsidR="00CF6887">
        <w:rPr>
          <w:b/>
          <w:sz w:val="22"/>
          <w:szCs w:val="22"/>
          <w:lang w:val="cs-CZ"/>
        </w:rPr>
        <w:t xml:space="preserve"> Krajského soudu v Hradci </w:t>
      </w:r>
      <w:r w:rsidR="00CF6887">
        <w:rPr>
          <w:b/>
          <w:sz w:val="22"/>
          <w:szCs w:val="22"/>
          <w:lang w:val="cs-CZ"/>
        </w:rPr>
        <w:tab/>
      </w:r>
      <w:r w:rsidR="00CF6887">
        <w:rPr>
          <w:b/>
          <w:sz w:val="22"/>
          <w:szCs w:val="22"/>
          <w:lang w:val="cs-CZ"/>
        </w:rPr>
        <w:tab/>
      </w:r>
      <w:r w:rsidR="00CF6887">
        <w:rPr>
          <w:b/>
          <w:sz w:val="22"/>
          <w:szCs w:val="22"/>
          <w:lang w:val="cs-CZ"/>
        </w:rPr>
        <w:tab/>
      </w:r>
      <w:r w:rsidR="00CF6887">
        <w:rPr>
          <w:b/>
          <w:sz w:val="22"/>
          <w:szCs w:val="22"/>
          <w:lang w:val="cs-CZ"/>
        </w:rPr>
        <w:tab/>
      </w:r>
      <w:r w:rsidR="00CF6887">
        <w:rPr>
          <w:b/>
          <w:sz w:val="22"/>
          <w:szCs w:val="22"/>
          <w:lang w:val="cs-CZ"/>
        </w:rPr>
        <w:tab/>
        <w:t>Králové</w:t>
      </w:r>
      <w:r w:rsidRPr="00643CFC">
        <w:rPr>
          <w:b/>
          <w:sz w:val="22"/>
          <w:szCs w:val="22"/>
        </w:rPr>
        <w:t>, oddíl</w:t>
      </w:r>
      <w:r w:rsidR="00CF6887">
        <w:rPr>
          <w:b/>
          <w:sz w:val="22"/>
          <w:szCs w:val="22"/>
          <w:lang w:val="cs-CZ"/>
        </w:rPr>
        <w:t xml:space="preserve"> Pr</w:t>
      </w:r>
      <w:r w:rsidRPr="00643CFC">
        <w:rPr>
          <w:b/>
          <w:sz w:val="22"/>
          <w:szCs w:val="22"/>
        </w:rPr>
        <w:t>, vložka č.</w:t>
      </w:r>
      <w:r w:rsidR="00CF6887">
        <w:rPr>
          <w:b/>
          <w:sz w:val="22"/>
          <w:szCs w:val="22"/>
          <w:lang w:val="cs-CZ"/>
        </w:rPr>
        <w:t xml:space="preserve"> 691</w:t>
      </w:r>
      <w:r w:rsidRPr="00643CFC">
        <w:rPr>
          <w:b/>
          <w:sz w:val="22"/>
          <w:szCs w:val="22"/>
        </w:rPr>
        <w:t xml:space="preserve"> </w:t>
      </w:r>
    </w:p>
    <w:p w14:paraId="020FB835" w14:textId="24967B5D" w:rsidR="004A7DFC" w:rsidRPr="00CF6887" w:rsidRDefault="004A7DFC" w:rsidP="004A7DFC">
      <w:pPr>
        <w:pStyle w:val="Parodstavec"/>
        <w:numPr>
          <w:ilvl w:val="0"/>
          <w:numId w:val="0"/>
        </w:numPr>
        <w:ind w:left="567" w:hanging="567"/>
        <w:jc w:val="both"/>
        <w:rPr>
          <w:b/>
          <w:sz w:val="22"/>
          <w:szCs w:val="22"/>
          <w:lang w:val="cs-CZ"/>
        </w:rPr>
      </w:pPr>
      <w:r w:rsidRPr="00643CFC">
        <w:rPr>
          <w:b/>
          <w:sz w:val="22"/>
          <w:szCs w:val="22"/>
        </w:rPr>
        <w:t xml:space="preserve">bankovní spojení: </w:t>
      </w:r>
      <w:r w:rsidRPr="00643CFC">
        <w:rPr>
          <w:b/>
          <w:sz w:val="22"/>
          <w:szCs w:val="22"/>
        </w:rPr>
        <w:tab/>
      </w:r>
      <w:r w:rsidRPr="00643CFC">
        <w:rPr>
          <w:b/>
          <w:sz w:val="22"/>
          <w:szCs w:val="22"/>
        </w:rPr>
        <w:tab/>
      </w:r>
    </w:p>
    <w:p w14:paraId="301A686D" w14:textId="52EF6E5F" w:rsidR="004A7DFC" w:rsidRPr="00CF6887" w:rsidRDefault="004A7DFC" w:rsidP="004A7DFC">
      <w:pPr>
        <w:pStyle w:val="Parodstavec"/>
        <w:numPr>
          <w:ilvl w:val="0"/>
          <w:numId w:val="0"/>
        </w:numPr>
        <w:ind w:left="567" w:hanging="567"/>
        <w:jc w:val="both"/>
        <w:rPr>
          <w:b/>
          <w:sz w:val="22"/>
          <w:szCs w:val="22"/>
          <w:lang w:val="cs-CZ"/>
        </w:rPr>
      </w:pPr>
      <w:r w:rsidRPr="00643CFC">
        <w:rPr>
          <w:b/>
          <w:sz w:val="22"/>
          <w:szCs w:val="22"/>
        </w:rPr>
        <w:t>kontaktní e-mailová adresa</w:t>
      </w:r>
      <w:r w:rsidR="000B2FEF">
        <w:rPr>
          <w:b/>
          <w:sz w:val="22"/>
          <w:szCs w:val="22"/>
          <w:lang w:val="cs-CZ"/>
        </w:rPr>
        <w:t>:</w:t>
      </w:r>
      <w:r w:rsidR="00CF6887">
        <w:rPr>
          <w:b/>
          <w:sz w:val="22"/>
          <w:szCs w:val="22"/>
          <w:lang w:val="cs-CZ"/>
        </w:rPr>
        <w:tab/>
      </w:r>
    </w:p>
    <w:p w14:paraId="0024E6A9" w14:textId="77777777" w:rsidR="000960B4" w:rsidRPr="00643CFC" w:rsidRDefault="000960B4"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t>Trade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27B54A97" w:rsidR="004A7DFC" w:rsidRPr="00FF3F86"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r w:rsidR="006C196F">
        <w:rPr>
          <w:b/>
          <w:sz w:val="22"/>
          <w:szCs w:val="22"/>
          <w:lang w:val="cs-CZ"/>
        </w:rPr>
        <w:t>Petrem Antošem, v Plné moci</w:t>
      </w:r>
    </w:p>
    <w:p w14:paraId="1F6072DF" w14:textId="77EB119A"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61974731</w:t>
      </w:r>
    </w:p>
    <w:p w14:paraId="522390F4" w14:textId="401D305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CZ61974731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28ED1360"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r>
    </w:p>
    <w:p w14:paraId="6E601872" w14:textId="466A09E1" w:rsidR="004A7DFC" w:rsidRPr="00643CFC" w:rsidRDefault="004A7DFC" w:rsidP="004A7DFC">
      <w:pPr>
        <w:rPr>
          <w:rFonts w:cs="Arial"/>
          <w:b/>
          <w:sz w:val="22"/>
          <w:szCs w:val="22"/>
        </w:rPr>
      </w:pPr>
      <w:r w:rsidRPr="00643CFC">
        <w:rPr>
          <w:rFonts w:cs="Arial"/>
          <w:b/>
          <w:sz w:val="22"/>
          <w:szCs w:val="22"/>
        </w:rPr>
        <w:t xml:space="preserve">kontaktní e-mailová adresa: </w:t>
      </w: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„smlouva“ )</w:t>
      </w:r>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518B5767" w:rsidR="000960B4" w:rsidRPr="00643CFC" w:rsidRDefault="000960B4" w:rsidP="00376173">
      <w:pPr>
        <w:pStyle w:val="Parodstavec"/>
        <w:numPr>
          <w:ilvl w:val="1"/>
          <w:numId w:val="3"/>
        </w:numPr>
        <w:ind w:left="567" w:hanging="567"/>
        <w:jc w:val="both"/>
        <w:rPr>
          <w:sz w:val="22"/>
          <w:szCs w:val="22"/>
        </w:rPr>
      </w:pPr>
      <w:bookmarkStart w:id="0" w:name="_Ref508021316"/>
      <w:r w:rsidRPr="00F528F1">
        <w:rPr>
          <w:sz w:val="22"/>
          <w:szCs w:val="22"/>
        </w:rPr>
        <w:t xml:space="preserve">Na základě smlouvy o dílo č. </w:t>
      </w:r>
      <w:r w:rsidR="00866087" w:rsidRPr="00866087">
        <w:rPr>
          <w:sz w:val="22"/>
          <w:szCs w:val="22"/>
        </w:rPr>
        <w:t xml:space="preserve">OP-MO-2021-000376 </w:t>
      </w:r>
      <w:r w:rsidRPr="00F528F1">
        <w:rPr>
          <w:sz w:val="22"/>
          <w:szCs w:val="22"/>
        </w:rPr>
        <w:t>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závazných právních předpisů a technických norem, pokynů výrobce, příslušné projektové dokumentace a dle požadavků objednatele.</w:t>
      </w:r>
    </w:p>
    <w:p w14:paraId="0B45CD85" w14:textId="77777777" w:rsidR="000960B4" w:rsidRPr="00643CFC" w:rsidRDefault="000960B4" w:rsidP="00376173">
      <w:pPr>
        <w:pStyle w:val="Parnadpis"/>
        <w:numPr>
          <w:ilvl w:val="0"/>
          <w:numId w:val="3"/>
        </w:numPr>
        <w:ind w:left="567" w:hanging="567"/>
        <w:rPr>
          <w:sz w:val="24"/>
          <w:szCs w:val="24"/>
        </w:rPr>
      </w:pPr>
      <w:r w:rsidRPr="00643CFC">
        <w:rPr>
          <w:sz w:val="24"/>
          <w:szCs w:val="24"/>
        </w:rPr>
        <w:lastRenderedPageBreak/>
        <w:t>Předmět smlouvy</w:t>
      </w:r>
    </w:p>
    <w:p w14:paraId="0FEA2609" w14:textId="7CA4CC37" w:rsidR="000960B4" w:rsidRDefault="000960B4" w:rsidP="00376173">
      <w:pPr>
        <w:pStyle w:val="Parodstavec"/>
        <w:numPr>
          <w:ilvl w:val="1"/>
          <w:numId w:val="3"/>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1.1. této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187892AB" w:rsidR="00643CFC" w:rsidRDefault="000960B4" w:rsidP="00376173">
      <w:pPr>
        <w:pStyle w:val="Parodstavec"/>
        <w:numPr>
          <w:ilvl w:val="1"/>
          <w:numId w:val="3"/>
        </w:numPr>
        <w:ind w:left="567" w:hanging="567"/>
        <w:jc w:val="both"/>
        <w:rPr>
          <w:sz w:val="24"/>
          <w:szCs w:val="24"/>
        </w:rPr>
      </w:pPr>
      <w:r w:rsidRPr="00643CFC">
        <w:rPr>
          <w:sz w:val="22"/>
          <w:szCs w:val="22"/>
        </w:rPr>
        <w:t>Místem plnění dle této smlouvy se rozumí</w:t>
      </w:r>
      <w:r w:rsidRPr="00A003D2">
        <w:rPr>
          <w:sz w:val="24"/>
          <w:szCs w:val="24"/>
        </w:rPr>
        <w:t xml:space="preserve">: </w:t>
      </w:r>
      <w:r w:rsidR="00BC065D" w:rsidRPr="00BC065D">
        <w:rPr>
          <w:sz w:val="22"/>
          <w:szCs w:val="22"/>
        </w:rPr>
        <w:t>Hvězdárna v Úpici, 542 32</w:t>
      </w:r>
    </w:p>
    <w:p w14:paraId="12B657FC" w14:textId="77777777" w:rsidR="002F6CDD" w:rsidRPr="002F6CDD" w:rsidRDefault="000960B4" w:rsidP="00376173">
      <w:pPr>
        <w:pStyle w:val="Parnadpis"/>
        <w:numPr>
          <w:ilvl w:val="0"/>
          <w:numId w:val="3"/>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1A5D6B" w:rsidRDefault="001A5D6B" w:rsidP="00376173">
      <w:pPr>
        <w:pStyle w:val="Parodstavec"/>
        <w:numPr>
          <w:ilvl w:val="1"/>
          <w:numId w:val="3"/>
        </w:numPr>
        <w:ind w:left="567" w:hanging="567"/>
        <w:jc w:val="both"/>
        <w:rPr>
          <w:sz w:val="22"/>
          <w:szCs w:val="22"/>
        </w:rPr>
      </w:pPr>
      <w:bookmarkStart w:id="2" w:name="_Ref511218515"/>
      <w:bookmarkStart w:id="3" w:name="_Ref508020974"/>
      <w:r>
        <w:rPr>
          <w:sz w:val="22"/>
          <w:szCs w:val="22"/>
          <w:lang w:val="cs-CZ"/>
        </w:rPr>
        <w:t xml:space="preserve">Poskytování servisní podpory </w:t>
      </w:r>
      <w:r w:rsidR="00C26968">
        <w:rPr>
          <w:sz w:val="22"/>
          <w:szCs w:val="22"/>
          <w:lang w:val="cs-CZ"/>
        </w:rPr>
        <w:t>SILVER</w:t>
      </w:r>
      <w:bookmarkEnd w:id="2"/>
    </w:p>
    <w:p w14:paraId="7047B49F" w14:textId="3CE5F589" w:rsidR="00CA706E" w:rsidRPr="00CA706E" w:rsidRDefault="00832967" w:rsidP="00376173">
      <w:pPr>
        <w:pStyle w:val="Parodstavec"/>
        <w:numPr>
          <w:ilvl w:val="2"/>
          <w:numId w:val="3"/>
        </w:numPr>
        <w:tabs>
          <w:tab w:val="left" w:pos="993"/>
        </w:tabs>
        <w:ind w:left="993"/>
        <w:jc w:val="both"/>
        <w:rPr>
          <w:sz w:val="22"/>
          <w:szCs w:val="22"/>
        </w:rPr>
      </w:pPr>
      <w:r>
        <w:rPr>
          <w:sz w:val="22"/>
          <w:szCs w:val="22"/>
          <w:lang w:val="cs-CZ"/>
        </w:rPr>
        <w:t>Servisní</w:t>
      </w:r>
      <w:r w:rsidR="003C4B7D" w:rsidRPr="003C4B7D">
        <w:rPr>
          <w:sz w:val="22"/>
          <w:szCs w:val="22"/>
        </w:rPr>
        <w:t xml:space="preserve"> podpor</w:t>
      </w:r>
      <w:r w:rsidR="003C4B7D">
        <w:rPr>
          <w:sz w:val="22"/>
          <w:szCs w:val="22"/>
          <w:lang w:val="cs-CZ"/>
        </w:rPr>
        <w:t>a</w:t>
      </w:r>
      <w:r w:rsidR="003C4B7D" w:rsidRPr="003C4B7D">
        <w:rPr>
          <w:sz w:val="22"/>
          <w:szCs w:val="22"/>
        </w:rPr>
        <w:t xml:space="preserve"> </w:t>
      </w:r>
      <w:r w:rsidR="00C26968">
        <w:rPr>
          <w:sz w:val="22"/>
          <w:szCs w:val="22"/>
        </w:rPr>
        <w:t>SILVER</w:t>
      </w:r>
      <w:r w:rsidR="003C4B7D">
        <w:rPr>
          <w:sz w:val="22"/>
          <w:szCs w:val="22"/>
          <w:lang w:val="cs-CZ"/>
        </w:rPr>
        <w:t xml:space="preserve"> je servisní</w:t>
      </w:r>
      <w:r w:rsidR="003C4B7D" w:rsidRPr="003C4B7D">
        <w:rPr>
          <w:sz w:val="22"/>
          <w:szCs w:val="22"/>
        </w:rPr>
        <w:t xml:space="preserve"> a technická činnost realizovaná Zhotovitelem „na místě" i vzdáleným připojením, včetně diagnostiky a služeb vedoucích k odstranění incidentu dle kategorizace</w:t>
      </w:r>
      <w:r w:rsidR="003C4B7D">
        <w:rPr>
          <w:sz w:val="22"/>
          <w:szCs w:val="22"/>
          <w:lang w:val="cs-CZ"/>
        </w:rPr>
        <w:t xml:space="preserve"> a podmínek uvedených v </w:t>
      </w:r>
      <w:r w:rsidR="00CA035E">
        <w:rPr>
          <w:sz w:val="22"/>
          <w:szCs w:val="22"/>
          <w:lang w:val="cs-CZ"/>
        </w:rPr>
        <w:t>Příloze</w:t>
      </w:r>
      <w:r w:rsidR="003C4B7D">
        <w:rPr>
          <w:sz w:val="22"/>
          <w:szCs w:val="22"/>
          <w:lang w:val="cs-CZ"/>
        </w:rPr>
        <w:t xml:space="preserve"> č. 2 této smlouvy</w:t>
      </w:r>
      <w:r w:rsidR="003C4B7D" w:rsidRPr="003C4B7D">
        <w:rPr>
          <w:sz w:val="22"/>
          <w:szCs w:val="22"/>
        </w:rPr>
        <w:t>, prováděná na základě servisního záznamu</w:t>
      </w:r>
      <w:r w:rsidR="003C4B7D">
        <w:rPr>
          <w:sz w:val="22"/>
          <w:szCs w:val="22"/>
          <w:lang w:val="cs-CZ"/>
        </w:rPr>
        <w:t>.</w:t>
      </w:r>
      <w:r w:rsidR="00551D82">
        <w:rPr>
          <w:sz w:val="22"/>
          <w:szCs w:val="22"/>
          <w:lang w:val="cs-CZ"/>
        </w:rPr>
        <w:t xml:space="preserve"> </w:t>
      </w:r>
    </w:p>
    <w:p w14:paraId="3D142D3D" w14:textId="16B4D4F2" w:rsidR="001A5D6B" w:rsidRPr="003C4B7D" w:rsidRDefault="00551D82" w:rsidP="00376173">
      <w:pPr>
        <w:pStyle w:val="Parodstavec"/>
        <w:numPr>
          <w:ilvl w:val="2"/>
          <w:numId w:val="3"/>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smlouvy o dílo dle čl. 1.1. této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4D60A3" w:rsidRDefault="000960B4" w:rsidP="00376173">
      <w:pPr>
        <w:pStyle w:val="Parodstavec"/>
        <w:numPr>
          <w:ilvl w:val="1"/>
          <w:numId w:val="3"/>
        </w:numPr>
        <w:ind w:left="567" w:hanging="567"/>
        <w:jc w:val="both"/>
        <w:rPr>
          <w:sz w:val="22"/>
          <w:szCs w:val="22"/>
        </w:rPr>
      </w:pPr>
      <w:bookmarkStart w:id="4" w:name="_Ref511218540"/>
      <w:r w:rsidRPr="004D60A3">
        <w:rPr>
          <w:sz w:val="22"/>
          <w:szCs w:val="22"/>
        </w:rPr>
        <w:t xml:space="preserve">Revize </w:t>
      </w:r>
      <w:r w:rsidR="00235160" w:rsidRPr="004D60A3">
        <w:rPr>
          <w:sz w:val="22"/>
          <w:szCs w:val="22"/>
          <w:lang w:val="cs-CZ"/>
        </w:rPr>
        <w:t>OZ</w:t>
      </w:r>
      <w:bookmarkEnd w:id="3"/>
      <w:bookmarkEnd w:id="4"/>
    </w:p>
    <w:p w14:paraId="22E28BC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B681F88"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8D2601">
        <w:rPr>
          <w:sz w:val="22"/>
          <w:szCs w:val="22"/>
        </w:rPr>
        <w:t>21</w:t>
      </w:r>
      <w:r w:rsidRPr="00643CFC">
        <w:rPr>
          <w:sz w:val="22"/>
          <w:szCs w:val="22"/>
        </w:rPr>
        <w:t xml:space="preserve"> dnů ode dne provedení revize. </w:t>
      </w:r>
    </w:p>
    <w:p w14:paraId="779A3947"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77777777" w:rsidR="000960B4" w:rsidRPr="004D60A3" w:rsidRDefault="000960B4" w:rsidP="00376173">
      <w:pPr>
        <w:pStyle w:val="Parodstavec"/>
        <w:numPr>
          <w:ilvl w:val="1"/>
          <w:numId w:val="3"/>
        </w:numPr>
        <w:ind w:left="567" w:hanging="567"/>
        <w:jc w:val="both"/>
        <w:rPr>
          <w:sz w:val="22"/>
          <w:szCs w:val="22"/>
        </w:rPr>
      </w:pPr>
      <w:bookmarkStart w:id="5" w:name="_Ref508020807"/>
      <w:r w:rsidRPr="004D60A3">
        <w:rPr>
          <w:sz w:val="22"/>
          <w:szCs w:val="22"/>
        </w:rPr>
        <w:t xml:space="preserve">Opravy a údržba </w:t>
      </w:r>
      <w:r w:rsidR="00E77AE3" w:rsidRPr="004D60A3">
        <w:rPr>
          <w:sz w:val="22"/>
          <w:szCs w:val="22"/>
          <w:lang w:val="cs-CZ"/>
        </w:rPr>
        <w:t>OZ</w:t>
      </w:r>
      <w:bookmarkEnd w:id="5"/>
    </w:p>
    <w:p w14:paraId="3F74C867" w14:textId="43AF1351"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BE244E">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3D18C0A6"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BE244E">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376173">
      <w:pPr>
        <w:widowControl w:val="0"/>
        <w:numPr>
          <w:ilvl w:val="0"/>
          <w:numId w:val="4"/>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77A52F18" w14:textId="77777777" w:rsidR="00501602" w:rsidRDefault="00501602" w:rsidP="00501602">
      <w:pPr>
        <w:pStyle w:val="Parodstavec"/>
        <w:numPr>
          <w:ilvl w:val="0"/>
          <w:numId w:val="0"/>
        </w:numPr>
        <w:ind w:left="720"/>
        <w:jc w:val="both"/>
        <w:rPr>
          <w:sz w:val="22"/>
          <w:szCs w:val="22"/>
        </w:rPr>
      </w:pPr>
      <w:bookmarkStart w:id="7" w:name="_Ref508021153"/>
      <w:r w:rsidRPr="00643CFC">
        <w:rPr>
          <w:sz w:val="22"/>
          <w:szCs w:val="22"/>
        </w:rPr>
        <w:t>v pracovní dny v době od 8:00 do 16.30 hod.:</w:t>
      </w:r>
    </w:p>
    <w:p w14:paraId="170CB271" w14:textId="6D09CEA2" w:rsidR="00501602" w:rsidRPr="00E82DDC" w:rsidRDefault="00501602" w:rsidP="00501602">
      <w:pPr>
        <w:pStyle w:val="Parodstavec"/>
        <w:numPr>
          <w:ilvl w:val="0"/>
          <w:numId w:val="0"/>
        </w:numPr>
        <w:tabs>
          <w:tab w:val="left" w:pos="3686"/>
        </w:tabs>
        <w:spacing w:before="0" w:after="0"/>
        <w:ind w:left="720"/>
        <w:jc w:val="both"/>
        <w:rPr>
          <w:sz w:val="22"/>
          <w:szCs w:val="22"/>
          <w:lang w:val="cs-CZ"/>
        </w:rPr>
      </w:pPr>
      <w:r>
        <w:rPr>
          <w:sz w:val="22"/>
          <w:szCs w:val="22"/>
          <w:lang w:val="cs-CZ"/>
        </w:rPr>
        <w:t xml:space="preserve">         </w:t>
      </w:r>
      <w:r w:rsidRPr="009012FB">
        <w:rPr>
          <w:sz w:val="22"/>
          <w:szCs w:val="22"/>
        </w:rPr>
        <w:t>telefonicky na tel. čísle:</w:t>
      </w:r>
      <w:r>
        <w:rPr>
          <w:sz w:val="22"/>
          <w:szCs w:val="22"/>
        </w:rPr>
        <w:tab/>
      </w:r>
      <w:r>
        <w:rPr>
          <w:sz w:val="22"/>
          <w:szCs w:val="22"/>
        </w:rPr>
        <w:tab/>
      </w:r>
    </w:p>
    <w:p w14:paraId="5D26634E" w14:textId="2C490B26" w:rsidR="00501602" w:rsidRDefault="00501602" w:rsidP="00501602">
      <w:pPr>
        <w:pStyle w:val="Parodstavec"/>
        <w:numPr>
          <w:ilvl w:val="0"/>
          <w:numId w:val="0"/>
        </w:numPr>
        <w:tabs>
          <w:tab w:val="left" w:pos="3686"/>
        </w:tabs>
        <w:spacing w:before="0" w:after="0"/>
        <w:ind w:left="720"/>
        <w:jc w:val="both"/>
        <w:rPr>
          <w:sz w:val="22"/>
          <w:szCs w:val="22"/>
        </w:rPr>
      </w:pPr>
      <w:r>
        <w:rPr>
          <w:sz w:val="22"/>
          <w:szCs w:val="22"/>
          <w:lang w:val="cs-CZ"/>
        </w:rPr>
        <w:t xml:space="preserve">         </w:t>
      </w:r>
      <w:r w:rsidRPr="009012FB">
        <w:rPr>
          <w:sz w:val="22"/>
          <w:szCs w:val="22"/>
        </w:rPr>
        <w:t>e-mailem na adresu:</w:t>
      </w:r>
      <w:r>
        <w:rPr>
          <w:sz w:val="22"/>
          <w:szCs w:val="22"/>
        </w:rPr>
        <w:tab/>
      </w:r>
      <w:r>
        <w:rPr>
          <w:sz w:val="22"/>
          <w:szCs w:val="22"/>
        </w:rPr>
        <w:tab/>
      </w:r>
    </w:p>
    <w:p w14:paraId="211E960B" w14:textId="77777777" w:rsidR="008D2601" w:rsidRDefault="00501602" w:rsidP="008D2601">
      <w:pPr>
        <w:pStyle w:val="Parodstavec"/>
        <w:numPr>
          <w:ilvl w:val="0"/>
          <w:numId w:val="0"/>
        </w:numPr>
        <w:tabs>
          <w:tab w:val="left" w:pos="3686"/>
        </w:tabs>
        <w:spacing w:before="0" w:after="0"/>
        <w:ind w:left="720"/>
        <w:jc w:val="both"/>
        <w:rPr>
          <w:sz w:val="22"/>
          <w:szCs w:val="22"/>
          <w:lang w:val="cs-CZ"/>
        </w:rPr>
      </w:pPr>
      <w:r>
        <w:rPr>
          <w:sz w:val="22"/>
          <w:szCs w:val="22"/>
          <w:lang w:val="cs-CZ"/>
        </w:rPr>
        <w:t xml:space="preserve">        </w:t>
      </w:r>
    </w:p>
    <w:p w14:paraId="6EBD0CA1" w14:textId="0D30B864" w:rsidR="00501602" w:rsidRDefault="00501602" w:rsidP="008D2601">
      <w:pPr>
        <w:pStyle w:val="Parodstavec"/>
        <w:numPr>
          <w:ilvl w:val="0"/>
          <w:numId w:val="0"/>
        </w:numPr>
        <w:tabs>
          <w:tab w:val="left" w:pos="3686"/>
        </w:tabs>
        <w:spacing w:before="0" w:after="0"/>
        <w:ind w:left="720"/>
        <w:jc w:val="both"/>
        <w:rPr>
          <w:sz w:val="22"/>
          <w:szCs w:val="22"/>
        </w:rPr>
      </w:pPr>
      <w:r>
        <w:rPr>
          <w:sz w:val="22"/>
          <w:szCs w:val="22"/>
        </w:rPr>
        <w:t>v ostatní mimopracovní dobu:</w:t>
      </w:r>
    </w:p>
    <w:p w14:paraId="659A6FE0" w14:textId="093D72AC" w:rsidR="00501602" w:rsidRPr="00E82DDC" w:rsidRDefault="00501602" w:rsidP="00501602">
      <w:pPr>
        <w:pStyle w:val="Parodstavec"/>
        <w:numPr>
          <w:ilvl w:val="0"/>
          <w:numId w:val="0"/>
        </w:numPr>
        <w:tabs>
          <w:tab w:val="left" w:pos="3686"/>
        </w:tabs>
        <w:spacing w:before="0" w:after="0"/>
        <w:ind w:left="720"/>
        <w:jc w:val="both"/>
        <w:rPr>
          <w:sz w:val="22"/>
          <w:szCs w:val="22"/>
          <w:lang w:val="cs-CZ"/>
        </w:rPr>
      </w:pPr>
      <w:r>
        <w:rPr>
          <w:sz w:val="22"/>
          <w:szCs w:val="22"/>
          <w:lang w:val="cs-CZ"/>
        </w:rPr>
        <w:t xml:space="preserve">        </w:t>
      </w:r>
      <w:r w:rsidRPr="009012FB">
        <w:rPr>
          <w:sz w:val="22"/>
          <w:szCs w:val="22"/>
        </w:rPr>
        <w:t>telefonicky na tel. čísle:</w:t>
      </w:r>
      <w:r>
        <w:rPr>
          <w:sz w:val="22"/>
          <w:szCs w:val="22"/>
        </w:rPr>
        <w:tab/>
      </w:r>
      <w:r>
        <w:rPr>
          <w:sz w:val="22"/>
          <w:szCs w:val="22"/>
          <w:lang w:val="cs-CZ"/>
        </w:rPr>
        <w:t xml:space="preserve">         </w:t>
      </w:r>
      <w:r>
        <w:rPr>
          <w:sz w:val="22"/>
          <w:szCs w:val="22"/>
        </w:rPr>
        <w:tab/>
      </w:r>
    </w:p>
    <w:p w14:paraId="70C2DA16" w14:textId="1564D700" w:rsidR="00501602" w:rsidRPr="005C2132" w:rsidRDefault="00501602" w:rsidP="00501602">
      <w:pPr>
        <w:pStyle w:val="Parodstavec"/>
        <w:numPr>
          <w:ilvl w:val="0"/>
          <w:numId w:val="0"/>
        </w:numPr>
        <w:tabs>
          <w:tab w:val="left" w:pos="3686"/>
        </w:tabs>
        <w:spacing w:before="0" w:after="0"/>
        <w:ind w:left="720"/>
        <w:jc w:val="both"/>
        <w:rPr>
          <w:sz w:val="22"/>
          <w:szCs w:val="22"/>
        </w:rPr>
      </w:pPr>
      <w:r>
        <w:rPr>
          <w:sz w:val="22"/>
          <w:szCs w:val="22"/>
          <w:lang w:val="cs-CZ"/>
        </w:rPr>
        <w:t xml:space="preserve">        </w:t>
      </w:r>
      <w:r w:rsidRPr="009012FB">
        <w:rPr>
          <w:sz w:val="22"/>
          <w:szCs w:val="22"/>
        </w:rPr>
        <w:t>e-mailem na adresu:</w:t>
      </w:r>
      <w:r>
        <w:rPr>
          <w:sz w:val="22"/>
          <w:szCs w:val="22"/>
        </w:rPr>
        <w:tab/>
      </w:r>
      <w:r>
        <w:rPr>
          <w:sz w:val="22"/>
          <w:szCs w:val="22"/>
        </w:rPr>
        <w:tab/>
      </w:r>
    </w:p>
    <w:p w14:paraId="7C647BA7" w14:textId="509D5FC8" w:rsidR="00D24588" w:rsidRDefault="00501602" w:rsidP="008D2601">
      <w:pPr>
        <w:pStyle w:val="Parodstavec"/>
        <w:numPr>
          <w:ilvl w:val="0"/>
          <w:numId w:val="0"/>
        </w:numPr>
        <w:tabs>
          <w:tab w:val="left" w:pos="3686"/>
        </w:tabs>
        <w:spacing w:before="0" w:after="0"/>
        <w:ind w:left="720"/>
        <w:jc w:val="both"/>
        <w:rPr>
          <w:sz w:val="22"/>
          <w:szCs w:val="22"/>
        </w:rPr>
      </w:pPr>
      <w:r>
        <w:rPr>
          <w:sz w:val="22"/>
          <w:szCs w:val="22"/>
          <w:lang w:val="cs-CZ"/>
        </w:rPr>
        <w:t xml:space="preserve">        </w:t>
      </w:r>
      <w:r w:rsidR="00D24588">
        <w:rPr>
          <w:sz w:val="22"/>
          <w:szCs w:val="22"/>
        </w:rPr>
        <w:t xml:space="preserve"> </w:t>
      </w:r>
    </w:p>
    <w:p w14:paraId="35E8B4F9" w14:textId="0F3B72FF" w:rsidR="000960B4" w:rsidRPr="00643CFC" w:rsidRDefault="000960B4" w:rsidP="00376173">
      <w:pPr>
        <w:pStyle w:val="Parodstavec"/>
        <w:numPr>
          <w:ilvl w:val="2"/>
          <w:numId w:val="3"/>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BE244E">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7359203D" w:rsidR="003B30CC" w:rsidRPr="00643CFC" w:rsidRDefault="003B30CC" w:rsidP="00376173">
      <w:pPr>
        <w:pStyle w:val="Parodstavec"/>
        <w:numPr>
          <w:ilvl w:val="2"/>
          <w:numId w:val="3"/>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BE244E">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75971DE1"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BE244E">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376173">
      <w:pPr>
        <w:pStyle w:val="Parodstavec"/>
        <w:numPr>
          <w:ilvl w:val="2"/>
          <w:numId w:val="3"/>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ust. § 2913 odst. 2 občanského zákoníku. </w:t>
      </w:r>
    </w:p>
    <w:p w14:paraId="759FDAA7" w14:textId="77777777" w:rsidR="000960B4" w:rsidRPr="004D60A3" w:rsidRDefault="000960B4" w:rsidP="00376173">
      <w:pPr>
        <w:pStyle w:val="Parodstavec"/>
        <w:numPr>
          <w:ilvl w:val="1"/>
          <w:numId w:val="3"/>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376173">
      <w:pPr>
        <w:widowControl w:val="0"/>
        <w:numPr>
          <w:ilvl w:val="0"/>
          <w:numId w:val="7"/>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bookmarkEnd w:id="6"/>
    <w:p w14:paraId="10A19165" w14:textId="77777777" w:rsidR="000960B4" w:rsidRPr="00643CFC" w:rsidRDefault="000960B4" w:rsidP="00376173">
      <w:pPr>
        <w:pStyle w:val="Parnadpis"/>
        <w:numPr>
          <w:ilvl w:val="0"/>
          <w:numId w:val="3"/>
        </w:numPr>
        <w:ind w:left="567" w:hanging="567"/>
        <w:rPr>
          <w:sz w:val="24"/>
          <w:szCs w:val="24"/>
        </w:rPr>
      </w:pPr>
      <w:r w:rsidRPr="00643CFC">
        <w:rPr>
          <w:sz w:val="24"/>
          <w:szCs w:val="24"/>
        </w:rPr>
        <w:lastRenderedPageBreak/>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DB10A4" w:rsidRDefault="00DB10A4" w:rsidP="00376173">
      <w:pPr>
        <w:pStyle w:val="Parodstavec"/>
        <w:numPr>
          <w:ilvl w:val="1"/>
          <w:numId w:val="3"/>
        </w:numPr>
        <w:ind w:left="567" w:hanging="567"/>
        <w:jc w:val="both"/>
        <w:rPr>
          <w:sz w:val="22"/>
          <w:szCs w:val="22"/>
        </w:rPr>
      </w:pPr>
      <w:r>
        <w:rPr>
          <w:sz w:val="22"/>
          <w:szCs w:val="22"/>
          <w:lang w:val="cs-CZ"/>
        </w:rPr>
        <w:t xml:space="preserve">Cena za servisní podporu </w:t>
      </w:r>
      <w:r w:rsidR="00C26968">
        <w:rPr>
          <w:sz w:val="22"/>
          <w:szCs w:val="22"/>
          <w:lang w:val="cs-CZ"/>
        </w:rPr>
        <w:t>SILVER</w:t>
      </w:r>
    </w:p>
    <w:p w14:paraId="569D9C71" w14:textId="7C062B97" w:rsidR="005B542B" w:rsidRDefault="00DB10A4" w:rsidP="00376173">
      <w:pPr>
        <w:pStyle w:val="Parodstavec"/>
        <w:numPr>
          <w:ilvl w:val="2"/>
          <w:numId w:val="3"/>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BE244E">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376173">
      <w:pPr>
        <w:pStyle w:val="Parodstavec"/>
        <w:numPr>
          <w:ilvl w:val="2"/>
          <w:numId w:val="3"/>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provedení revize </w:t>
      </w:r>
      <w:r w:rsidR="00F164F3" w:rsidRPr="004D60A3">
        <w:rPr>
          <w:sz w:val="22"/>
          <w:szCs w:val="22"/>
          <w:lang w:val="cs-CZ"/>
        </w:rPr>
        <w:t>OZ</w:t>
      </w:r>
    </w:p>
    <w:p w14:paraId="1315BDFF" w14:textId="5BC23CDF" w:rsidR="000960B4" w:rsidRPr="00643CFC" w:rsidRDefault="000960B4" w:rsidP="00376173">
      <w:pPr>
        <w:pStyle w:val="Parodstavec"/>
        <w:numPr>
          <w:ilvl w:val="2"/>
          <w:numId w:val="3"/>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BE244E">
        <w:rPr>
          <w:sz w:val="22"/>
          <w:szCs w:val="22"/>
        </w:rPr>
        <w:t>3.2</w:t>
      </w:r>
      <w:r w:rsidR="00CC0DDE">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 xml:space="preserve">Cena za poskytnutí oprav a údržby </w:t>
      </w:r>
      <w:r w:rsidR="00A8793F" w:rsidRPr="004D60A3">
        <w:rPr>
          <w:sz w:val="22"/>
          <w:szCs w:val="22"/>
          <w:lang w:val="cs-CZ"/>
        </w:rPr>
        <w:t>OZ</w:t>
      </w:r>
    </w:p>
    <w:p w14:paraId="654AE881" w14:textId="54F4A305" w:rsidR="000960B4" w:rsidRPr="00643CFC" w:rsidRDefault="000960B4" w:rsidP="00376173">
      <w:pPr>
        <w:pStyle w:val="Parodstavec"/>
        <w:numPr>
          <w:ilvl w:val="2"/>
          <w:numId w:val="3"/>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BE244E">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60F571AD"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BE244E">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4D60A3" w:rsidRDefault="000960B4" w:rsidP="00376173">
      <w:pPr>
        <w:pStyle w:val="Parodstavec"/>
        <w:numPr>
          <w:ilvl w:val="1"/>
          <w:numId w:val="3"/>
        </w:numPr>
        <w:ind w:left="567" w:hanging="567"/>
        <w:jc w:val="both"/>
        <w:rPr>
          <w:sz w:val="22"/>
          <w:szCs w:val="22"/>
        </w:rPr>
      </w:pPr>
      <w:r w:rsidRPr="004D60A3">
        <w:rPr>
          <w:sz w:val="22"/>
          <w:szCs w:val="22"/>
        </w:rPr>
        <w:t>Cena za ostatní servisní služby</w:t>
      </w:r>
    </w:p>
    <w:p w14:paraId="6E97BB74" w14:textId="60675A3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BE244E">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376173">
      <w:pPr>
        <w:pStyle w:val="Parodstavec"/>
        <w:numPr>
          <w:ilvl w:val="2"/>
          <w:numId w:val="3"/>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376173">
      <w:pPr>
        <w:pStyle w:val="Parodstavec"/>
        <w:numPr>
          <w:ilvl w:val="1"/>
          <w:numId w:val="3"/>
        </w:numPr>
        <w:ind w:left="567" w:hanging="567"/>
        <w:jc w:val="both"/>
        <w:rPr>
          <w:sz w:val="22"/>
          <w:szCs w:val="22"/>
        </w:rPr>
      </w:pPr>
      <w:r>
        <w:rPr>
          <w:sz w:val="22"/>
          <w:szCs w:val="22"/>
          <w:lang w:val="cs-CZ"/>
        </w:rPr>
        <w:lastRenderedPageBreak/>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376173">
      <w:pPr>
        <w:pStyle w:val="Parnadpis"/>
        <w:numPr>
          <w:ilvl w:val="0"/>
          <w:numId w:val="3"/>
        </w:numPr>
        <w:ind w:left="567" w:hanging="567"/>
        <w:rPr>
          <w:sz w:val="24"/>
          <w:szCs w:val="24"/>
        </w:rPr>
      </w:pPr>
      <w:r w:rsidRPr="00643CFC">
        <w:rPr>
          <w:sz w:val="24"/>
          <w:szCs w:val="24"/>
        </w:rPr>
        <w:t>Inflační doložka</w:t>
      </w:r>
    </w:p>
    <w:p w14:paraId="57054C9E"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objednatele</w:t>
      </w:r>
    </w:p>
    <w:p w14:paraId="10B90A2C" w14:textId="77777777" w:rsidR="000960B4" w:rsidRPr="00643CFC" w:rsidRDefault="000960B4" w:rsidP="00376173">
      <w:pPr>
        <w:pStyle w:val="Parodstavec"/>
        <w:numPr>
          <w:ilvl w:val="1"/>
          <w:numId w:val="3"/>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376173">
      <w:pPr>
        <w:widowControl w:val="0"/>
        <w:numPr>
          <w:ilvl w:val="0"/>
          <w:numId w:val="6"/>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447579D4" w:rsidR="00A003D2" w:rsidRPr="00643CFC" w:rsidRDefault="000960B4" w:rsidP="00376173">
      <w:pPr>
        <w:pStyle w:val="Parodstavec"/>
        <w:numPr>
          <w:ilvl w:val="1"/>
          <w:numId w:val="3"/>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BE244E">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BE244E">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376173">
      <w:pPr>
        <w:pStyle w:val="Parnadpis"/>
        <w:numPr>
          <w:ilvl w:val="0"/>
          <w:numId w:val="3"/>
        </w:numPr>
        <w:ind w:left="567" w:hanging="567"/>
        <w:rPr>
          <w:sz w:val="24"/>
          <w:szCs w:val="24"/>
        </w:rPr>
      </w:pPr>
      <w:r w:rsidRPr="00643CFC">
        <w:rPr>
          <w:sz w:val="24"/>
          <w:szCs w:val="24"/>
        </w:rPr>
        <w:t>Povinnosti zhotovitele</w:t>
      </w:r>
    </w:p>
    <w:p w14:paraId="27A738D9"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w:t>
      </w:r>
      <w:r w:rsidRPr="00643CFC">
        <w:rPr>
          <w:rFonts w:eastAsia="HG Mincho Light J" w:cs="Arial"/>
          <w:color w:val="000000"/>
          <w:sz w:val="22"/>
          <w:szCs w:val="22"/>
          <w:lang w:eastAsia="zh-TW"/>
        </w:rPr>
        <w:lastRenderedPageBreak/>
        <w:t xml:space="preserve">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58D8A7B7" w:rsidR="000960B4"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BE244E">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376173">
      <w:pPr>
        <w:widowControl w:val="0"/>
        <w:numPr>
          <w:ilvl w:val="0"/>
          <w:numId w:val="5"/>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376173">
      <w:pPr>
        <w:pStyle w:val="Parnadpis"/>
        <w:numPr>
          <w:ilvl w:val="0"/>
          <w:numId w:val="3"/>
        </w:numPr>
        <w:ind w:left="567" w:hanging="567"/>
        <w:rPr>
          <w:sz w:val="24"/>
          <w:szCs w:val="24"/>
        </w:rPr>
      </w:pPr>
      <w:r w:rsidRPr="00643CFC">
        <w:rPr>
          <w:sz w:val="24"/>
          <w:szCs w:val="24"/>
        </w:rPr>
        <w:t>Doba trvání smlouvy a její ukončení</w:t>
      </w:r>
    </w:p>
    <w:p w14:paraId="09BBEBF6" w14:textId="65943C61" w:rsidR="000960B4" w:rsidRPr="00643CFC" w:rsidRDefault="000960B4" w:rsidP="00376173">
      <w:pPr>
        <w:pStyle w:val="Parodstavec"/>
        <w:numPr>
          <w:ilvl w:val="1"/>
          <w:numId w:val="3"/>
        </w:numPr>
        <w:ind w:left="567" w:hanging="567"/>
        <w:jc w:val="both"/>
        <w:rPr>
          <w:sz w:val="22"/>
          <w:szCs w:val="22"/>
        </w:rPr>
      </w:pPr>
      <w:r w:rsidRPr="00643CFC">
        <w:rPr>
          <w:sz w:val="22"/>
          <w:szCs w:val="22"/>
        </w:rPr>
        <w:t>Tato smlouva se uzavírá na dobu neurčitou</w:t>
      </w:r>
      <w:r w:rsidR="008D2601">
        <w:rPr>
          <w:sz w:val="22"/>
          <w:szCs w:val="22"/>
        </w:rPr>
        <w:t>.</w:t>
      </w:r>
    </w:p>
    <w:p w14:paraId="0B90BA8D"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4447C8A6"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BE244E">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376173">
      <w:pPr>
        <w:pStyle w:val="Parodstavec"/>
        <w:numPr>
          <w:ilvl w:val="1"/>
          <w:numId w:val="3"/>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376173">
      <w:pPr>
        <w:pStyle w:val="Parnadpis"/>
        <w:numPr>
          <w:ilvl w:val="0"/>
          <w:numId w:val="3"/>
        </w:numPr>
        <w:ind w:hanging="720"/>
        <w:rPr>
          <w:sz w:val="24"/>
          <w:szCs w:val="24"/>
        </w:rPr>
      </w:pPr>
      <w:r w:rsidRPr="00643CFC">
        <w:rPr>
          <w:sz w:val="24"/>
          <w:szCs w:val="24"/>
        </w:rPr>
        <w:t>Smluvní pokuty</w:t>
      </w:r>
      <w:r w:rsidR="009F4A10">
        <w:rPr>
          <w:sz w:val="24"/>
          <w:szCs w:val="24"/>
        </w:rPr>
        <w:t xml:space="preserve"> a náhrada újmy</w:t>
      </w:r>
    </w:p>
    <w:p w14:paraId="3DD51862"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V případě prodlení objednatele s úhradou sjednané ceny ve lhůtě splatnosti je zhotovitel oprávněn uplatnit smluvní pokutu ve výši 0,</w:t>
      </w:r>
      <w:r w:rsidR="009F4A10">
        <w:rPr>
          <w:sz w:val="22"/>
          <w:szCs w:val="22"/>
        </w:rPr>
        <w:t>1</w:t>
      </w:r>
      <w:r w:rsidRPr="00643CFC">
        <w:rPr>
          <w:sz w:val="22"/>
          <w:szCs w:val="22"/>
        </w:rPr>
        <w:t xml:space="preserve">% dlužné částky za každý započatý den prodlení.     </w:t>
      </w:r>
    </w:p>
    <w:p w14:paraId="33153F0B" w14:textId="61E31415" w:rsidR="005524D8" w:rsidRPr="005524D8" w:rsidRDefault="000960B4" w:rsidP="00376173">
      <w:pPr>
        <w:pStyle w:val="Parodstavec"/>
        <w:numPr>
          <w:ilvl w:val="1"/>
          <w:numId w:val="3"/>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BE244E">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376173">
      <w:pPr>
        <w:pStyle w:val="Parodstavec"/>
        <w:numPr>
          <w:ilvl w:val="1"/>
          <w:numId w:val="3"/>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376173">
      <w:pPr>
        <w:pStyle w:val="Parodstavec"/>
        <w:numPr>
          <w:ilvl w:val="1"/>
          <w:numId w:val="3"/>
        </w:numPr>
        <w:ind w:left="567" w:hanging="567"/>
        <w:jc w:val="both"/>
        <w:rPr>
          <w:sz w:val="22"/>
          <w:szCs w:val="22"/>
        </w:rPr>
      </w:pPr>
      <w:r w:rsidRPr="00643CFC">
        <w:rPr>
          <w:sz w:val="22"/>
          <w:szCs w:val="22"/>
        </w:rPr>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9F4A10" w:rsidRDefault="009F4A10" w:rsidP="00376173">
      <w:pPr>
        <w:pStyle w:val="Parodstavec"/>
        <w:numPr>
          <w:ilvl w:val="1"/>
          <w:numId w:val="3"/>
        </w:numPr>
        <w:ind w:left="567" w:hanging="567"/>
        <w:jc w:val="both"/>
        <w:rPr>
          <w:sz w:val="22"/>
          <w:szCs w:val="22"/>
        </w:rPr>
      </w:pPr>
      <w:r w:rsidRPr="009F4A10">
        <w:rPr>
          <w:sz w:val="22"/>
          <w:szCs w:val="22"/>
        </w:rPr>
        <w:t>Zaplacením smluvní pokuty není dotčen nárok smluvních stran na náhradu vzniklé újmy.</w:t>
      </w:r>
    </w:p>
    <w:p w14:paraId="755524BF" w14:textId="1C5D9C58" w:rsidR="00054CB6" w:rsidRPr="00FF3F86" w:rsidRDefault="009F4A10" w:rsidP="004C72AF">
      <w:pPr>
        <w:pStyle w:val="Parodstavec"/>
        <w:numPr>
          <w:ilvl w:val="1"/>
          <w:numId w:val="3"/>
        </w:numPr>
        <w:ind w:left="567" w:hanging="567"/>
        <w:jc w:val="both"/>
        <w:rPr>
          <w:sz w:val="22"/>
          <w:szCs w:val="22"/>
        </w:rPr>
      </w:pPr>
      <w:r w:rsidRPr="00FF3F86">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6C4D1C3F" w14:textId="77777777" w:rsidR="001265C5" w:rsidRPr="001265C5" w:rsidRDefault="001265C5" w:rsidP="00376173">
      <w:pPr>
        <w:pStyle w:val="Parnadpis"/>
        <w:numPr>
          <w:ilvl w:val="0"/>
          <w:numId w:val="3"/>
        </w:numPr>
        <w:ind w:left="567" w:hanging="567"/>
        <w:rPr>
          <w:sz w:val="24"/>
          <w:szCs w:val="24"/>
          <w:lang w:val="cs-CZ"/>
        </w:rPr>
      </w:pPr>
      <w:r w:rsidRPr="001265C5">
        <w:rPr>
          <w:sz w:val="24"/>
          <w:szCs w:val="24"/>
          <w:lang w:val="cs-CZ"/>
        </w:rPr>
        <w:t>Vyšší moc</w:t>
      </w:r>
    </w:p>
    <w:p w14:paraId="6541979E"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Pro účely této smlouvy znamená "vyšší moc" takovou mimořádnou a neodvratitelnou událost mimo kontrolu smluvní strany, která se na ni odvolává, kterou nemohla předvídat při uzavření této smlouvy a která jí brání v plnění závazků vyplývajících z této smlouvy. Takové události mohou být kromě dalších případů zejména: živelné pohromy, války, revoluce, požáry velkého rozsahu, zemětřesení, záplavy, epidemie, karanténní omezení, </w:t>
      </w:r>
      <w:r w:rsidRPr="001063EC">
        <w:rPr>
          <w:sz w:val="22"/>
          <w:szCs w:val="22"/>
        </w:rPr>
        <w:lastRenderedPageBreak/>
        <w:t xml:space="preserve">dopravní embarga, generální stávky a stávky celého průmyslového odvětví, pokud mají dopad na zhotovitele a ovlivňují jeho plnění dle této smlouvy. Za okolnost vyšší moci se nepovažují chyby nebo zanedbání ze strany zhotovitele, výpadky v dodávce energie a ve výrobě, místní a podnikové stávky apod. Vyšší mocí není selhání poddodavatele, pokud by nenastalo z důvodů shora uvedených. </w:t>
      </w:r>
    </w:p>
    <w:p w14:paraId="2062769F" w14:textId="757907D7" w:rsidR="001265C5" w:rsidRPr="001063EC" w:rsidRDefault="001265C5" w:rsidP="00376173">
      <w:pPr>
        <w:pStyle w:val="Parodstavec"/>
        <w:numPr>
          <w:ilvl w:val="1"/>
          <w:numId w:val="3"/>
        </w:numPr>
        <w:ind w:left="567" w:hanging="567"/>
        <w:jc w:val="both"/>
        <w:rPr>
          <w:sz w:val="22"/>
          <w:szCs w:val="22"/>
        </w:rPr>
      </w:pPr>
      <w:r w:rsidRPr="001063EC">
        <w:rPr>
          <w:sz w:val="22"/>
          <w:szCs w:val="22"/>
        </w:rPr>
        <w:t xml:space="preserve">Smluvní strany jsou si vědomi existence pandemie Koronaviru (COVID-19) a zhotovitel prohlašuje, že v době uzavření této smlouvy nebrání tato pandemie v plnění jeho závazků z této smlouvy. Pokud však v důsledku pandemie Koronaviru dojde k dalším omezením, které budou bránit zhotoviteli v plnění této smlouvy (např. karanténní opatření zaměstnanců zhotovitele, karanténní opatření v místě plnění </w:t>
      </w:r>
      <w:r w:rsidR="009578BB" w:rsidRPr="001063EC">
        <w:rPr>
          <w:sz w:val="22"/>
          <w:szCs w:val="22"/>
          <w:lang w:val="cs-CZ"/>
        </w:rPr>
        <w:t>dle této smlouvy</w:t>
      </w:r>
      <w:r w:rsidRPr="001063EC">
        <w:rPr>
          <w:sz w:val="22"/>
          <w:szCs w:val="22"/>
        </w:rPr>
        <w:t>, či jiné omezení zhotovitele v důsledku opatření, či nařízení přijatých státními orgány apod.), dohodly se smluvní strany, že i tento případ bude představovat tzv. vyšší moc a bude tedy důvodem k postupu dle odst. 3 a násl. tohoto článku smlouvy.</w:t>
      </w:r>
    </w:p>
    <w:p w14:paraId="7C6D6CA7"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je zřejmé, že v důsledku událostí, uvedených v odstavci 1 a 2 výše, zhotovitel nebude schopen dokončit práce, či splnit jinou povinnost, ve smluveném termínu, pak o tom zhotovitel bezodkladně uvědomí objednatele. Strany se bez zbytečného odkladu dohodnou na řešení této situace a dohodnou další postup plnění díla dle této smlouvy. Strany však výslovně sjednávají, že zhotovitel není v prodlení s plněním svých povinností dle této smlouvy po dobu výskytu vyšší moci.</w:t>
      </w:r>
    </w:p>
    <w:p w14:paraId="0CEE3A08"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A350605" w14:textId="77777777" w:rsidR="001265C5" w:rsidRPr="001063EC" w:rsidRDefault="001265C5" w:rsidP="00376173">
      <w:pPr>
        <w:pStyle w:val="Parodstavec"/>
        <w:numPr>
          <w:ilvl w:val="1"/>
          <w:numId w:val="3"/>
        </w:numPr>
        <w:ind w:left="567" w:hanging="567"/>
        <w:jc w:val="both"/>
        <w:rPr>
          <w:sz w:val="22"/>
          <w:szCs w:val="22"/>
        </w:rPr>
      </w:pPr>
      <w:r w:rsidRPr="001063EC">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376173">
      <w:pPr>
        <w:pStyle w:val="Parnadpis"/>
        <w:numPr>
          <w:ilvl w:val="0"/>
          <w:numId w:val="3"/>
        </w:numPr>
        <w:ind w:left="567" w:hanging="567"/>
        <w:rPr>
          <w:sz w:val="24"/>
          <w:szCs w:val="24"/>
        </w:rPr>
      </w:pPr>
      <w:r w:rsidRPr="00643CFC">
        <w:rPr>
          <w:sz w:val="24"/>
          <w:szCs w:val="24"/>
        </w:rPr>
        <w:t>Všeobecná ustanovení</w:t>
      </w:r>
    </w:p>
    <w:p w14:paraId="172F3757" w14:textId="77777777" w:rsidR="009F4A10" w:rsidRPr="00643CFC" w:rsidRDefault="009F4A10" w:rsidP="00376173">
      <w:pPr>
        <w:pStyle w:val="Parodstavec"/>
        <w:numPr>
          <w:ilvl w:val="1"/>
          <w:numId w:val="3"/>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všeobecně známé prokazatelně jinak, než porušením závazků obsažených v této smlouvě.</w:t>
      </w:r>
    </w:p>
    <w:p w14:paraId="614C8AF5" w14:textId="3D21E0E7"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BE244E">
        <w:rPr>
          <w:sz w:val="22"/>
          <w:szCs w:val="22"/>
        </w:rPr>
        <w:t>11.1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376173">
      <w:pPr>
        <w:pStyle w:val="Parodstavec"/>
        <w:numPr>
          <w:ilvl w:val="1"/>
          <w:numId w:val="3"/>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376173">
      <w:pPr>
        <w:pStyle w:val="Parodstavec"/>
        <w:numPr>
          <w:ilvl w:val="1"/>
          <w:numId w:val="3"/>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metadat podle § 5 odst. 5 zákona o registru smluv do registru smluv. </w:t>
      </w:r>
      <w:r w:rsidRPr="00B84A7E">
        <w:rPr>
          <w:sz w:val="22"/>
          <w:szCs w:val="22"/>
        </w:rPr>
        <w:lastRenderedPageBreak/>
        <w:t xml:space="preserve">Před zasláním provede objednatel anonymizaci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Anonymizaci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376173">
      <w:pPr>
        <w:pStyle w:val="Parodstavec"/>
        <w:numPr>
          <w:ilvl w:val="1"/>
          <w:numId w:val="3"/>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376173">
      <w:pPr>
        <w:pStyle w:val="Parodstavec"/>
        <w:numPr>
          <w:ilvl w:val="1"/>
          <w:numId w:val="3"/>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376173">
      <w:pPr>
        <w:pStyle w:val="Parodstavec"/>
        <w:numPr>
          <w:ilvl w:val="1"/>
          <w:numId w:val="3"/>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77777777" w:rsidR="000960B4" w:rsidRPr="009776AF" w:rsidRDefault="000960B4" w:rsidP="000960B4">
      <w:pPr>
        <w:pStyle w:val="Zkladntext"/>
        <w:jc w:val="both"/>
        <w:rPr>
          <w:rFonts w:cs="Arial"/>
          <w:sz w:val="22"/>
          <w:szCs w:val="22"/>
        </w:rPr>
      </w:pPr>
      <w:r w:rsidRPr="009776AF">
        <w:rPr>
          <w:rFonts w:cs="Arial"/>
          <w:sz w:val="22"/>
          <w:szCs w:val="22"/>
        </w:rPr>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7EB244C4" w14:textId="3253C977" w:rsidR="00A003D2" w:rsidRPr="00501602" w:rsidRDefault="00A003D2" w:rsidP="00A003D2">
      <w:pPr>
        <w:pStyle w:val="Parodstavec"/>
        <w:numPr>
          <w:ilvl w:val="0"/>
          <w:numId w:val="0"/>
        </w:numPr>
        <w:ind w:left="567"/>
        <w:jc w:val="both"/>
        <w:rPr>
          <w:sz w:val="24"/>
          <w:szCs w:val="24"/>
          <w:lang w:val="cs-CZ"/>
        </w:rPr>
      </w:pPr>
      <w:r w:rsidRPr="007310B1">
        <w:rPr>
          <w:sz w:val="24"/>
          <w:szCs w:val="24"/>
        </w:rPr>
        <w:t>V</w:t>
      </w:r>
      <w:r w:rsidR="008D2601">
        <w:rPr>
          <w:sz w:val="24"/>
          <w:szCs w:val="24"/>
        </w:rPr>
        <w:t xml:space="preserve"> Úpici</w:t>
      </w:r>
      <w:r>
        <w:rPr>
          <w:sz w:val="24"/>
          <w:szCs w:val="24"/>
        </w:rPr>
        <w:t xml:space="preserve"> dne </w:t>
      </w:r>
      <w:r w:rsidR="00CF6887">
        <w:rPr>
          <w:sz w:val="24"/>
          <w:szCs w:val="24"/>
          <w:lang w:val="cs-CZ"/>
        </w:rPr>
        <w:t xml:space="preserve">1. 8. 2024 </w:t>
      </w:r>
      <w:r w:rsidR="00CF6887">
        <w:rPr>
          <w:sz w:val="24"/>
          <w:szCs w:val="24"/>
          <w:lang w:val="cs-CZ"/>
        </w:rPr>
        <w:tab/>
      </w:r>
      <w:r w:rsidR="00CF6887">
        <w:rPr>
          <w:sz w:val="24"/>
          <w:szCs w:val="24"/>
          <w:lang w:val="cs-CZ"/>
        </w:rPr>
        <w:tab/>
      </w:r>
      <w:r>
        <w:rPr>
          <w:sz w:val="24"/>
          <w:szCs w:val="24"/>
        </w:rPr>
        <w:tab/>
      </w:r>
      <w:r w:rsidRPr="007310B1">
        <w:rPr>
          <w:sz w:val="24"/>
          <w:szCs w:val="24"/>
        </w:rPr>
        <w:t>V</w:t>
      </w:r>
      <w:r w:rsidR="00501602">
        <w:rPr>
          <w:sz w:val="24"/>
          <w:szCs w:val="24"/>
        </w:rPr>
        <w:t> </w:t>
      </w:r>
      <w:r w:rsidR="00501602">
        <w:rPr>
          <w:sz w:val="24"/>
          <w:szCs w:val="24"/>
          <w:lang w:val="cs-CZ"/>
        </w:rPr>
        <w:t xml:space="preserve">Hradci Králové </w:t>
      </w:r>
      <w:r w:rsidRPr="007310B1">
        <w:rPr>
          <w:sz w:val="24"/>
          <w:szCs w:val="24"/>
        </w:rPr>
        <w:t>dn</w:t>
      </w:r>
      <w:r w:rsidR="00501602">
        <w:rPr>
          <w:sz w:val="24"/>
          <w:szCs w:val="24"/>
          <w:lang w:val="cs-CZ"/>
        </w:rPr>
        <w:t xml:space="preserve">e </w:t>
      </w:r>
    </w:p>
    <w:p w14:paraId="1804FE94" w14:textId="77777777" w:rsidR="00A003D2" w:rsidRPr="007310B1" w:rsidRDefault="00A003D2" w:rsidP="00A003D2">
      <w:pPr>
        <w:pStyle w:val="Parodstavec"/>
        <w:numPr>
          <w:ilvl w:val="0"/>
          <w:numId w:val="0"/>
        </w:numPr>
        <w:ind w:left="567"/>
        <w:jc w:val="both"/>
        <w:rPr>
          <w:sz w:val="24"/>
          <w:szCs w:val="24"/>
        </w:rPr>
      </w:pPr>
    </w:p>
    <w:p w14:paraId="12A7327C" w14:textId="77777777" w:rsidR="00A003D2" w:rsidRPr="007310B1" w:rsidRDefault="00A003D2" w:rsidP="00A003D2">
      <w:pPr>
        <w:pStyle w:val="Parodstavec"/>
        <w:numPr>
          <w:ilvl w:val="0"/>
          <w:numId w:val="0"/>
        </w:numPr>
        <w:ind w:left="567"/>
        <w:jc w:val="both"/>
        <w:rPr>
          <w:sz w:val="24"/>
          <w:szCs w:val="24"/>
        </w:rPr>
      </w:pPr>
    </w:p>
    <w:p w14:paraId="334873CC" w14:textId="77777777" w:rsidR="00A003D2" w:rsidRPr="007310B1" w:rsidRDefault="00A003D2" w:rsidP="00A003D2">
      <w:pPr>
        <w:pStyle w:val="Parodstavec"/>
        <w:numPr>
          <w:ilvl w:val="0"/>
          <w:numId w:val="0"/>
        </w:numPr>
        <w:ind w:left="567"/>
        <w:jc w:val="both"/>
        <w:rPr>
          <w:sz w:val="24"/>
          <w:szCs w:val="24"/>
        </w:rPr>
      </w:pPr>
      <w:r>
        <w:rPr>
          <w:sz w:val="24"/>
          <w:szCs w:val="24"/>
        </w:rPr>
        <w:t>…………........………………………</w:t>
      </w:r>
      <w:r>
        <w:rPr>
          <w:sz w:val="24"/>
          <w:szCs w:val="24"/>
        </w:rPr>
        <w:tab/>
      </w:r>
      <w:r>
        <w:rPr>
          <w:sz w:val="24"/>
          <w:szCs w:val="24"/>
        </w:rPr>
        <w:tab/>
      </w:r>
      <w:r w:rsidRPr="007310B1">
        <w:rPr>
          <w:sz w:val="24"/>
          <w:szCs w:val="24"/>
        </w:rPr>
        <w:t>….…….......………………………</w:t>
      </w:r>
    </w:p>
    <w:p w14:paraId="78EA6E39" w14:textId="2E83272C" w:rsidR="007B41F1" w:rsidRDefault="007B41F1" w:rsidP="00501602">
      <w:pPr>
        <w:pStyle w:val="Parodstavec"/>
        <w:numPr>
          <w:ilvl w:val="0"/>
          <w:numId w:val="0"/>
        </w:numPr>
        <w:ind w:left="567"/>
        <w:jc w:val="both"/>
        <w:rPr>
          <w:sz w:val="24"/>
          <w:szCs w:val="24"/>
          <w:lang w:val="cs-CZ"/>
        </w:rPr>
      </w:pPr>
    </w:p>
    <w:p w14:paraId="55A7A44D" w14:textId="77777777" w:rsidR="006C196F" w:rsidRDefault="006C196F" w:rsidP="006C196F">
      <w:pPr>
        <w:pStyle w:val="Parodstavec"/>
        <w:numPr>
          <w:ilvl w:val="0"/>
          <w:numId w:val="0"/>
        </w:numPr>
        <w:ind w:left="567"/>
        <w:jc w:val="both"/>
        <w:rPr>
          <w:sz w:val="24"/>
          <w:szCs w:val="24"/>
          <w:lang w:val="cs-CZ"/>
        </w:rPr>
      </w:pPr>
      <w:r>
        <w:rPr>
          <w:sz w:val="24"/>
          <w:szCs w:val="24"/>
          <w:lang w:val="cs-CZ"/>
        </w:rPr>
        <w:t>Ing. Marcel Bělík</w:t>
      </w:r>
      <w:r>
        <w:rPr>
          <w:sz w:val="24"/>
          <w:szCs w:val="24"/>
        </w:rPr>
        <w:t xml:space="preserve"> </w:t>
      </w:r>
      <w:r>
        <w:rPr>
          <w:sz w:val="24"/>
          <w:szCs w:val="24"/>
        </w:rPr>
        <w:tab/>
      </w:r>
      <w:r>
        <w:rPr>
          <w:sz w:val="24"/>
          <w:szCs w:val="24"/>
        </w:rPr>
        <w:tab/>
      </w:r>
      <w:r>
        <w:rPr>
          <w:sz w:val="24"/>
          <w:szCs w:val="24"/>
        </w:rPr>
        <w:tab/>
      </w:r>
      <w:r>
        <w:rPr>
          <w:sz w:val="24"/>
          <w:szCs w:val="24"/>
          <w:lang w:val="cs-CZ"/>
        </w:rPr>
        <w:t xml:space="preserve">                  Petr Antoš</w:t>
      </w:r>
    </w:p>
    <w:p w14:paraId="1B56F006" w14:textId="77777777" w:rsidR="006C196F" w:rsidRDefault="006C196F" w:rsidP="006C196F">
      <w:pPr>
        <w:tabs>
          <w:tab w:val="left" w:pos="5820"/>
        </w:tabs>
        <w:rPr>
          <w:lang w:eastAsia="x-none"/>
        </w:rPr>
      </w:pPr>
      <w:r>
        <w:rPr>
          <w:lang w:eastAsia="x-none"/>
        </w:rPr>
        <w:t xml:space="preserve">                             </w:t>
      </w:r>
      <w:proofErr w:type="gramStart"/>
      <w:r>
        <w:rPr>
          <w:lang w:eastAsia="x-none"/>
        </w:rPr>
        <w:t>Ředitel                                    Vedoucí</w:t>
      </w:r>
      <w:proofErr w:type="gramEnd"/>
      <w:r>
        <w:rPr>
          <w:lang w:eastAsia="x-none"/>
        </w:rPr>
        <w:t xml:space="preserve"> pobočky Hradec Králové</w:t>
      </w:r>
    </w:p>
    <w:p w14:paraId="63E22F9C" w14:textId="77777777" w:rsidR="006C196F" w:rsidRPr="00501602" w:rsidRDefault="006C196F" w:rsidP="00501602">
      <w:pPr>
        <w:pStyle w:val="Parodstavec"/>
        <w:numPr>
          <w:ilvl w:val="0"/>
          <w:numId w:val="0"/>
        </w:numPr>
        <w:ind w:left="567"/>
        <w:jc w:val="both"/>
        <w:rPr>
          <w:sz w:val="24"/>
          <w:szCs w:val="24"/>
          <w:lang w:val="cs-CZ"/>
        </w:rPr>
        <w:sectPr w:rsidR="006C196F" w:rsidRPr="00501602" w:rsidSect="005F5D67">
          <w:footerReference w:type="default" r:id="rId9"/>
          <w:pgSz w:w="11906" w:h="16838"/>
          <w:pgMar w:top="1440" w:right="1274" w:bottom="1440" w:left="1418" w:header="708" w:footer="708" w:gutter="0"/>
          <w:cols w:space="708"/>
        </w:sectPr>
      </w:pPr>
      <w:bookmarkStart w:id="15" w:name="_GoBack"/>
      <w:bookmarkEnd w:id="15"/>
    </w:p>
    <w:p w14:paraId="54937BD0" w14:textId="77777777" w:rsidR="006267F2" w:rsidRDefault="00122066" w:rsidP="00122066">
      <w:pPr>
        <w:pStyle w:val="Parodstavec"/>
        <w:numPr>
          <w:ilvl w:val="0"/>
          <w:numId w:val="0"/>
        </w:numPr>
        <w:tabs>
          <w:tab w:val="left" w:pos="3969"/>
        </w:tabs>
        <w:rPr>
          <w:b/>
          <w:sz w:val="22"/>
          <w:szCs w:val="22"/>
          <w:lang w:val="cs-CZ"/>
        </w:rPr>
      </w:pPr>
      <w:r w:rsidRPr="0061194B">
        <w:rPr>
          <w:b/>
          <w:sz w:val="22"/>
          <w:szCs w:val="22"/>
          <w:lang w:val="cs-CZ"/>
        </w:rPr>
        <w:lastRenderedPageBreak/>
        <w:t>Specifikace zařízení:</w:t>
      </w:r>
    </w:p>
    <w:p w14:paraId="3901C530" w14:textId="0AE1B07C"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5898DC69" w:rsidR="005E0EBA" w:rsidRPr="000944F4" w:rsidRDefault="005E0EBA" w:rsidP="00056FFE">
            <w:pPr>
              <w:spacing w:before="120" w:after="120"/>
              <w:jc w:val="right"/>
              <w:rPr>
                <w:rFonts w:cs="Arial"/>
                <w:bCs/>
                <w:color w:val="000000"/>
                <w:sz w:val="22"/>
                <w:szCs w:val="22"/>
              </w:rPr>
            </w:pP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B4C97EF" w:rsidR="005E0EBA" w:rsidRDefault="005E0EBA" w:rsidP="00056FFE">
            <w:pPr>
              <w:spacing w:before="120" w:after="120"/>
              <w:jc w:val="right"/>
              <w:rPr>
                <w:rFonts w:cs="Arial"/>
                <w:bCs/>
                <w:color w:val="000000"/>
                <w:sz w:val="22"/>
                <w:szCs w:val="22"/>
              </w:rPr>
            </w:pP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446DAC54" w:rsidR="00122066" w:rsidRPr="008333EF" w:rsidRDefault="00122066" w:rsidP="000944F4">
            <w:pPr>
              <w:spacing w:before="120" w:after="120"/>
              <w:jc w:val="right"/>
              <w:rPr>
                <w:rFonts w:cs="Arial"/>
                <w:bCs/>
                <w:color w:val="000000"/>
                <w:sz w:val="22"/>
                <w:szCs w:val="22"/>
              </w:rPr>
            </w:pP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3E78D9C6" w:rsidR="00122066" w:rsidRPr="000944F4" w:rsidRDefault="00122066" w:rsidP="000944F4">
            <w:pPr>
              <w:spacing w:before="120" w:after="120"/>
              <w:jc w:val="right"/>
              <w:rPr>
                <w:rFonts w:cs="Arial"/>
                <w:bCs/>
                <w:color w:val="000000"/>
                <w:sz w:val="22"/>
                <w:szCs w:val="22"/>
              </w:rPr>
            </w:pP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3D4750CE" w:rsidR="00A2009A" w:rsidRPr="000944F4" w:rsidRDefault="00A2009A" w:rsidP="000944F4">
            <w:pPr>
              <w:spacing w:before="120" w:after="120"/>
              <w:jc w:val="right"/>
              <w:rPr>
                <w:rFonts w:cs="Arial"/>
                <w:bCs/>
                <w:color w:val="000000"/>
                <w:sz w:val="22"/>
                <w:szCs w:val="22"/>
              </w:rPr>
            </w:pP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3F3BA70" w:rsidR="00A2009A" w:rsidRDefault="00A2009A" w:rsidP="000944F4">
            <w:pPr>
              <w:spacing w:before="120" w:after="120"/>
              <w:jc w:val="right"/>
              <w:rPr>
                <w:rFonts w:cs="Arial"/>
                <w:bCs/>
                <w:color w:val="000000"/>
                <w:sz w:val="22"/>
                <w:szCs w:val="22"/>
              </w:rPr>
            </w:pP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238D7064" w14:textId="77777777" w:rsidR="00501602" w:rsidRDefault="00501602" w:rsidP="00501602">
      <w:pPr>
        <w:pStyle w:val="Parodstavec"/>
        <w:numPr>
          <w:ilvl w:val="0"/>
          <w:numId w:val="0"/>
        </w:numPr>
        <w:ind w:left="1276"/>
        <w:jc w:val="both"/>
        <w:rPr>
          <w:sz w:val="22"/>
          <w:szCs w:val="22"/>
          <w:lang w:val="cs-CZ"/>
        </w:rPr>
      </w:pPr>
      <w:r>
        <w:rPr>
          <w:sz w:val="22"/>
          <w:szCs w:val="22"/>
          <w:lang w:val="cs-CZ"/>
        </w:rPr>
        <w:t>Trade FIDES, a.s.</w:t>
      </w:r>
    </w:p>
    <w:p w14:paraId="041D8067" w14:textId="77777777" w:rsidR="00501602" w:rsidRDefault="00501602" w:rsidP="00501602">
      <w:pPr>
        <w:pStyle w:val="Parodstavec"/>
        <w:numPr>
          <w:ilvl w:val="0"/>
          <w:numId w:val="0"/>
        </w:numPr>
        <w:ind w:left="1276"/>
        <w:jc w:val="both"/>
        <w:rPr>
          <w:sz w:val="22"/>
          <w:szCs w:val="22"/>
          <w:lang w:val="cs-CZ"/>
        </w:rPr>
      </w:pPr>
      <w:r>
        <w:rPr>
          <w:sz w:val="22"/>
          <w:szCs w:val="22"/>
          <w:lang w:val="cs-CZ"/>
        </w:rPr>
        <w:t>Prokopa Holého 238</w:t>
      </w:r>
    </w:p>
    <w:p w14:paraId="7AD39B3F" w14:textId="77777777" w:rsidR="00501602" w:rsidRDefault="00501602" w:rsidP="00501602">
      <w:pPr>
        <w:pStyle w:val="Parodstavec"/>
        <w:numPr>
          <w:ilvl w:val="0"/>
          <w:numId w:val="0"/>
        </w:numPr>
        <w:ind w:left="1276"/>
        <w:jc w:val="both"/>
        <w:rPr>
          <w:sz w:val="22"/>
          <w:szCs w:val="22"/>
          <w:lang w:val="cs-CZ"/>
        </w:rPr>
      </w:pPr>
      <w:r>
        <w:rPr>
          <w:sz w:val="22"/>
          <w:szCs w:val="22"/>
          <w:lang w:val="cs-CZ"/>
        </w:rPr>
        <w:t>500 02 Hradec Králové</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68443F17" w:rsidR="0061194B" w:rsidRPr="008333EF" w:rsidRDefault="0061194B" w:rsidP="00454179">
            <w:pPr>
              <w:spacing w:before="120" w:after="120"/>
              <w:contextualSpacing/>
              <w:jc w:val="right"/>
              <w:rPr>
                <w:rFonts w:cs="Arial"/>
                <w:bCs/>
                <w:color w:val="000000"/>
                <w:sz w:val="22"/>
                <w:szCs w:val="22"/>
              </w:rPr>
            </w:pP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1D353E7B" w:rsidR="0061194B" w:rsidRPr="008333EF" w:rsidRDefault="0061194B" w:rsidP="00454179">
            <w:pPr>
              <w:spacing w:before="120" w:after="120"/>
              <w:contextualSpacing/>
              <w:jc w:val="right"/>
              <w:rPr>
                <w:rFonts w:cs="Arial"/>
                <w:bCs/>
                <w:color w:val="000000"/>
                <w:sz w:val="22"/>
                <w:szCs w:val="22"/>
              </w:rPr>
            </w:pP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1EAAC875" w:rsidR="0061194B" w:rsidRPr="008333EF" w:rsidRDefault="0061194B" w:rsidP="00454179">
            <w:pPr>
              <w:spacing w:before="120" w:after="120"/>
              <w:contextualSpacing/>
              <w:jc w:val="right"/>
              <w:rPr>
                <w:rFonts w:cs="Arial"/>
                <w:bCs/>
                <w:color w:val="000000"/>
                <w:sz w:val="22"/>
                <w:szCs w:val="22"/>
              </w:rPr>
            </w:pP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376173">
      <w:pPr>
        <w:pStyle w:val="Odstavecseseznamem"/>
        <w:numPr>
          <w:ilvl w:val="0"/>
          <w:numId w:val="9"/>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67AE3" w:rsidRDefault="002914F3" w:rsidP="00376173">
      <w:pPr>
        <w:pStyle w:val="Odstavecseseznamem"/>
        <w:numPr>
          <w:ilvl w:val="0"/>
          <w:numId w:val="9"/>
        </w:numPr>
        <w:tabs>
          <w:tab w:val="clear" w:pos="993"/>
          <w:tab w:val="left" w:pos="426"/>
        </w:tabs>
        <w:spacing w:before="360"/>
        <w:ind w:left="426" w:hanging="426"/>
        <w:rPr>
          <w:b/>
          <w:i/>
          <w:u w:val="single"/>
        </w:rPr>
      </w:pPr>
      <w:r w:rsidRPr="00A67AE3">
        <w:rPr>
          <w:b/>
          <w:i/>
          <w:u w:val="single"/>
        </w:rPr>
        <w:t xml:space="preserve">Parametry SLA pro Servisní podporu </w:t>
      </w:r>
      <w:r w:rsidR="00C26968" w:rsidRPr="00A67AE3">
        <w:rPr>
          <w:b/>
          <w:i/>
          <w:u w:val="single"/>
        </w:rPr>
        <w:t>SILVER</w:t>
      </w:r>
    </w:p>
    <w:p w14:paraId="3222E06D" w14:textId="77777777" w:rsidR="002914F3" w:rsidRPr="00A67AE3" w:rsidRDefault="002914F3" w:rsidP="006267F2">
      <w:pPr>
        <w:spacing w:before="240" w:after="120"/>
        <w:rPr>
          <w:sz w:val="22"/>
          <w:szCs w:val="22"/>
        </w:rPr>
      </w:pPr>
      <w:r w:rsidRPr="00A67AE3">
        <w:rPr>
          <w:sz w:val="22"/>
          <w:szCs w:val="22"/>
        </w:rPr>
        <w:t xml:space="preserve">Dostupnost servisní podpory </w:t>
      </w:r>
      <w:r w:rsidR="00C26968" w:rsidRPr="00A67AE3">
        <w:rPr>
          <w:sz w:val="22"/>
          <w:szCs w:val="22"/>
        </w:rPr>
        <w:t>SILVER</w:t>
      </w:r>
      <w:r w:rsidRPr="00A67AE3">
        <w:rPr>
          <w:sz w:val="22"/>
          <w:szCs w:val="22"/>
        </w:rPr>
        <w:t xml:space="preserve"> a parametry SLA</w:t>
      </w:r>
    </w:p>
    <w:p w14:paraId="7F088A0A" w14:textId="77777777" w:rsidR="002914F3" w:rsidRPr="00A67AE3" w:rsidRDefault="002914F3" w:rsidP="002914F3">
      <w:pPr>
        <w:rPr>
          <w:sz w:val="22"/>
          <w:szCs w:val="22"/>
        </w:rPr>
      </w:pPr>
      <w:r w:rsidRPr="00A67AE3">
        <w:rPr>
          <w:sz w:val="22"/>
          <w:szCs w:val="22"/>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67AE3" w:rsidRDefault="00EE3CD1" w:rsidP="002914F3">
      <w:pPr>
        <w:rPr>
          <w:sz w:val="22"/>
          <w:szCs w:val="22"/>
        </w:rPr>
      </w:pPr>
    </w:p>
    <w:p w14:paraId="163513D6" w14:textId="77777777" w:rsidR="002914F3" w:rsidRPr="00A67AE3" w:rsidRDefault="002914F3" w:rsidP="002914F3">
      <w:pPr>
        <w:rPr>
          <w:sz w:val="22"/>
          <w:szCs w:val="22"/>
        </w:rPr>
      </w:pPr>
      <w:r w:rsidRPr="00A67AE3">
        <w:rPr>
          <w:sz w:val="22"/>
          <w:szCs w:val="22"/>
        </w:rPr>
        <w:t xml:space="preserve">Požadavky na servisní podporu typu </w:t>
      </w:r>
      <w:r w:rsidR="00C26968" w:rsidRPr="00A67AE3">
        <w:rPr>
          <w:sz w:val="22"/>
          <w:szCs w:val="22"/>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67AE3" w14:paraId="3CCFADCD" w14:textId="77777777" w:rsidTr="00DD498D">
        <w:tc>
          <w:tcPr>
            <w:tcW w:w="2122" w:type="dxa"/>
            <w:shd w:val="clear" w:color="auto" w:fill="auto"/>
          </w:tcPr>
          <w:p w14:paraId="0D46B9EF" w14:textId="77777777" w:rsidR="002914F3" w:rsidRPr="00A67AE3" w:rsidRDefault="002914F3" w:rsidP="00DD498D">
            <w:pPr>
              <w:rPr>
                <w:rFonts w:eastAsia="Calibri"/>
                <w:sz w:val="22"/>
                <w:szCs w:val="22"/>
              </w:rPr>
            </w:pPr>
            <w:r w:rsidRPr="00A67AE3">
              <w:rPr>
                <w:rFonts w:eastAsia="Calibri"/>
                <w:sz w:val="22"/>
                <w:szCs w:val="22"/>
              </w:rPr>
              <w:t>Závažnost</w:t>
            </w:r>
          </w:p>
        </w:tc>
        <w:tc>
          <w:tcPr>
            <w:tcW w:w="2835" w:type="dxa"/>
            <w:shd w:val="clear" w:color="auto" w:fill="auto"/>
          </w:tcPr>
          <w:p w14:paraId="6D57BA59" w14:textId="77777777" w:rsidR="002914F3" w:rsidRPr="00A67AE3" w:rsidRDefault="002914F3" w:rsidP="00DD498D">
            <w:pPr>
              <w:rPr>
                <w:rFonts w:eastAsia="Calibri"/>
                <w:sz w:val="22"/>
                <w:szCs w:val="22"/>
              </w:rPr>
            </w:pPr>
            <w:r w:rsidRPr="00A67AE3">
              <w:rPr>
                <w:rFonts w:eastAsia="Calibri"/>
                <w:sz w:val="22"/>
                <w:szCs w:val="22"/>
              </w:rPr>
              <w:t>Doba odezvy</w:t>
            </w:r>
          </w:p>
        </w:tc>
        <w:tc>
          <w:tcPr>
            <w:tcW w:w="4105" w:type="dxa"/>
            <w:shd w:val="clear" w:color="auto" w:fill="auto"/>
          </w:tcPr>
          <w:p w14:paraId="5994CED5" w14:textId="77777777" w:rsidR="002914F3" w:rsidRPr="00A67AE3" w:rsidRDefault="002914F3" w:rsidP="00DD498D">
            <w:pPr>
              <w:rPr>
                <w:rFonts w:eastAsia="Calibri"/>
                <w:sz w:val="22"/>
                <w:szCs w:val="22"/>
              </w:rPr>
            </w:pPr>
            <w:r w:rsidRPr="00A67AE3">
              <w:rPr>
                <w:rFonts w:eastAsia="Calibri"/>
                <w:sz w:val="22"/>
                <w:szCs w:val="22"/>
              </w:rPr>
              <w:t>Doba řešení</w:t>
            </w:r>
          </w:p>
        </w:tc>
      </w:tr>
      <w:tr w:rsidR="002914F3" w:rsidRPr="00A67AE3" w14:paraId="7C1632ED" w14:textId="77777777" w:rsidTr="00DD498D">
        <w:tc>
          <w:tcPr>
            <w:tcW w:w="2122" w:type="dxa"/>
            <w:shd w:val="clear" w:color="auto" w:fill="auto"/>
          </w:tcPr>
          <w:p w14:paraId="064B64F2" w14:textId="77777777" w:rsidR="002914F3" w:rsidRPr="00A67AE3" w:rsidRDefault="002914F3" w:rsidP="00DD498D">
            <w:pPr>
              <w:rPr>
                <w:rFonts w:eastAsia="Calibri"/>
                <w:sz w:val="22"/>
                <w:szCs w:val="22"/>
              </w:rPr>
            </w:pPr>
            <w:r w:rsidRPr="00A67AE3">
              <w:rPr>
                <w:rFonts w:eastAsia="Calibri"/>
                <w:sz w:val="22"/>
                <w:szCs w:val="22"/>
              </w:rPr>
              <w:t>HAVÁRIE (A)</w:t>
            </w:r>
          </w:p>
        </w:tc>
        <w:tc>
          <w:tcPr>
            <w:tcW w:w="2835" w:type="dxa"/>
            <w:shd w:val="clear" w:color="auto" w:fill="auto"/>
          </w:tcPr>
          <w:p w14:paraId="156C58BB" w14:textId="77777777" w:rsidR="002914F3" w:rsidRPr="00A67AE3" w:rsidRDefault="002914F3" w:rsidP="00DD498D">
            <w:pPr>
              <w:rPr>
                <w:rFonts w:eastAsia="Calibri"/>
                <w:sz w:val="22"/>
                <w:szCs w:val="22"/>
              </w:rPr>
            </w:pPr>
            <w:r w:rsidRPr="00A67AE3">
              <w:rPr>
                <w:rFonts w:eastAsia="Calibri"/>
                <w:sz w:val="22"/>
                <w:szCs w:val="22"/>
              </w:rPr>
              <w:t>Do 1 hod.</w:t>
            </w:r>
          </w:p>
        </w:tc>
        <w:tc>
          <w:tcPr>
            <w:tcW w:w="4105" w:type="dxa"/>
            <w:shd w:val="clear" w:color="auto" w:fill="auto"/>
          </w:tcPr>
          <w:p w14:paraId="7894B5FA" w14:textId="77777777" w:rsidR="002914F3" w:rsidRPr="00A67AE3" w:rsidRDefault="002914F3" w:rsidP="00DD498D">
            <w:pPr>
              <w:rPr>
                <w:rFonts w:eastAsia="Calibri"/>
                <w:sz w:val="22"/>
                <w:szCs w:val="22"/>
              </w:rPr>
            </w:pPr>
            <w:r w:rsidRPr="00A67AE3">
              <w:rPr>
                <w:rFonts w:eastAsia="Calibri"/>
                <w:sz w:val="22"/>
                <w:szCs w:val="22"/>
              </w:rPr>
              <w:t>Do 24 hod.</w:t>
            </w:r>
          </w:p>
        </w:tc>
      </w:tr>
      <w:tr w:rsidR="002914F3" w:rsidRPr="00A67AE3" w14:paraId="219EDA79" w14:textId="77777777" w:rsidTr="00DD498D">
        <w:tc>
          <w:tcPr>
            <w:tcW w:w="2122" w:type="dxa"/>
            <w:shd w:val="clear" w:color="auto" w:fill="auto"/>
          </w:tcPr>
          <w:p w14:paraId="7AAC98B8" w14:textId="77777777" w:rsidR="002914F3" w:rsidRPr="00A67AE3" w:rsidRDefault="002914F3" w:rsidP="00DD498D">
            <w:pPr>
              <w:rPr>
                <w:rFonts w:eastAsia="Calibri"/>
                <w:sz w:val="22"/>
                <w:szCs w:val="22"/>
              </w:rPr>
            </w:pPr>
            <w:r w:rsidRPr="00A67AE3">
              <w:rPr>
                <w:rFonts w:eastAsia="Calibri"/>
                <w:sz w:val="22"/>
                <w:szCs w:val="22"/>
              </w:rPr>
              <w:t>CHYBA (B)</w:t>
            </w:r>
          </w:p>
        </w:tc>
        <w:tc>
          <w:tcPr>
            <w:tcW w:w="2835" w:type="dxa"/>
            <w:shd w:val="clear" w:color="auto" w:fill="auto"/>
          </w:tcPr>
          <w:p w14:paraId="4A6BB6F7" w14:textId="77777777" w:rsidR="002914F3" w:rsidRPr="00A67AE3" w:rsidRDefault="002914F3" w:rsidP="00DD498D">
            <w:pPr>
              <w:rPr>
                <w:rFonts w:eastAsia="Calibri"/>
                <w:sz w:val="22"/>
                <w:szCs w:val="22"/>
              </w:rPr>
            </w:pPr>
            <w:r w:rsidRPr="00A67AE3">
              <w:rPr>
                <w:rFonts w:eastAsia="Calibri"/>
                <w:sz w:val="22"/>
                <w:szCs w:val="22"/>
              </w:rPr>
              <w:t>Do 4 hod.</w:t>
            </w:r>
          </w:p>
        </w:tc>
        <w:tc>
          <w:tcPr>
            <w:tcW w:w="4105" w:type="dxa"/>
            <w:shd w:val="clear" w:color="auto" w:fill="auto"/>
          </w:tcPr>
          <w:p w14:paraId="2156FFC5" w14:textId="77777777" w:rsidR="002914F3" w:rsidRPr="00A67AE3" w:rsidRDefault="002914F3" w:rsidP="00DD498D">
            <w:pPr>
              <w:rPr>
                <w:rFonts w:eastAsia="Calibri"/>
                <w:sz w:val="22"/>
                <w:szCs w:val="22"/>
              </w:rPr>
            </w:pPr>
            <w:r w:rsidRPr="00A67AE3">
              <w:rPr>
                <w:rFonts w:eastAsia="Calibri"/>
                <w:sz w:val="22"/>
                <w:szCs w:val="22"/>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67AE3" w:rsidRDefault="002914F3" w:rsidP="00DD498D">
            <w:pPr>
              <w:rPr>
                <w:rFonts w:eastAsia="Calibri"/>
                <w:sz w:val="22"/>
                <w:szCs w:val="22"/>
              </w:rPr>
            </w:pPr>
            <w:r w:rsidRPr="00A67AE3">
              <w:rPr>
                <w:rFonts w:eastAsia="Calibri"/>
                <w:sz w:val="22"/>
                <w:szCs w:val="22"/>
              </w:rPr>
              <w:t>POŽADAVEK (D)</w:t>
            </w:r>
          </w:p>
        </w:tc>
        <w:tc>
          <w:tcPr>
            <w:tcW w:w="2835" w:type="dxa"/>
            <w:shd w:val="clear" w:color="auto" w:fill="auto"/>
          </w:tcPr>
          <w:p w14:paraId="5B71C0CE" w14:textId="77777777" w:rsidR="002914F3" w:rsidRPr="00A67AE3" w:rsidRDefault="002914F3" w:rsidP="00DD498D">
            <w:pPr>
              <w:rPr>
                <w:rFonts w:eastAsia="Calibri"/>
                <w:sz w:val="22"/>
                <w:szCs w:val="22"/>
              </w:rPr>
            </w:pPr>
            <w:r w:rsidRPr="00A67AE3">
              <w:rPr>
                <w:rFonts w:eastAsia="Calibri"/>
                <w:sz w:val="22"/>
                <w:szCs w:val="22"/>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67AE3">
              <w:rPr>
                <w:rFonts w:eastAsia="Calibri"/>
                <w:sz w:val="22"/>
                <w:szCs w:val="22"/>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376173">
      <w:pPr>
        <w:pStyle w:val="Odstavecseseznamem"/>
        <w:numPr>
          <w:ilvl w:val="0"/>
          <w:numId w:val="9"/>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376173">
      <w:pPr>
        <w:pStyle w:val="Odstavecseseznamem"/>
        <w:numPr>
          <w:ilvl w:val="0"/>
          <w:numId w:val="10"/>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376173">
      <w:pPr>
        <w:pStyle w:val="Odstavecseseznamem"/>
        <w:numPr>
          <w:ilvl w:val="0"/>
          <w:numId w:val="10"/>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376173">
      <w:pPr>
        <w:pStyle w:val="Odstavecseseznamem"/>
        <w:numPr>
          <w:ilvl w:val="0"/>
          <w:numId w:val="10"/>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376173">
      <w:pPr>
        <w:pStyle w:val="Odstavecseseznamem"/>
        <w:numPr>
          <w:ilvl w:val="0"/>
          <w:numId w:val="9"/>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18D8E6D4"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Kč.</w:t>
      </w:r>
    </w:p>
    <w:p w14:paraId="1092E812" w14:textId="541C20F1"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EEDA6" w14:textId="77777777" w:rsidR="00F60298" w:rsidRDefault="00F60298">
      <w:r>
        <w:separator/>
      </w:r>
    </w:p>
  </w:endnote>
  <w:endnote w:type="continuationSeparator" w:id="0">
    <w:p w14:paraId="5F3FFFF9" w14:textId="77777777" w:rsidR="00F60298" w:rsidRDefault="00F6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80BC2" w14:textId="77777777" w:rsidR="004A7DFC" w:rsidRDefault="004A7DFC">
    <w:pPr>
      <w:pStyle w:val="Zpat"/>
    </w:pPr>
  </w:p>
  <w:p w14:paraId="65E7D7FB" w14:textId="77777777" w:rsidR="004A7DFC" w:rsidRDefault="004A7D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E48D6" w14:textId="77777777" w:rsidR="00F60298" w:rsidRDefault="00F60298">
      <w:r>
        <w:separator/>
      </w:r>
    </w:p>
  </w:footnote>
  <w:footnote w:type="continuationSeparator" w:id="0">
    <w:p w14:paraId="66729AF3" w14:textId="77777777" w:rsidR="00F60298" w:rsidRDefault="00F60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1"/>
  </w:num>
  <w:num w:numId="3">
    <w:abstractNumId w:val="8"/>
  </w:num>
  <w:num w:numId="4">
    <w:abstractNumId w:val="5"/>
  </w:num>
  <w:num w:numId="5">
    <w:abstractNumId w:val="6"/>
  </w:num>
  <w:num w:numId="6">
    <w:abstractNumId w:val="0"/>
  </w:num>
  <w:num w:numId="7">
    <w:abstractNumId w:val="4"/>
  </w:num>
  <w:num w:numId="8">
    <w:abstractNumId w:val="3"/>
  </w:num>
  <w:num w:numId="9">
    <w:abstractNumId w:val="2"/>
  </w:num>
  <w:num w:numId="10">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9A"/>
    <w:rsid w:val="000035A3"/>
    <w:rsid w:val="00021A7E"/>
    <w:rsid w:val="00041EA7"/>
    <w:rsid w:val="00047527"/>
    <w:rsid w:val="000508E1"/>
    <w:rsid w:val="00054CB6"/>
    <w:rsid w:val="00056364"/>
    <w:rsid w:val="00056FFE"/>
    <w:rsid w:val="000737B3"/>
    <w:rsid w:val="00076FD4"/>
    <w:rsid w:val="00084F62"/>
    <w:rsid w:val="000944F4"/>
    <w:rsid w:val="000960B4"/>
    <w:rsid w:val="000A0C8F"/>
    <w:rsid w:val="000A4DC3"/>
    <w:rsid w:val="000A529F"/>
    <w:rsid w:val="000B0588"/>
    <w:rsid w:val="000B2FEF"/>
    <w:rsid w:val="000B38D4"/>
    <w:rsid w:val="000C0AF1"/>
    <w:rsid w:val="000C18F0"/>
    <w:rsid w:val="000D0487"/>
    <w:rsid w:val="000E1C1F"/>
    <w:rsid w:val="000E6C6D"/>
    <w:rsid w:val="000F1110"/>
    <w:rsid w:val="00103C91"/>
    <w:rsid w:val="00105305"/>
    <w:rsid w:val="001063EC"/>
    <w:rsid w:val="00107C3A"/>
    <w:rsid w:val="0012165A"/>
    <w:rsid w:val="00122066"/>
    <w:rsid w:val="001265C5"/>
    <w:rsid w:val="00147547"/>
    <w:rsid w:val="00150418"/>
    <w:rsid w:val="00173DAD"/>
    <w:rsid w:val="001A5D6B"/>
    <w:rsid w:val="001B650F"/>
    <w:rsid w:val="001D6BDD"/>
    <w:rsid w:val="001E54BB"/>
    <w:rsid w:val="001E681A"/>
    <w:rsid w:val="001F6A6B"/>
    <w:rsid w:val="001F7BD9"/>
    <w:rsid w:val="00211885"/>
    <w:rsid w:val="002131BE"/>
    <w:rsid w:val="00213320"/>
    <w:rsid w:val="002304A8"/>
    <w:rsid w:val="00235160"/>
    <w:rsid w:val="00246282"/>
    <w:rsid w:val="0025068E"/>
    <w:rsid w:val="0025461E"/>
    <w:rsid w:val="002553E9"/>
    <w:rsid w:val="0026193F"/>
    <w:rsid w:val="002745C6"/>
    <w:rsid w:val="0027785C"/>
    <w:rsid w:val="002914F3"/>
    <w:rsid w:val="002A40B8"/>
    <w:rsid w:val="002C2537"/>
    <w:rsid w:val="002D3597"/>
    <w:rsid w:val="002E7457"/>
    <w:rsid w:val="002F3173"/>
    <w:rsid w:val="002F5620"/>
    <w:rsid w:val="002F6CDD"/>
    <w:rsid w:val="002F76F8"/>
    <w:rsid w:val="00304C1B"/>
    <w:rsid w:val="00307E88"/>
    <w:rsid w:val="0034325C"/>
    <w:rsid w:val="00353B17"/>
    <w:rsid w:val="00376173"/>
    <w:rsid w:val="00380F6C"/>
    <w:rsid w:val="003936DA"/>
    <w:rsid w:val="003A6D50"/>
    <w:rsid w:val="003B30CC"/>
    <w:rsid w:val="003B333A"/>
    <w:rsid w:val="003B5C68"/>
    <w:rsid w:val="003C4B7D"/>
    <w:rsid w:val="003C5D89"/>
    <w:rsid w:val="003D33AC"/>
    <w:rsid w:val="003E517F"/>
    <w:rsid w:val="00420125"/>
    <w:rsid w:val="0042610B"/>
    <w:rsid w:val="00432897"/>
    <w:rsid w:val="00454179"/>
    <w:rsid w:val="00472A5F"/>
    <w:rsid w:val="004768F1"/>
    <w:rsid w:val="004777AA"/>
    <w:rsid w:val="004855AA"/>
    <w:rsid w:val="00487EF2"/>
    <w:rsid w:val="00492C6D"/>
    <w:rsid w:val="004971B1"/>
    <w:rsid w:val="004A7DFC"/>
    <w:rsid w:val="004C1798"/>
    <w:rsid w:val="004C46EC"/>
    <w:rsid w:val="004D60A3"/>
    <w:rsid w:val="004E4458"/>
    <w:rsid w:val="004F29D6"/>
    <w:rsid w:val="00501602"/>
    <w:rsid w:val="005062BB"/>
    <w:rsid w:val="00513552"/>
    <w:rsid w:val="00516331"/>
    <w:rsid w:val="005163DB"/>
    <w:rsid w:val="00525252"/>
    <w:rsid w:val="00551D82"/>
    <w:rsid w:val="005524D8"/>
    <w:rsid w:val="0056266F"/>
    <w:rsid w:val="0057289A"/>
    <w:rsid w:val="00574DCB"/>
    <w:rsid w:val="00577089"/>
    <w:rsid w:val="0058295B"/>
    <w:rsid w:val="00582AF6"/>
    <w:rsid w:val="00585E29"/>
    <w:rsid w:val="005A1E94"/>
    <w:rsid w:val="005A2782"/>
    <w:rsid w:val="005A393A"/>
    <w:rsid w:val="005B542B"/>
    <w:rsid w:val="005B7841"/>
    <w:rsid w:val="005C1601"/>
    <w:rsid w:val="005C3F1F"/>
    <w:rsid w:val="005C6AF9"/>
    <w:rsid w:val="005D5C9B"/>
    <w:rsid w:val="005E0EBA"/>
    <w:rsid w:val="005F0373"/>
    <w:rsid w:val="005F5D67"/>
    <w:rsid w:val="0061194B"/>
    <w:rsid w:val="00611EA8"/>
    <w:rsid w:val="0061561D"/>
    <w:rsid w:val="006161BB"/>
    <w:rsid w:val="006267F2"/>
    <w:rsid w:val="00626F4C"/>
    <w:rsid w:val="006319DA"/>
    <w:rsid w:val="00635619"/>
    <w:rsid w:val="00643CFC"/>
    <w:rsid w:val="00663B09"/>
    <w:rsid w:val="00683493"/>
    <w:rsid w:val="006C196F"/>
    <w:rsid w:val="006C697F"/>
    <w:rsid w:val="006D4FD0"/>
    <w:rsid w:val="006F4016"/>
    <w:rsid w:val="006F7E4D"/>
    <w:rsid w:val="00706D64"/>
    <w:rsid w:val="00727F2A"/>
    <w:rsid w:val="007310B1"/>
    <w:rsid w:val="00742922"/>
    <w:rsid w:val="00747129"/>
    <w:rsid w:val="007650AA"/>
    <w:rsid w:val="00773D1F"/>
    <w:rsid w:val="00792F98"/>
    <w:rsid w:val="00795260"/>
    <w:rsid w:val="007A1562"/>
    <w:rsid w:val="007A7CDA"/>
    <w:rsid w:val="007B3275"/>
    <w:rsid w:val="007B41F1"/>
    <w:rsid w:val="007B4F71"/>
    <w:rsid w:val="007B5B0C"/>
    <w:rsid w:val="007E134A"/>
    <w:rsid w:val="007F34B4"/>
    <w:rsid w:val="007F3F38"/>
    <w:rsid w:val="00806043"/>
    <w:rsid w:val="008078A1"/>
    <w:rsid w:val="00832967"/>
    <w:rsid w:val="008333EF"/>
    <w:rsid w:val="00836CBB"/>
    <w:rsid w:val="00842DBD"/>
    <w:rsid w:val="00866087"/>
    <w:rsid w:val="008723FB"/>
    <w:rsid w:val="00873748"/>
    <w:rsid w:val="00877513"/>
    <w:rsid w:val="008830D3"/>
    <w:rsid w:val="008915E8"/>
    <w:rsid w:val="00892D66"/>
    <w:rsid w:val="008B45B4"/>
    <w:rsid w:val="008C30CC"/>
    <w:rsid w:val="008D2601"/>
    <w:rsid w:val="008D2C00"/>
    <w:rsid w:val="008F105F"/>
    <w:rsid w:val="009012FB"/>
    <w:rsid w:val="00901EA7"/>
    <w:rsid w:val="0090383E"/>
    <w:rsid w:val="00905E05"/>
    <w:rsid w:val="00922DBD"/>
    <w:rsid w:val="009233F0"/>
    <w:rsid w:val="00943920"/>
    <w:rsid w:val="0095719E"/>
    <w:rsid w:val="009578BB"/>
    <w:rsid w:val="00961040"/>
    <w:rsid w:val="009641F6"/>
    <w:rsid w:val="00976C5C"/>
    <w:rsid w:val="009773F7"/>
    <w:rsid w:val="009776AF"/>
    <w:rsid w:val="00982FCE"/>
    <w:rsid w:val="00984032"/>
    <w:rsid w:val="00985F0E"/>
    <w:rsid w:val="009875D6"/>
    <w:rsid w:val="009B277F"/>
    <w:rsid w:val="009C285E"/>
    <w:rsid w:val="009E2BE9"/>
    <w:rsid w:val="009E4BB6"/>
    <w:rsid w:val="009E4BC4"/>
    <w:rsid w:val="009F4A10"/>
    <w:rsid w:val="009F4AEF"/>
    <w:rsid w:val="00A003D2"/>
    <w:rsid w:val="00A005A0"/>
    <w:rsid w:val="00A0477D"/>
    <w:rsid w:val="00A13451"/>
    <w:rsid w:val="00A2009A"/>
    <w:rsid w:val="00A30C37"/>
    <w:rsid w:val="00A379E1"/>
    <w:rsid w:val="00A410ED"/>
    <w:rsid w:val="00A4164E"/>
    <w:rsid w:val="00A45D98"/>
    <w:rsid w:val="00A539CE"/>
    <w:rsid w:val="00A55E4D"/>
    <w:rsid w:val="00A67AE3"/>
    <w:rsid w:val="00A702DC"/>
    <w:rsid w:val="00A7318E"/>
    <w:rsid w:val="00A81053"/>
    <w:rsid w:val="00A82FB6"/>
    <w:rsid w:val="00A8793F"/>
    <w:rsid w:val="00A970D4"/>
    <w:rsid w:val="00AB7A59"/>
    <w:rsid w:val="00AC4916"/>
    <w:rsid w:val="00AE31F6"/>
    <w:rsid w:val="00AE3343"/>
    <w:rsid w:val="00AF123A"/>
    <w:rsid w:val="00AF6730"/>
    <w:rsid w:val="00AF7307"/>
    <w:rsid w:val="00B04DB3"/>
    <w:rsid w:val="00B065A0"/>
    <w:rsid w:val="00B22877"/>
    <w:rsid w:val="00B22D43"/>
    <w:rsid w:val="00B234F2"/>
    <w:rsid w:val="00B35D20"/>
    <w:rsid w:val="00B416D1"/>
    <w:rsid w:val="00B56AB0"/>
    <w:rsid w:val="00B60990"/>
    <w:rsid w:val="00B611D7"/>
    <w:rsid w:val="00B678B1"/>
    <w:rsid w:val="00B741FF"/>
    <w:rsid w:val="00B8486A"/>
    <w:rsid w:val="00B84A7E"/>
    <w:rsid w:val="00BA713A"/>
    <w:rsid w:val="00BA7FA6"/>
    <w:rsid w:val="00BB152F"/>
    <w:rsid w:val="00BB2BD7"/>
    <w:rsid w:val="00BB3963"/>
    <w:rsid w:val="00BC065D"/>
    <w:rsid w:val="00BD71A7"/>
    <w:rsid w:val="00BE244E"/>
    <w:rsid w:val="00BE49B0"/>
    <w:rsid w:val="00C04859"/>
    <w:rsid w:val="00C23CA7"/>
    <w:rsid w:val="00C26968"/>
    <w:rsid w:val="00C429D9"/>
    <w:rsid w:val="00C458A2"/>
    <w:rsid w:val="00C469E5"/>
    <w:rsid w:val="00C53310"/>
    <w:rsid w:val="00C54EF0"/>
    <w:rsid w:val="00C557DF"/>
    <w:rsid w:val="00C73B03"/>
    <w:rsid w:val="00C76350"/>
    <w:rsid w:val="00C82AD7"/>
    <w:rsid w:val="00C94C08"/>
    <w:rsid w:val="00CA035E"/>
    <w:rsid w:val="00CA2231"/>
    <w:rsid w:val="00CA706E"/>
    <w:rsid w:val="00CB1C2A"/>
    <w:rsid w:val="00CC0DDE"/>
    <w:rsid w:val="00CC6720"/>
    <w:rsid w:val="00CF33FF"/>
    <w:rsid w:val="00CF6887"/>
    <w:rsid w:val="00CF73E2"/>
    <w:rsid w:val="00D07C1A"/>
    <w:rsid w:val="00D12924"/>
    <w:rsid w:val="00D24588"/>
    <w:rsid w:val="00D30A4F"/>
    <w:rsid w:val="00D327E0"/>
    <w:rsid w:val="00D354C0"/>
    <w:rsid w:val="00D37DFB"/>
    <w:rsid w:val="00D567EF"/>
    <w:rsid w:val="00D56DD5"/>
    <w:rsid w:val="00D6389C"/>
    <w:rsid w:val="00D63C44"/>
    <w:rsid w:val="00D659AB"/>
    <w:rsid w:val="00D65DC3"/>
    <w:rsid w:val="00D77752"/>
    <w:rsid w:val="00D82C0E"/>
    <w:rsid w:val="00D94CB2"/>
    <w:rsid w:val="00DA48E0"/>
    <w:rsid w:val="00DB011D"/>
    <w:rsid w:val="00DB10A4"/>
    <w:rsid w:val="00DD498D"/>
    <w:rsid w:val="00DE2B18"/>
    <w:rsid w:val="00DE5081"/>
    <w:rsid w:val="00DE58F2"/>
    <w:rsid w:val="00DF71A7"/>
    <w:rsid w:val="00DF7DD4"/>
    <w:rsid w:val="00E26535"/>
    <w:rsid w:val="00E35D79"/>
    <w:rsid w:val="00E37086"/>
    <w:rsid w:val="00E37995"/>
    <w:rsid w:val="00E47D94"/>
    <w:rsid w:val="00E57952"/>
    <w:rsid w:val="00E60726"/>
    <w:rsid w:val="00E6328B"/>
    <w:rsid w:val="00E65B16"/>
    <w:rsid w:val="00E65FFF"/>
    <w:rsid w:val="00E66972"/>
    <w:rsid w:val="00E729CF"/>
    <w:rsid w:val="00E75D0F"/>
    <w:rsid w:val="00E77AE3"/>
    <w:rsid w:val="00E857E7"/>
    <w:rsid w:val="00E91CE4"/>
    <w:rsid w:val="00E95D85"/>
    <w:rsid w:val="00EB30AD"/>
    <w:rsid w:val="00EC481A"/>
    <w:rsid w:val="00EE3CD1"/>
    <w:rsid w:val="00EF6D90"/>
    <w:rsid w:val="00F00CE1"/>
    <w:rsid w:val="00F0205F"/>
    <w:rsid w:val="00F06022"/>
    <w:rsid w:val="00F164F3"/>
    <w:rsid w:val="00F24B5A"/>
    <w:rsid w:val="00F32BFB"/>
    <w:rsid w:val="00F35743"/>
    <w:rsid w:val="00F359FC"/>
    <w:rsid w:val="00F37EE1"/>
    <w:rsid w:val="00F528F1"/>
    <w:rsid w:val="00F56B49"/>
    <w:rsid w:val="00F60298"/>
    <w:rsid w:val="00F62C3C"/>
    <w:rsid w:val="00F71EAC"/>
    <w:rsid w:val="00F73BFB"/>
    <w:rsid w:val="00F82A96"/>
    <w:rsid w:val="00F957BD"/>
    <w:rsid w:val="00FB1AA0"/>
    <w:rsid w:val="00FC0E91"/>
    <w:rsid w:val="00FC4552"/>
    <w:rsid w:val="00FD1945"/>
    <w:rsid w:val="00FD6329"/>
    <w:rsid w:val="00FD6592"/>
    <w:rsid w:val="00FD7D72"/>
    <w:rsid w:val="00FE595E"/>
    <w:rsid w:val="00FF3F86"/>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8660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2"/>
      </w:numPr>
      <w:spacing w:before="120" w:after="80"/>
    </w:pPr>
    <w:rPr>
      <w:sz w:val="20"/>
      <w:szCs w:val="20"/>
      <w:lang w:val="x-none" w:eastAsia="x-none"/>
    </w:rPr>
  </w:style>
  <w:style w:type="numbering" w:customStyle="1" w:styleId="Cislovaniparagrafu">
    <w:name w:val="Cislovani_paragrafu"/>
    <w:rsid w:val="0057289A"/>
    <w:pPr>
      <w:numPr>
        <w:numId w:val="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b/>
      <w:bCs/>
      <w:smallCaps/>
      <w:sz w:val="28"/>
      <w:szCs w:val="28"/>
      <w:lang w:val="x-none" w:eastAsia="x-none"/>
    </w:rPr>
  </w:style>
  <w:style w:type="character" w:customStyle="1" w:styleId="Styl1Char">
    <w:name w:val="Styl1 Char"/>
    <w:basedOn w:val="ParnadpisChar"/>
    <w:link w:val="Styl1"/>
    <w:rsid w:val="00B678B1"/>
    <w:rPr>
      <w:rFonts w:ascii="Arial" w:hAnsi="Arial"/>
      <w:b/>
      <w:bCs/>
      <w:smallCaps/>
      <w:sz w:val="28"/>
      <w:szCs w:val="28"/>
      <w:lang w:val="x-none" w:eastAsia="x-none"/>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lang w:val="x-none" w:eastAsia="x-none"/>
    </w:rPr>
  </w:style>
  <w:style w:type="character" w:customStyle="1" w:styleId="Styl2Char">
    <w:name w:val="Styl2 Char"/>
    <w:link w:val="Styl2"/>
    <w:rsid w:val="00DE5081"/>
    <w:rPr>
      <w:rFonts w:ascii="Arial" w:hAnsi="Arial"/>
      <w:sz w:val="24"/>
      <w:lang w:val="x-none" w:eastAsia="x-none"/>
    </w:rPr>
  </w:style>
  <w:style w:type="paragraph" w:styleId="Textkomente">
    <w:name w:val="annotation text"/>
    <w:basedOn w:val="Normln"/>
    <w:link w:val="TextkomenteChar"/>
    <w:unhideWhenUsed/>
    <w:rsid w:val="008078A1"/>
    <w:rPr>
      <w:sz w:val="20"/>
      <w:szCs w:val="20"/>
    </w:rPr>
  </w:style>
  <w:style w:type="character" w:customStyle="1" w:styleId="TextkomenteChar">
    <w:name w:val="Text komentáře Char"/>
    <w:basedOn w:val="Standardnpsmoodstavce"/>
    <w:link w:val="Textkomente"/>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8"/>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 w:type="character" w:customStyle="1" w:styleId="UnresolvedMention">
    <w:name w:val="Unresolved Mention"/>
    <w:basedOn w:val="Standardnpsmoodstavce"/>
    <w:uiPriority w:val="99"/>
    <w:semiHidden/>
    <w:unhideWhenUsed/>
    <w:rsid w:val="00866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42E39-5EC1-4AAA-B1D1-ABCE2A07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3933</Words>
  <Characters>23208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27087</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Pozorovani</cp:lastModifiedBy>
  <cp:revision>10</cp:revision>
  <cp:lastPrinted>2020-12-01T12:15:00Z</cp:lastPrinted>
  <dcterms:created xsi:type="dcterms:W3CDTF">2024-04-17T06:27:00Z</dcterms:created>
  <dcterms:modified xsi:type="dcterms:W3CDTF">2024-08-20T09:43:00Z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