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AA" w:rsidRDefault="006714AA">
      <w:pPr>
        <w:pStyle w:val="Zkladntext"/>
        <w:spacing w:before="6"/>
        <w:rPr>
          <w:rFonts w:ascii="Times New Roman"/>
          <w:b w:val="0"/>
          <w:sz w:val="13"/>
        </w:rPr>
      </w:pPr>
    </w:p>
    <w:p w:rsidR="006714AA" w:rsidRDefault="004A2634">
      <w:pPr>
        <w:pStyle w:val="Zkladntext"/>
        <w:ind w:left="10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7356475" cy="231775"/>
                <wp:effectExtent l="15240" t="15875" r="10160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6475" cy="23177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4AA" w:rsidRDefault="003E0FEB">
                            <w:pPr>
                              <w:pStyle w:val="Zkladntext"/>
                              <w:spacing w:before="73"/>
                              <w:ind w:left="14"/>
                            </w:pPr>
                            <w:r>
                              <w:t>Příloha č.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79.25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" filled="f" strokeweight="1.2pt">
                <v:textbox inset="0,0,0,0">
                  <w:txbxContent>
                    <w:p w:rsidR="006714AA" w:rsidRDefault="003E0FEB">
                      <w:pPr>
                        <w:pStyle w:val="Zkladntext"/>
                        <w:spacing w:before="73"/>
                        <w:ind w:left="14"/>
                      </w:pPr>
                      <w:r>
                        <w:t>Příloha č.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714AA" w:rsidRDefault="006714AA">
      <w:pPr>
        <w:pStyle w:val="Zkladntext"/>
        <w:spacing w:before="4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6"/>
        <w:gridCol w:w="7011"/>
        <w:gridCol w:w="1095"/>
        <w:gridCol w:w="1095"/>
        <w:gridCol w:w="1094"/>
      </w:tblGrid>
      <w:tr w:rsidR="006714AA">
        <w:trPr>
          <w:trHeight w:val="821"/>
        </w:trPr>
        <w:tc>
          <w:tcPr>
            <w:tcW w:w="4576" w:type="dxa"/>
            <w:tcBorders>
              <w:right w:val="single" w:sz="6" w:space="0" w:color="000000"/>
            </w:tcBorders>
            <w:shd w:val="clear" w:color="auto" w:fill="0A91D0"/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6714AA" w:rsidRDefault="003E0FEB">
            <w:pPr>
              <w:pStyle w:val="TableParagraph"/>
              <w:ind w:left="1895" w:right="1866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Název položky</w:t>
            </w:r>
          </w:p>
        </w:tc>
        <w:tc>
          <w:tcPr>
            <w:tcW w:w="70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A91D0"/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6714AA" w:rsidRDefault="003E0FEB">
            <w:pPr>
              <w:pStyle w:val="TableParagraph"/>
              <w:ind w:left="3204" w:right="3168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Specifikace</w:t>
            </w:r>
          </w:p>
        </w:tc>
        <w:tc>
          <w:tcPr>
            <w:tcW w:w="109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A91D0"/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6714AA" w:rsidRDefault="003E0FEB">
            <w:pPr>
              <w:pStyle w:val="TableParagraph"/>
              <w:spacing w:line="271" w:lineRule="auto"/>
              <w:ind w:left="213" w:right="63" w:hanging="116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Cena za jednotku v Kč bez D</w:t>
            </w:r>
            <w:bookmarkStart w:id="0" w:name="_GoBack"/>
            <w:r>
              <w:rPr>
                <w:b/>
                <w:color w:val="FFFFFF"/>
                <w:w w:val="105"/>
                <w:sz w:val="12"/>
              </w:rPr>
              <w:t>PH</w:t>
            </w:r>
          </w:p>
        </w:tc>
        <w:tc>
          <w:tcPr>
            <w:tcW w:w="109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A91D0"/>
          </w:tcPr>
          <w:p w:rsidR="006714AA" w:rsidRDefault="003E0FEB">
            <w:pPr>
              <w:pStyle w:val="TableParagraph"/>
              <w:spacing w:before="10" w:line="271" w:lineRule="auto"/>
              <w:ind w:left="54" w:right="32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Požadovaný mod</w:t>
            </w:r>
            <w:bookmarkEnd w:id="0"/>
            <w:r>
              <w:rPr>
                <w:b/>
                <w:color w:val="FFFFFF"/>
                <w:w w:val="105"/>
                <w:sz w:val="12"/>
              </w:rPr>
              <w:t>elový počet ks (počet míst</w:t>
            </w:r>
          </w:p>
          <w:p w:rsidR="006714AA" w:rsidRDefault="003E0FEB">
            <w:pPr>
              <w:pStyle w:val="TableParagraph"/>
              <w:ind w:left="54" w:right="29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v</w:t>
            </w:r>
            <w:r>
              <w:rPr>
                <w:b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color w:val="FFFFFF"/>
                <w:w w:val="105"/>
                <w:sz w:val="12"/>
              </w:rPr>
              <w:t>případě</w:t>
            </w:r>
          </w:p>
          <w:p w:rsidR="006714AA" w:rsidRDefault="003E0FEB">
            <w:pPr>
              <w:pStyle w:val="TableParagraph"/>
              <w:spacing w:before="19" w:line="130" w:lineRule="exact"/>
              <w:ind w:left="54" w:right="29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distribuce)</w:t>
            </w:r>
          </w:p>
        </w:tc>
        <w:tc>
          <w:tcPr>
            <w:tcW w:w="1094" w:type="dxa"/>
            <w:tcBorders>
              <w:left w:val="single" w:sz="6" w:space="0" w:color="000000"/>
            </w:tcBorders>
            <w:shd w:val="clear" w:color="auto" w:fill="0A91D0"/>
          </w:tcPr>
          <w:p w:rsidR="006714AA" w:rsidRDefault="003E0FEB">
            <w:pPr>
              <w:pStyle w:val="TableParagraph"/>
              <w:spacing w:before="91" w:line="271" w:lineRule="auto"/>
              <w:ind w:left="123" w:right="95" w:firstLine="4"/>
              <w:jc w:val="center"/>
              <w:rPr>
                <w:b/>
                <w:sz w:val="12"/>
              </w:rPr>
            </w:pPr>
            <w:r>
              <w:rPr>
                <w:b/>
                <w:color w:val="FFFFFF"/>
                <w:w w:val="105"/>
                <w:sz w:val="12"/>
              </w:rPr>
              <w:t>Cena za požadovaný modelový počet ks/míst</w:t>
            </w:r>
          </w:p>
        </w:tc>
      </w:tr>
      <w:tr w:rsidR="006714AA">
        <w:trPr>
          <w:trHeight w:val="343"/>
        </w:trPr>
        <w:tc>
          <w:tcPr>
            <w:tcW w:w="4576" w:type="dxa"/>
            <w:tcBorders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96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Citylight - povrch - Praha</w:t>
            </w:r>
          </w:p>
        </w:tc>
        <w:tc>
          <w:tcPr>
            <w:tcW w:w="70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14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jednotlivé plochy umístěné v okolí komunikačních uzlů - v okolí pěší zóny v centru Prahy, v okolí velkých kulturních, společenských,</w:t>
            </w:r>
          </w:p>
          <w:p w:rsidR="006714AA" w:rsidRDefault="003E0FEB">
            <w:pPr>
              <w:pStyle w:val="TableParagraph"/>
              <w:spacing w:before="20" w:line="143" w:lineRule="exact"/>
              <w:ind w:left="26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sportovních center, na hlavních tramvajových a autobusových trasách </w:t>
            </w:r>
            <w:r>
              <w:rPr>
                <w:b/>
                <w:w w:val="105"/>
                <w:sz w:val="12"/>
              </w:rPr>
              <w:t>(čtrnáctidenní prezentace)</w:t>
            </w: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714AA" w:rsidRDefault="003E0FEB">
            <w:pPr>
              <w:pStyle w:val="TableParagraph"/>
              <w:spacing w:before="96"/>
              <w:ind w:left="54" w:right="2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3 700,00</w:t>
            </w:r>
          </w:p>
        </w:tc>
        <w:tc>
          <w:tcPr>
            <w:tcW w:w="1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96"/>
              <w:ind w:left="54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094" w:type="dxa"/>
            <w:tcBorders>
              <w:left w:val="single" w:sz="6" w:space="0" w:color="000000"/>
              <w:bottom w:val="single" w:sz="6" w:space="0" w:color="000000"/>
            </w:tcBorders>
          </w:tcPr>
          <w:p w:rsidR="006714AA" w:rsidRDefault="003E0FEB">
            <w:pPr>
              <w:pStyle w:val="TableParagraph"/>
              <w:spacing w:before="96"/>
              <w:ind w:left="193" w:right="1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37 000,00</w:t>
            </w:r>
          </w:p>
        </w:tc>
      </w:tr>
      <w:tr w:rsidR="006714AA">
        <w:trPr>
          <w:trHeight w:val="714"/>
        </w:trPr>
        <w:tc>
          <w:tcPr>
            <w:tcW w:w="4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6714AA" w:rsidRDefault="003E0FEB">
            <w:pPr>
              <w:pStyle w:val="TableParagraph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Citylight - stanice metra a okolí - Praha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24" w:line="160" w:lineRule="atLeast"/>
              <w:ind w:left="26" w:right="59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stanice metra se silnou komunikací osob - zejména stanice: Dejvická, Hradčanská, Malostranská, Staroměstská, Můstek, Muzeum, Náměstí Míru, Jiřího z Poděbrad, Flora, Smíchovské nádraží, Anděl, Karlovo náměstí, Národ</w:t>
            </w:r>
            <w:r>
              <w:rPr>
                <w:w w:val="105"/>
                <w:sz w:val="12"/>
              </w:rPr>
              <w:t xml:space="preserve">ní třída, Náměstí republiky, Florenc, Křižíkova, Invalidovna, Palmovka, Ládví, Kobylisy, Nádraží Holešovice, Vltavská, Hlavní nádraží, I.P. Pavlova, Vyšehrad, Pražského povstání, Pankrác, Budějovická, Kačerov </w:t>
            </w:r>
            <w:r>
              <w:rPr>
                <w:b/>
                <w:w w:val="105"/>
                <w:sz w:val="12"/>
              </w:rPr>
              <w:t>(čtrnáctidenní prezentace)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6714AA" w:rsidRDefault="003E0FEB">
            <w:pPr>
              <w:pStyle w:val="TableParagraph"/>
              <w:ind w:left="54" w:right="2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3 700,00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6714AA" w:rsidRDefault="003E0FEB">
            <w:pPr>
              <w:pStyle w:val="TableParagraph"/>
              <w:ind w:left="54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6714AA" w:rsidRDefault="003E0FEB">
            <w:pPr>
              <w:pStyle w:val="TableParagraph"/>
              <w:ind w:left="193" w:right="1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  <w:r>
              <w:rPr>
                <w:w w:val="105"/>
                <w:sz w:val="12"/>
              </w:rPr>
              <w:t xml:space="preserve"> 000,00</w:t>
            </w:r>
          </w:p>
        </w:tc>
      </w:tr>
      <w:tr w:rsidR="006714AA">
        <w:trPr>
          <w:trHeight w:val="349"/>
        </w:trPr>
        <w:tc>
          <w:tcPr>
            <w:tcW w:w="4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102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Citylight - síť - Praha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7" w:line="160" w:lineRule="atLeast"/>
              <w:ind w:left="26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plochy v historickém a obchodním centru Prahy - vše na povrchu - tramvajové, autobusové zastávky, plochy u velkých dopravních uzlů - rovnoměrně rozmístěné </w:t>
            </w:r>
            <w:r>
              <w:rPr>
                <w:b/>
                <w:w w:val="105"/>
                <w:sz w:val="12"/>
              </w:rPr>
              <w:t>(čtrnáctidenní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prezentace)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714AA" w:rsidRDefault="003E0FEB">
            <w:pPr>
              <w:pStyle w:val="TableParagraph"/>
              <w:spacing w:before="102"/>
              <w:ind w:left="54" w:right="2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2 050,00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102"/>
              <w:ind w:left="54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14AA" w:rsidRDefault="003E0FEB">
            <w:pPr>
              <w:pStyle w:val="TableParagraph"/>
              <w:spacing w:before="102"/>
              <w:ind w:left="193" w:right="1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61 500,00</w:t>
            </w:r>
          </w:p>
        </w:tc>
      </w:tr>
      <w:tr w:rsidR="006714AA">
        <w:trPr>
          <w:trHeight w:val="349"/>
        </w:trPr>
        <w:tc>
          <w:tcPr>
            <w:tcW w:w="4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102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Citylight - ČR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7" w:line="160" w:lineRule="atLeast"/>
              <w:ind w:left="26" w:hanging="1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krajská města a spádová města v okolí Prahy a regionů především Čech, povrchové plochy v centru měst a u velkých dopravních uzlů, u kulturních, společenských, sportovních center </w:t>
            </w:r>
            <w:r>
              <w:rPr>
                <w:b/>
                <w:w w:val="105"/>
                <w:sz w:val="12"/>
              </w:rPr>
              <w:t>(třicetidenní prezentace)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714AA" w:rsidRDefault="003E0FEB">
            <w:pPr>
              <w:pStyle w:val="TableParagraph"/>
              <w:spacing w:before="102"/>
              <w:ind w:left="54" w:right="2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2 100,00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102"/>
              <w:ind w:left="54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14AA" w:rsidRDefault="003E0FEB">
            <w:pPr>
              <w:pStyle w:val="TableParagraph"/>
              <w:spacing w:before="102"/>
              <w:ind w:left="193" w:right="1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52 500,00</w:t>
            </w:r>
          </w:p>
        </w:tc>
      </w:tr>
      <w:tr w:rsidR="006714AA">
        <w:trPr>
          <w:trHeight w:val="933"/>
        </w:trPr>
        <w:tc>
          <w:tcPr>
            <w:tcW w:w="4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6714AA" w:rsidRDefault="003E0FEB">
            <w:pPr>
              <w:pStyle w:val="TableParagraph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Digitální CLV - Praha (2160 x 3250 pix)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64" w:line="271" w:lineRule="auto"/>
              <w:ind w:left="26" w:right="59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stanice metra se silnou komunikací osob - zejména stanice: Dejvická, Hradčanská, Malostranská, Staroměstská, Můstek, Muzeum, Náměstí Míru, Jiřího z Poděbrad, Flora, Smíchovské nádraží, Anděl, Karlovo náměstí, Národní</w:t>
            </w:r>
            <w:r>
              <w:rPr>
                <w:w w:val="105"/>
                <w:sz w:val="12"/>
              </w:rPr>
              <w:t xml:space="preserve"> třída, Náměstí republiky, Florenc, Křižíkova, Invalidovna, Palmovka, Ládví, Kobylisy, Nádraží Holešovice, Vltavská, Hlavní nádraží, I.P. Pavlova, Vyšehrad, Pražského povstání, Pankrác, Budějovická, Kačerov Možnost prezetance kampaní v reklamních dynamický</w:t>
            </w:r>
            <w:r>
              <w:rPr>
                <w:w w:val="105"/>
                <w:sz w:val="12"/>
              </w:rPr>
              <w:t xml:space="preserve">ch (formát MPEG-4, 10 s) či statických (JPG) spotech </w:t>
            </w:r>
            <w:r>
              <w:rPr>
                <w:b/>
                <w:w w:val="105"/>
                <w:sz w:val="12"/>
              </w:rPr>
              <w:t>(čtrnáctidenní prezentace)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6714AA" w:rsidRDefault="003E0FEB">
            <w:pPr>
              <w:pStyle w:val="TableParagraph"/>
              <w:ind w:left="54" w:right="2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6 900,00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6714AA" w:rsidRDefault="003E0FEB">
            <w:pPr>
              <w:pStyle w:val="TableParagraph"/>
              <w:ind w:left="54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:rsidR="006714AA" w:rsidRDefault="003E0FEB">
            <w:pPr>
              <w:pStyle w:val="TableParagraph"/>
              <w:ind w:left="193" w:right="1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69 000,00</w:t>
            </w:r>
          </w:p>
        </w:tc>
      </w:tr>
      <w:tr w:rsidR="006714AA">
        <w:trPr>
          <w:trHeight w:val="685"/>
        </w:trPr>
        <w:tc>
          <w:tcPr>
            <w:tcW w:w="4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6714AA" w:rsidRDefault="003E0FEB">
            <w:pPr>
              <w:pStyle w:val="TableParagraph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Digitální obrazovky - Praha (3840 x 2160 px)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6714A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6714AA" w:rsidRDefault="003E0FEB">
            <w:pPr>
              <w:pStyle w:val="TableParagraph"/>
              <w:spacing w:line="271" w:lineRule="auto"/>
              <w:ind w:left="26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digitální obrazovky v Praze - ul. Na Příkopech, Pařížská, Můstek, Náměstí Republiky. Možnost prezetance kampaní v reklamních dynamických (formát MPEG-4, 10 s) či statických (JPG) spotech </w:t>
            </w:r>
            <w:r>
              <w:rPr>
                <w:b/>
                <w:w w:val="105"/>
                <w:sz w:val="12"/>
              </w:rPr>
              <w:t>(čtrnáctidenní prezentace)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6714AA" w:rsidRDefault="003E0FEB">
            <w:pPr>
              <w:pStyle w:val="TableParagraph"/>
              <w:ind w:left="54" w:right="2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16 000,00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6714AA" w:rsidRDefault="003E0FEB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4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6714AA" w:rsidRDefault="003E0FEB">
            <w:pPr>
              <w:pStyle w:val="TableParagraph"/>
              <w:ind w:left="192" w:right="1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64 000,00</w:t>
            </w:r>
          </w:p>
        </w:tc>
      </w:tr>
      <w:tr w:rsidR="006714AA">
        <w:trPr>
          <w:trHeight w:val="685"/>
        </w:trPr>
        <w:tc>
          <w:tcPr>
            <w:tcW w:w="4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6714AA" w:rsidRDefault="003E0FEB">
            <w:pPr>
              <w:pStyle w:val="TableParagraph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Digitální obrazovky - Praha - metro Národní třída (1366 x 7689 px)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105" w:line="271" w:lineRule="auto"/>
              <w:ind w:left="26" w:right="59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digitální obrazovky (tj. 42 obrazovek) v Praze ve stanici metra Národní třída umístěné po obou stranách eskalátorového tunelu. Možnost prezetance kampaní v reklamních dynamických (formát MP</w:t>
            </w:r>
            <w:r>
              <w:rPr>
                <w:w w:val="105"/>
                <w:sz w:val="12"/>
              </w:rPr>
              <w:t>EG-2/MPGE-4) či statických (JPG/GIF/PNG) spotech</w:t>
            </w:r>
            <w:r>
              <w:rPr>
                <w:b/>
                <w:w w:val="105"/>
                <w:sz w:val="12"/>
              </w:rPr>
              <w:t>(měsíční prezentace)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6714AA" w:rsidRDefault="003E0FEB">
            <w:pPr>
              <w:pStyle w:val="TableParagraph"/>
              <w:ind w:left="54" w:right="2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54 900,00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6714AA" w:rsidRDefault="003E0FEB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6714AA" w:rsidRDefault="003E0FEB">
            <w:pPr>
              <w:pStyle w:val="TableParagraph"/>
              <w:ind w:left="193" w:right="1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54 900,00</w:t>
            </w:r>
          </w:p>
        </w:tc>
      </w:tr>
      <w:tr w:rsidR="006714AA">
        <w:trPr>
          <w:trHeight w:val="448"/>
        </w:trPr>
        <w:tc>
          <w:tcPr>
            <w:tcW w:w="4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6714AA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6714AA" w:rsidRDefault="003E0FEB">
            <w:pPr>
              <w:pStyle w:val="TableParagraph"/>
              <w:ind w:left="20"/>
              <w:rPr>
                <w:sz w:val="12"/>
              </w:rPr>
            </w:pPr>
            <w:r>
              <w:rPr>
                <w:w w:val="105"/>
                <w:sz w:val="12"/>
              </w:rPr>
              <w:t>LED panelová reklama - Praha - metro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69" w:line="271" w:lineRule="auto"/>
              <w:ind w:left="26" w:right="59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zobrazovací LED systém reklama v tunelu mezi stanicemi metra Dejvice-Bořislavka a popřípadě další zastávky metra </w:t>
            </w:r>
            <w:r>
              <w:rPr>
                <w:b/>
                <w:w w:val="105"/>
                <w:sz w:val="12"/>
              </w:rPr>
              <w:t>(měsíční prezentace)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714AA" w:rsidRDefault="006714AA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6714AA" w:rsidRDefault="003E0FEB">
            <w:pPr>
              <w:pStyle w:val="TableParagraph"/>
              <w:ind w:left="54" w:right="2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87 200,00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6714AA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6714AA" w:rsidRDefault="003E0FEB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14AA" w:rsidRDefault="006714AA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6714AA" w:rsidRDefault="003E0FEB">
            <w:pPr>
              <w:pStyle w:val="TableParagraph"/>
              <w:ind w:left="192" w:right="1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87 200,00</w:t>
            </w:r>
          </w:p>
        </w:tc>
      </w:tr>
      <w:tr w:rsidR="006714AA">
        <w:trPr>
          <w:trHeight w:val="532"/>
        </w:trPr>
        <w:tc>
          <w:tcPr>
            <w:tcW w:w="4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6714AA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714AA" w:rsidRDefault="003E0FEB">
            <w:pPr>
              <w:pStyle w:val="TableParagraph"/>
              <w:spacing w:before="1"/>
              <w:ind w:left="20"/>
              <w:rPr>
                <w:sz w:val="12"/>
              </w:rPr>
            </w:pPr>
            <w:r>
              <w:rPr>
                <w:w w:val="105"/>
                <w:sz w:val="12"/>
              </w:rPr>
              <w:t>Billboard (euroformát 510x240 cm) - Praha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14" w:line="160" w:lineRule="atLeast"/>
              <w:ind w:left="26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Praha, u hlavních dopravních uzlů a komunikací, plošné pokrytí u hlavních dopravních uzlů, na komunikacích zásadního významu - pražský a městský okruh - na příjezdech do Prahy z Brna, Strakonic, Hradce Králové, Mladé Boleslavi, Ústí n. L., z letiště (z Kla</w:t>
            </w:r>
            <w:r>
              <w:rPr>
                <w:w w:val="105"/>
                <w:sz w:val="12"/>
              </w:rPr>
              <w:t xml:space="preserve">dna); dále na místech se silným provozem MHD a u obchodních center </w:t>
            </w:r>
            <w:r>
              <w:rPr>
                <w:b/>
                <w:w w:val="105"/>
                <w:sz w:val="12"/>
              </w:rPr>
              <w:t>(třicetidenní prezentace)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714AA" w:rsidRDefault="006714AA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714AA" w:rsidRDefault="003E0FEB">
            <w:pPr>
              <w:pStyle w:val="TableParagraph"/>
              <w:spacing w:before="1"/>
              <w:ind w:left="54" w:right="2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2 500,00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6714AA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714AA" w:rsidRDefault="003E0FEB">
            <w:pPr>
              <w:pStyle w:val="TableParagraph"/>
              <w:spacing w:before="1"/>
              <w:ind w:left="54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14AA" w:rsidRDefault="006714AA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714AA" w:rsidRDefault="003E0FEB">
            <w:pPr>
              <w:pStyle w:val="TableParagraph"/>
              <w:spacing w:before="1"/>
              <w:ind w:left="192" w:right="1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25 000,00</w:t>
            </w:r>
          </w:p>
        </w:tc>
      </w:tr>
      <w:tr w:rsidR="006714AA">
        <w:trPr>
          <w:trHeight w:val="349"/>
        </w:trPr>
        <w:tc>
          <w:tcPr>
            <w:tcW w:w="4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102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Billboard (euroformát - 510 x 240 cm) - regiony ČR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7" w:line="160" w:lineRule="atLeast"/>
              <w:ind w:left="26" w:hanging="1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krajská města a spádová města jednotlivých regionů ČR , opět více v oblasti Čech, u hlavních dopravních uzlů a komunikací, plošné pokrytí </w:t>
            </w:r>
            <w:r>
              <w:rPr>
                <w:b/>
                <w:w w:val="105"/>
                <w:sz w:val="12"/>
              </w:rPr>
              <w:t>(třicetidenní prezentace)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714AA" w:rsidRDefault="003E0FEB">
            <w:pPr>
              <w:pStyle w:val="TableParagraph"/>
              <w:spacing w:before="102"/>
              <w:ind w:left="54" w:right="2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2 500,00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102"/>
              <w:ind w:left="54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14AA" w:rsidRDefault="003E0FEB">
            <w:pPr>
              <w:pStyle w:val="TableParagraph"/>
              <w:spacing w:before="102"/>
              <w:ind w:left="192" w:right="1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25 000,00</w:t>
            </w:r>
          </w:p>
        </w:tc>
      </w:tr>
      <w:tr w:rsidR="006714AA">
        <w:trPr>
          <w:trHeight w:val="349"/>
        </w:trPr>
        <w:tc>
          <w:tcPr>
            <w:tcW w:w="4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102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Bigboard (euroformát 960x360 cm) - Praha, Střední Čechy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102"/>
              <w:ind w:left="27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u hlavních dopravních uzlů a komunikací </w:t>
            </w:r>
            <w:r>
              <w:rPr>
                <w:b/>
                <w:w w:val="105"/>
                <w:sz w:val="12"/>
              </w:rPr>
              <w:t>(třicetidenní prezentace)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714AA" w:rsidRDefault="003E0FEB">
            <w:pPr>
              <w:pStyle w:val="TableParagraph"/>
              <w:spacing w:before="102"/>
              <w:ind w:left="54" w:right="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8 700,00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102"/>
              <w:ind w:left="29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14AA" w:rsidRDefault="003E0FEB">
            <w:pPr>
              <w:pStyle w:val="TableParagraph"/>
              <w:spacing w:before="102"/>
              <w:ind w:left="190" w:right="1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8 700,00</w:t>
            </w:r>
          </w:p>
        </w:tc>
      </w:tr>
      <w:tr w:rsidR="006714AA">
        <w:trPr>
          <w:trHeight w:val="649"/>
        </w:trPr>
        <w:tc>
          <w:tcPr>
            <w:tcW w:w="4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rPr>
                <w:rFonts w:ascii="Times New Roman"/>
                <w:sz w:val="10"/>
              </w:rPr>
            </w:pPr>
          </w:p>
          <w:p w:rsidR="006714AA" w:rsidRDefault="003E0FEB">
            <w:pPr>
              <w:pStyle w:val="TableParagraph"/>
              <w:spacing w:before="1"/>
              <w:ind w:left="21"/>
              <w:rPr>
                <w:sz w:val="12"/>
              </w:rPr>
            </w:pPr>
            <w:r>
              <w:rPr>
                <w:w w:val="105"/>
                <w:sz w:val="12"/>
              </w:rPr>
              <w:t>Plakátovací plochy (velikost plakátu A2) - Středočeský kraj + velká města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88" w:line="271" w:lineRule="auto"/>
              <w:ind w:left="26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plakátovací plochy ve Středočeském kraji zejména: Kladensko, Berounsko, Příbramsko, Kolínsko, Mladoboleslavsko a Kutnohorsko (Kladno, Beroun, Kolín, Mladou Boleslav, Kutnou Horu a Dobříš). A dále ve městech: Plzeň, Ústí nad Labem, Liberec, Hradec Králové a</w:t>
            </w:r>
            <w:r>
              <w:rPr>
                <w:w w:val="105"/>
                <w:sz w:val="12"/>
              </w:rPr>
              <w:t xml:space="preserve"> Pardubice </w:t>
            </w:r>
            <w:r>
              <w:rPr>
                <w:b/>
                <w:w w:val="105"/>
                <w:sz w:val="12"/>
              </w:rPr>
              <w:t>(čtrnáctidenní prezentace)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rPr>
                <w:rFonts w:ascii="Times New Roman"/>
                <w:sz w:val="10"/>
              </w:rPr>
            </w:pPr>
          </w:p>
          <w:p w:rsidR="006714AA" w:rsidRDefault="003E0FEB">
            <w:pPr>
              <w:pStyle w:val="TableParagraph"/>
              <w:spacing w:before="1"/>
              <w:ind w:left="54" w:right="2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rPr>
                <w:rFonts w:ascii="Times New Roman"/>
                <w:sz w:val="10"/>
              </w:rPr>
            </w:pPr>
          </w:p>
          <w:p w:rsidR="006714AA" w:rsidRDefault="003E0FEB">
            <w:pPr>
              <w:pStyle w:val="TableParagraph"/>
              <w:spacing w:before="1"/>
              <w:ind w:left="54" w:right="2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rPr>
                <w:rFonts w:ascii="Times New Roman"/>
                <w:sz w:val="10"/>
              </w:rPr>
            </w:pPr>
          </w:p>
          <w:p w:rsidR="006714AA" w:rsidRDefault="003E0FEB">
            <w:pPr>
              <w:pStyle w:val="TableParagraph"/>
              <w:spacing w:before="1"/>
              <w:ind w:left="193" w:right="1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18 000,00</w:t>
            </w:r>
          </w:p>
        </w:tc>
      </w:tr>
      <w:tr w:rsidR="006714AA">
        <w:trPr>
          <w:trHeight w:val="342"/>
        </w:trPr>
        <w:tc>
          <w:tcPr>
            <w:tcW w:w="457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rPr>
                <w:rFonts w:ascii="Times New Roman"/>
                <w:sz w:val="12"/>
              </w:rPr>
            </w:pPr>
          </w:p>
          <w:p w:rsidR="006714AA" w:rsidRDefault="006714AA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6714AA" w:rsidRDefault="003E0FEB">
            <w:pPr>
              <w:pStyle w:val="TableParagraph"/>
              <w:ind w:left="20"/>
              <w:rPr>
                <w:sz w:val="12"/>
              </w:rPr>
            </w:pPr>
            <w:r>
              <w:rPr>
                <w:w w:val="105"/>
                <w:sz w:val="12"/>
              </w:rPr>
              <w:t>Letiště Václava Havla - media v INTERIÉRECH příletových hal</w:t>
            </w: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102"/>
              <w:ind w:left="26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polep pásu v příletové hale „Schengen“ </w:t>
            </w:r>
            <w:r>
              <w:rPr>
                <w:b/>
                <w:w w:val="105"/>
                <w:sz w:val="12"/>
              </w:rPr>
              <w:t>(1 měsíc)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714AA" w:rsidRDefault="003E0FEB">
            <w:pPr>
              <w:pStyle w:val="TableParagraph"/>
              <w:spacing w:before="102"/>
              <w:ind w:left="54" w:right="2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9 500,00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102"/>
              <w:ind w:left="29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14AA" w:rsidRDefault="003E0FEB">
            <w:pPr>
              <w:pStyle w:val="TableParagraph"/>
              <w:spacing w:before="102"/>
              <w:ind w:left="190" w:right="1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9 500,00</w:t>
            </w:r>
          </w:p>
        </w:tc>
      </w:tr>
      <w:tr w:rsidR="006714AA">
        <w:trPr>
          <w:trHeight w:val="334"/>
        </w:trPr>
        <w:tc>
          <w:tcPr>
            <w:tcW w:w="4576" w:type="dxa"/>
            <w:vMerge/>
            <w:tcBorders>
              <w:top w:val="nil"/>
              <w:right w:val="single" w:sz="6" w:space="0" w:color="000000"/>
            </w:tcBorders>
          </w:tcPr>
          <w:p w:rsidR="006714AA" w:rsidRDefault="006714AA">
            <w:pPr>
              <w:rPr>
                <w:sz w:val="2"/>
                <w:szCs w:val="2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95"/>
              <w:ind w:left="26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polep boxu nad pásem v příletové hale "Schengen" </w:t>
            </w:r>
            <w:r>
              <w:rPr>
                <w:b/>
                <w:w w:val="105"/>
                <w:sz w:val="12"/>
              </w:rPr>
              <w:t>(1 měsíc)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6714AA" w:rsidRDefault="003E0FEB">
            <w:pPr>
              <w:pStyle w:val="TableParagraph"/>
              <w:spacing w:before="95"/>
              <w:ind w:left="54" w:right="2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25 000,00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95"/>
              <w:ind w:left="29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714AA" w:rsidRDefault="003E0FEB">
            <w:pPr>
              <w:pStyle w:val="TableParagraph"/>
              <w:spacing w:before="95"/>
              <w:ind w:left="192" w:right="1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25 000,00</w:t>
            </w:r>
          </w:p>
        </w:tc>
      </w:tr>
      <w:tr w:rsidR="006714AA">
        <w:trPr>
          <w:trHeight w:val="333"/>
        </w:trPr>
        <w:tc>
          <w:tcPr>
            <w:tcW w:w="4576" w:type="dxa"/>
            <w:vMerge/>
            <w:tcBorders>
              <w:top w:val="nil"/>
              <w:right w:val="single" w:sz="6" w:space="0" w:color="000000"/>
            </w:tcBorders>
          </w:tcPr>
          <w:p w:rsidR="006714AA" w:rsidRDefault="006714AA">
            <w:pPr>
              <w:rPr>
                <w:sz w:val="2"/>
                <w:szCs w:val="2"/>
              </w:rPr>
            </w:pPr>
          </w:p>
        </w:tc>
        <w:tc>
          <w:tcPr>
            <w:tcW w:w="70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95"/>
              <w:ind w:left="26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banner ve spojovací hale mezi terminálem 1 a 2 </w:t>
            </w:r>
            <w:r>
              <w:rPr>
                <w:b/>
                <w:w w:val="105"/>
                <w:sz w:val="12"/>
              </w:rPr>
              <w:t>(1 měsíc)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00"/>
          </w:tcPr>
          <w:p w:rsidR="006714AA" w:rsidRDefault="003E0FEB">
            <w:pPr>
              <w:pStyle w:val="TableParagraph"/>
              <w:spacing w:before="95"/>
              <w:ind w:left="54" w:right="2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23 500,00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14AA" w:rsidRDefault="003E0FEB">
            <w:pPr>
              <w:pStyle w:val="TableParagraph"/>
              <w:spacing w:before="95"/>
              <w:ind w:left="29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</w:tcBorders>
          </w:tcPr>
          <w:p w:rsidR="006714AA" w:rsidRDefault="003E0FEB">
            <w:pPr>
              <w:pStyle w:val="TableParagraph"/>
              <w:spacing w:before="95"/>
              <w:ind w:left="192" w:right="1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23 500,00</w:t>
            </w:r>
          </w:p>
        </w:tc>
      </w:tr>
      <w:tr w:rsidR="006714AA">
        <w:trPr>
          <w:trHeight w:val="334"/>
        </w:trPr>
        <w:tc>
          <w:tcPr>
            <w:tcW w:w="13777" w:type="dxa"/>
            <w:gridSpan w:val="4"/>
            <w:tcBorders>
              <w:right w:val="single" w:sz="6" w:space="0" w:color="000000"/>
            </w:tcBorders>
            <w:shd w:val="clear" w:color="auto" w:fill="0A91D0"/>
          </w:tcPr>
          <w:p w:rsidR="006714AA" w:rsidRDefault="003E0FEB">
            <w:pPr>
              <w:pStyle w:val="TableParagraph"/>
              <w:spacing w:before="77"/>
              <w:ind w:left="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Celková nabídková cena</w:t>
            </w:r>
          </w:p>
        </w:tc>
        <w:tc>
          <w:tcPr>
            <w:tcW w:w="1094" w:type="dxa"/>
            <w:tcBorders>
              <w:left w:val="single" w:sz="6" w:space="0" w:color="000000"/>
            </w:tcBorders>
            <w:shd w:val="clear" w:color="auto" w:fill="1E4D77"/>
          </w:tcPr>
          <w:p w:rsidR="006714AA" w:rsidRDefault="003E0FEB">
            <w:pPr>
              <w:pStyle w:val="TableParagraph"/>
              <w:spacing w:before="77"/>
              <w:ind w:left="194" w:right="15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597 800,00</w:t>
            </w:r>
          </w:p>
        </w:tc>
      </w:tr>
    </w:tbl>
    <w:p w:rsidR="003E0FEB" w:rsidRDefault="003E0FEB"/>
    <w:sectPr w:rsidR="003E0FEB">
      <w:type w:val="continuous"/>
      <w:pgSz w:w="16840" w:h="11910" w:orient="landscape"/>
      <w:pgMar w:top="1100" w:right="128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AA"/>
    <w:rsid w:val="003E0FEB"/>
    <w:rsid w:val="004A2634"/>
    <w:rsid w:val="0067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841A9-0A10-4EB2-ABDD-2925E571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Priloha_3_Model_hodnocení.xlsx</vt:lpstr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Priloha_3_Model_hodnocení.xlsx</dc:title>
  <dc:creator>satanova</dc:creator>
  <cp:lastModifiedBy>Šatanová Alena</cp:lastModifiedBy>
  <cp:revision>2</cp:revision>
  <dcterms:created xsi:type="dcterms:W3CDTF">2024-08-20T07:39:00Z</dcterms:created>
  <dcterms:modified xsi:type="dcterms:W3CDTF">2024-08-20T07:39:00Z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2024-08-20T00:00:00Z</vt:filetime>
  </property>
</Properties>
</file>