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Obsahtabulky"/>
        <w:tabs>
          <w:tab w:val="clear" w:pos="708"/>
          <w:tab w:val="right" w:pos="10092" w:leader="none"/>
        </w:tabs>
        <w:jc w:val="left"/>
        <w:rPr>
          <w:rFonts w:ascii="Times New Roman" w:hAnsi="Times New Roman"/>
          <w:b/>
          <w:b/>
          <w:bCs/>
          <w:sz w:val="20"/>
          <w:szCs w:val="20"/>
        </w:rPr>
      </w:pPr>
      <w:r>
        <w:rPr>
          <w:b/>
          <w:bCs/>
          <w:sz w:val="20"/>
          <w:szCs w:val="20"/>
        </w:rPr>
        <mc:AlternateContent>
          <mc:Choice Requires="wps">
            <w:drawing>
              <wp:inline distT="0" distB="0" distL="0" distR="0">
                <wp:extent cx="36195" cy="36195"/>
                <wp:effectExtent l="0" t="0" r="0" b="0"/>
                <wp:docPr id="1" name="58b75701-863e-4267-9a7c-e9c3e8b2dd55"/>
                <a:graphic xmlns:a="http://schemas.openxmlformats.org/drawingml/2006/main">
                  <a:graphicData uri="http://schemas.openxmlformats.org/drawingml/2006/picture">
                    <pic:pic xmlns:pic="http://schemas.openxmlformats.org/drawingml/2006/picture">
                      <pic:nvPicPr>
                        <pic:cNvPr id="0" name="58b75701-863e-4267-9a7c-e9c3e8b2dd55" descr=""/>
                        <pic:cNvPicPr/>
                      </pic:nvPicPr>
                      <pic:blipFill>
                        <a:blip r:embed="rId2"/>
                        <a:stretch/>
                      </pic:blipFill>
                      <pic:spPr>
                        <a:xfrm>
                          <a:off x="0" y="0"/>
                          <a:ext cx="36360" cy="36360"/>
                        </a:xfrm>
                        <a:prstGeom prst="rect">
                          <a:avLst/>
                        </a:prstGeom>
                        <a:ln w="936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58b75701-863e-4267-9a7c-e9c3e8b2dd55" stroked="f" o:allowincell="f" style="position:absolute;margin-left:0pt;margin-top:0pt;width:2.8pt;height:2.8pt;mso-wrap-style:none;v-text-anchor:middle" type="_x0000_t75">
                <v:imagedata r:id="rId2" o:detectmouseclick="t"/>
                <v:stroke color="black" weight="9360" joinstyle="round" endcap="flat"/>
                <w10:wrap type="square"/>
              </v:shape>
            </w:pict>
          </mc:Fallback>
        </mc:AlternateContent>
      </w:r>
      <w:r>
        <w:rPr>
          <w:b/>
          <w:bCs/>
          <w:sz w:val="24"/>
          <w:szCs w:val="24"/>
        </w:rPr>
        <w:t>OBJEDNÁVKA</w:t>
      </w:r>
      <w:r>
        <w:rPr>
          <w:b/>
          <w:bCs/>
          <w:sz w:val="24"/>
          <w:szCs w:val="24"/>
        </w:rPr>
        <w:tab/>
      </w:r>
      <w:r>
        <w:rPr>
          <w:b/>
          <w:bCs/>
          <w:sz w:val="24"/>
          <w:szCs w:val="24"/>
        </w:rPr>
        <w:fldChar w:fldCharType="begin"/>
      </w:r>
      <w:r>
        <w:rPr>
          <w:sz w:val="24"/>
          <w:b/>
          <w:szCs w:val="24"/>
          <w:bCs/>
        </w:rPr>
        <w:instrText xml:space="preserve"> FILLIN "objednavkaCislo"</w:instrText>
      </w:r>
      <w:r>
        <w:rPr>
          <w:sz w:val="24"/>
          <w:b/>
          <w:szCs w:val="24"/>
          <w:bCs/>
        </w:rPr>
        <w:fldChar w:fldCharType="separate"/>
      </w:r>
      <w:r>
        <w:rPr>
          <w:sz w:val="24"/>
          <w:b/>
          <w:szCs w:val="24"/>
          <w:bCs/>
        </w:rPr>
        <w:t>00102/12/2024</w:t>
      </w:r>
      <w:r>
        <w:rPr>
          <w:sz w:val="24"/>
          <w:b/>
          <w:szCs w:val="24"/>
          <w:bCs/>
        </w:rPr>
        <w:fldChar w:fldCharType="end"/>
      </w:r>
    </w:p>
    <w:tbl>
      <w:tblPr>
        <w:tblW w:w="10211" w:type="dxa"/>
        <w:jc w:val="left"/>
        <w:tblInd w:w="-10" w:type="dxa"/>
        <w:tblLayout w:type="fixed"/>
        <w:tblCellMar>
          <w:top w:w="55" w:type="dxa"/>
          <w:left w:w="55" w:type="dxa"/>
          <w:bottom w:w="55" w:type="dxa"/>
          <w:right w:w="55" w:type="dxa"/>
        </w:tblCellMar>
      </w:tblPr>
      <w:tblGrid>
        <w:gridCol w:w="5102"/>
        <w:gridCol w:w="5109"/>
      </w:tblGrid>
      <w:tr>
        <w:trPr>
          <w:trHeight w:val="54" w:hRule="atLeast"/>
        </w:trPr>
        <w:tc>
          <w:tcPr>
            <w:tcW w:w="5102" w:type="dxa"/>
            <w:vMerge w:val="restart"/>
            <w:tcBorders>
              <w:top w:val="single" w:sz="8" w:space="0" w:color="000000"/>
              <w:left w:val="single" w:sz="8" w:space="0" w:color="000000"/>
              <w:bottom w:val="single" w:sz="4" w:space="0" w:color="000000"/>
            </w:tcBorders>
          </w:tcPr>
          <w:p>
            <w:pPr>
              <w:pStyle w:val="Obsahtabulky"/>
              <w:suppressLineNumbers/>
              <w:tabs>
                <w:tab w:val="clear" w:pos="708"/>
                <w:tab w:val="left" w:pos="11" w:leader="none"/>
              </w:tabs>
              <w:spacing w:before="113" w:after="0"/>
              <w:ind w:left="113" w:right="0" w:hanging="0"/>
              <w:rPr>
                <w:rFonts w:ascii="Times New Roman" w:hAnsi="Times New Roman"/>
                <w:sz w:val="20"/>
                <w:szCs w:val="20"/>
              </w:rPr>
            </w:pPr>
            <w:r>
              <w:rPr>
                <w:sz w:val="20"/>
                <w:szCs w:val="20"/>
              </w:rPr>
              <w:t>Odběratel</w:t>
            </w:r>
            <w:r>
              <w:rPr>
                <w:sz w:val="20"/>
                <w:szCs w:val="20"/>
              </w:rPr>
              <w:t>:</w:t>
            </w:r>
          </w:p>
          <w:p>
            <w:pPr>
              <w:pStyle w:val="Obsahtabulky"/>
              <w:suppressLineNumbers/>
              <w:tabs>
                <w:tab w:val="clear" w:pos="708"/>
                <w:tab w:val="left" w:pos="11" w:leader="none"/>
              </w:tabs>
              <w:spacing w:before="113"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"parSchOrgNazev"</w:instrText>
            </w:r>
            <w:r>
              <w:rPr>
                <w:sz w:val="20"/>
                <w:b/>
                <w:szCs w:val="20"/>
                <w:bCs/>
              </w:rPr>
              <w:fldChar w:fldCharType="separate"/>
            </w:r>
            <w:r>
              <w:rPr>
                <w:sz w:val="20"/>
                <w:b/>
                <w:szCs w:val="20"/>
                <w:bCs/>
              </w:rPr>
              <w:t>MĚSTO NÁCHOD</w:t>
            </w:r>
            <w:r>
              <w:rPr>
                <w:sz w:val="20"/>
                <w:b/>
                <w:szCs w:val="20"/>
                <w:bCs/>
              </w:rPr>
              <w:fldChar w:fldCharType="end"/>
            </w:r>
          </w:p>
          <w:p>
            <w:pPr>
              <w:pStyle w:val="Obsahtabulky"/>
              <w:suppressLineNumbers/>
              <w:tabs>
                <w:tab w:val="clear" w:pos="708"/>
                <w:tab w:val="left" w:pos="11" w:leader="none"/>
              </w:tabs>
              <w:spacing w:before="0" w:after="0"/>
              <w:ind w:left="113" w:right="0" w:hanging="0"/>
              <w:rPr>
                <w:rFonts w:ascii="Times New Roman" w:hAnsi="Times New Roman"/>
                <w:sz w:val="20"/>
                <w:szCs w:val="20"/>
              </w:rPr>
            </w:pPr>
            <w:r>
              <w:rPr>
                <w:b/>
                <w:bCs/>
                <w:sz w:val="20"/>
                <w:szCs w:val="20"/>
              </w:rPr>
              <w:fldChar w:fldCharType="begin"/>
            </w:r>
            <w:r>
              <w:rPr>
                <w:sz w:val="20"/>
                <w:b/>
                <w:szCs w:val="20"/>
                <w:bCs/>
              </w:rPr>
              <w:instrText xml:space="preserve"> FILLIN "parSchOrgUlice"</w:instrText>
            </w:r>
            <w:r>
              <w:rPr>
                <w:sz w:val="20"/>
                <w:b/>
                <w:szCs w:val="20"/>
                <w:bCs/>
              </w:rPr>
              <w:fldChar w:fldCharType="separate"/>
            </w:r>
            <w:r>
              <w:rPr>
                <w:sz w:val="20"/>
                <w:b/>
                <w:szCs w:val="20"/>
                <w:bCs/>
              </w:rPr>
              <w:t>Masarykovo náměstí</w:t>
            </w:r>
            <w:r>
              <w:rPr>
                <w:sz w:val="20"/>
                <w:b/>
                <w:szCs w:val="20"/>
                <w:bCs/>
              </w:rPr>
              <w:fldChar w:fldCharType="end"/>
            </w:r>
            <w:r>
              <w:rPr>
                <w:b/>
                <w:bCs/>
                <w:sz w:val="20"/>
                <w:szCs w:val="20"/>
              </w:rPr>
              <w:t xml:space="preserve"> </w:t>
            </w:r>
            <w:r>
              <w:rPr>
                <w:b/>
                <w:bCs/>
                <w:sz w:val="20"/>
                <w:szCs w:val="20"/>
              </w:rPr>
              <w:fldChar w:fldCharType="begin"/>
            </w:r>
            <w:r>
              <w:rPr>
                <w:sz w:val="20"/>
                <w:b/>
                <w:szCs w:val="20"/>
                <w:bCs/>
              </w:rPr>
              <w:instrText xml:space="preserve"> FILLIN "parSchOrgCisDom"</w:instrText>
            </w:r>
            <w:r>
              <w:rPr>
                <w:sz w:val="20"/>
                <w:b/>
                <w:szCs w:val="20"/>
                <w:bCs/>
              </w:rPr>
              <w:fldChar w:fldCharType="separate"/>
            </w:r>
            <w:r>
              <w:rPr>
                <w:sz w:val="20"/>
                <w:b/>
                <w:szCs w:val="20"/>
                <w:bCs/>
              </w:rPr>
              <w:t>40</w:t>
            </w:r>
            <w:r>
              <w:rPr>
                <w:sz w:val="20"/>
                <w:b/>
                <w:szCs w:val="20"/>
                <w:bCs/>
              </w:rPr>
              <w:fldChar w:fldCharType="end"/>
            </w:r>
            <w:r>
              <w:rPr>
                <w:b/>
                <w:bCs/>
                <w:sz w:val="20"/>
                <w:szCs w:val="20"/>
              </w:rPr>
              <w:t xml:space="preserve"> </w:t>
            </w:r>
            <w:r>
              <w:rPr>
                <w:b/>
                <w:bCs/>
                <w:sz w:val="20"/>
                <w:szCs w:val="20"/>
              </w:rPr>
              <w:fldChar w:fldCharType="begin"/>
            </w:r>
            <w:r>
              <w:rPr>
                <w:sz w:val="20"/>
                <w:b/>
                <w:szCs w:val="20"/>
                <w:bCs/>
              </w:rPr>
              <w:instrText xml:space="preserve"> FILLIN "parSchOrgCp"</w:instrText>
            </w:r>
            <w:r>
              <w:rPr>
                <w:sz w:val="20"/>
                <w:b/>
                <w:szCs w:val="20"/>
                <w:bCs/>
              </w:rPr>
              <w:fldChar w:fldCharType="separate"/>
            </w:r>
            <w:r>
              <w:rPr>
                <w:sz w:val="20"/>
                <w:b/>
                <w:szCs w:val="20"/>
                <w:bCs/>
              </w:rPr>
            </w:r>
            <w:r>
              <w:rPr>
                <w:sz w:val="20"/>
                <w:b/>
                <w:szCs w:val="20"/>
                <w:bCs/>
              </w:rPr>
              <w:fldChar w:fldCharType="end"/>
            </w:r>
          </w:p>
          <w:p>
            <w:pPr>
              <w:pStyle w:val="Obsahtabulky"/>
              <w:suppressLineNumbers/>
              <w:tabs>
                <w:tab w:val="clear" w:pos="708"/>
                <w:tab w:val="left" w:pos="11" w:leader="none"/>
              </w:tabs>
              <w:spacing w:before="0" w:after="0"/>
              <w:ind w:left="113" w:right="0" w:hanging="0"/>
              <w:rPr>
                <w:rFonts w:ascii="Times New Roman" w:hAnsi="Times New Roman"/>
                <w:sz w:val="20"/>
                <w:szCs w:val="20"/>
              </w:rPr>
            </w:pPr>
            <w:r>
              <w:rPr>
                <w:b/>
                <w:bCs/>
                <w:sz w:val="20"/>
                <w:szCs w:val="20"/>
              </w:rPr>
              <w:fldChar w:fldCharType="begin"/>
            </w:r>
            <w:r>
              <w:rPr>
                <w:sz w:val="20"/>
                <w:b/>
                <w:szCs w:val="20"/>
                <w:bCs/>
              </w:rPr>
              <w:instrText xml:space="preserve"> FILLIN "parSchOrgPsc"</w:instrText>
            </w:r>
            <w:r>
              <w:rPr>
                <w:sz w:val="20"/>
                <w:b/>
                <w:szCs w:val="20"/>
                <w:bCs/>
              </w:rPr>
              <w:fldChar w:fldCharType="separate"/>
            </w:r>
            <w:r>
              <w:rPr>
                <w:sz w:val="20"/>
                <w:b/>
                <w:szCs w:val="20"/>
                <w:bCs/>
              </w:rPr>
              <w:t>547 01</w:t>
            </w:r>
            <w:r>
              <w:rPr>
                <w:sz w:val="20"/>
                <w:b/>
                <w:szCs w:val="20"/>
                <w:bCs/>
              </w:rPr>
              <w:fldChar w:fldCharType="end"/>
            </w:r>
            <w:r>
              <w:rPr>
                <w:b/>
                <w:bCs/>
                <w:sz w:val="20"/>
                <w:szCs w:val="20"/>
              </w:rPr>
              <w:t xml:space="preserve"> </w:t>
            </w:r>
            <w:r>
              <w:rPr>
                <w:b/>
                <w:bCs/>
                <w:sz w:val="20"/>
                <w:szCs w:val="20"/>
              </w:rPr>
              <w:fldChar w:fldCharType="begin"/>
            </w:r>
            <w:r>
              <w:rPr>
                <w:sz w:val="20"/>
                <w:b/>
                <w:szCs w:val="20"/>
                <w:bCs/>
              </w:rPr>
              <w:instrText xml:space="preserve"> FILLIN "parSchOrgNazevObec"</w:instrText>
            </w:r>
            <w:r>
              <w:rPr>
                <w:sz w:val="20"/>
                <w:b/>
                <w:szCs w:val="20"/>
                <w:bCs/>
              </w:rPr>
              <w:fldChar w:fldCharType="separate"/>
            </w:r>
            <w:r>
              <w:rPr>
                <w:sz w:val="20"/>
                <w:b/>
                <w:szCs w:val="20"/>
                <w:bCs/>
              </w:rPr>
              <w:t>Náchod</w:t>
            </w:r>
            <w:r>
              <w:rPr>
                <w:sz w:val="20"/>
                <w:b/>
                <w:szCs w:val="20"/>
                <w:bCs/>
              </w:rPr>
              <w:fldChar w:fldCharType="end"/>
            </w:r>
          </w:p>
          <w:p>
            <w:pPr>
              <w:pStyle w:val="Obsahtabulky"/>
              <w:suppressLineNumbers/>
              <w:tabs>
                <w:tab w:val="clear" w:pos="708"/>
                <w:tab w:val="left" w:pos="11" w:leader="none"/>
              </w:tabs>
              <w:spacing w:before="57" w:after="0"/>
              <w:ind w:left="113" w:right="0" w:hanging="0"/>
              <w:rPr>
                <w:rFonts w:ascii="Times New Roman" w:hAnsi="Times New Roman"/>
                <w:sz w:val="20"/>
                <w:szCs w:val="20"/>
              </w:rPr>
            </w:pPr>
            <w:r>
              <w:rPr>
                <w:b w:val="false"/>
                <w:bCs w:val="false"/>
                <w:sz w:val="20"/>
                <w:szCs w:val="20"/>
              </w:rPr>
              <w:t>IČO:</w:t>
              <w:tab/>
            </w:r>
            <w:r>
              <w:rPr>
                <w:b w:val="false"/>
                <w:bCs w:val="false"/>
                <w:sz w:val="20"/>
                <w:szCs w:val="20"/>
              </w:rPr>
              <w:fldChar w:fldCharType="begin"/>
            </w:r>
            <w:r>
              <w:rPr>
                <w:sz w:val="20"/>
                <w:b w:val="false"/>
                <w:szCs w:val="20"/>
                <w:bCs w:val="false"/>
              </w:rPr>
              <w:instrText xml:space="preserve"> FILLIN "parSchOrgIco"</w:instrText>
            </w:r>
            <w:r>
              <w:rPr>
                <w:sz w:val="20"/>
                <w:b w:val="false"/>
                <w:szCs w:val="20"/>
                <w:bCs w:val="false"/>
              </w:rPr>
              <w:fldChar w:fldCharType="separate"/>
            </w:r>
            <w:r>
              <w:rPr>
                <w:sz w:val="20"/>
                <w:b w:val="false"/>
                <w:szCs w:val="20"/>
                <w:bCs w:val="false"/>
              </w:rPr>
              <w:t>00272868</w:t>
            </w:r>
            <w:r>
              <w:rPr>
                <w:sz w:val="20"/>
                <w:b w:val="false"/>
                <w:szCs w:val="20"/>
                <w:bCs w:val="false"/>
              </w:rPr>
              <w:fldChar w:fldCharType="end"/>
            </w:r>
          </w:p>
          <w:p>
            <w:pPr>
              <w:pStyle w:val="Obsahtabulky"/>
              <w:suppressLineNumbers/>
              <w:tabs>
                <w:tab w:val="clear" w:pos="708"/>
                <w:tab w:val="left" w:pos="11" w:leader="none"/>
              </w:tabs>
              <w:spacing w:before="0" w:after="0"/>
              <w:ind w:left="113" w:right="0" w:hanging="0"/>
              <w:rPr>
                <w:rFonts w:ascii="Times New Roman" w:hAnsi="Times New Roman"/>
                <w:sz w:val="20"/>
                <w:szCs w:val="20"/>
              </w:rPr>
            </w:pPr>
            <w:r>
              <w:rPr>
                <w:b w:val="false"/>
                <w:bCs w:val="false"/>
                <w:sz w:val="20"/>
                <w:szCs w:val="20"/>
              </w:rPr>
              <w:t>DIČ:</w:t>
              <w:tab/>
            </w:r>
            <w:r>
              <w:rPr>
                <w:b w:val="false"/>
                <w:bCs w:val="false"/>
                <w:sz w:val="20"/>
                <w:szCs w:val="20"/>
              </w:rPr>
              <w:fldChar w:fldCharType="begin"/>
            </w:r>
            <w:r>
              <w:rPr>
                <w:sz w:val="20"/>
                <w:b w:val="false"/>
                <w:szCs w:val="20"/>
                <w:bCs w:val="false"/>
              </w:rPr>
              <w:instrText xml:space="preserve"> FILLIN "ekouctParamDic"</w:instrText>
            </w:r>
            <w:r>
              <w:rPr>
                <w:sz w:val="20"/>
                <w:b w:val="false"/>
                <w:szCs w:val="20"/>
                <w:bCs w:val="false"/>
              </w:rPr>
              <w:fldChar w:fldCharType="separate"/>
            </w:r>
            <w:r>
              <w:rPr>
                <w:sz w:val="20"/>
                <w:b w:val="false"/>
                <w:szCs w:val="20"/>
                <w:bCs w:val="false"/>
              </w:rPr>
              <w:t>CZ00272868</w:t>
            </w:r>
            <w:r>
              <w:rPr>
                <w:sz w:val="20"/>
                <w:b w:val="false"/>
                <w:szCs w:val="20"/>
                <w:bCs w:val="false"/>
              </w:rPr>
              <w:fldChar w:fldCharType="end"/>
            </w:r>
          </w:p>
          <w:p>
            <w:pPr>
              <w:pStyle w:val="Obsahtabulky"/>
              <w:rPr>
                <w:rFonts w:ascii="Times New Roman" w:hAnsi="Times New Roman"/>
                <w:b w:val="false"/>
                <w:b w:val="false"/>
                <w:bCs w:val="false"/>
                <w:sz w:val="20"/>
                <w:szCs w:val="20"/>
              </w:rPr>
            </w:pPr>
            <w:r>
              <w:rPr>
                <w:b w:val="false"/>
                <w:bCs w:val="false"/>
                <w:sz w:val="20"/>
                <w:szCs w:val="20"/>
              </w:rPr>
            </w:r>
          </w:p>
          <w:p>
            <w:pPr>
              <w:pStyle w:val="Obsahtabulky"/>
              <w:suppressLineNumbers/>
              <w:tabs>
                <w:tab w:val="clear" w:pos="708"/>
              </w:tabs>
              <w:spacing w:before="57" w:after="0"/>
              <w:ind w:left="113" w:right="0" w:hanging="0"/>
              <w:rPr>
                <w:rFonts w:ascii="Times New Roman" w:hAnsi="Times New Roman"/>
                <w:color w:val="auto"/>
                <w:sz w:val="20"/>
                <w:szCs w:val="20"/>
              </w:rPr>
            </w:pPr>
            <w:r>
              <w:rPr>
                <w:color w:val="auto"/>
                <w:sz w:val="20"/>
                <w:szCs w:val="20"/>
              </w:rPr>
              <w:t xml:space="preserve">Telefon: </w:t>
            </w:r>
            <w:r>
              <w:rPr>
                <w:color w:val="auto"/>
                <w:sz w:val="20"/>
                <w:szCs w:val="20"/>
              </w:rPr>
              <w:fldChar w:fldCharType="begin"/>
            </w:r>
            <w:r>
              <w:rPr>
                <w:sz w:val="20"/>
                <w:szCs w:val="20"/>
                <w:color w:val="auto"/>
              </w:rPr>
              <w:instrText xml:space="preserve"> FILLIN "parSchOrgTel1"</w:instrText>
            </w:r>
            <w:r>
              <w:rPr>
                <w:sz w:val="20"/>
                <w:szCs w:val="20"/>
                <w:color w:val="auto"/>
              </w:rPr>
              <w:fldChar w:fldCharType="separate"/>
            </w:r>
            <w:r>
              <w:rPr>
                <w:sz w:val="20"/>
                <w:szCs w:val="20"/>
                <w:color w:val="auto"/>
              </w:rPr>
              <w:t>+420 491 405 111</w:t>
            </w:r>
            <w:r>
              <w:rPr>
                <w:sz w:val="20"/>
                <w:szCs w:val="20"/>
                <w:color w:val="auto"/>
              </w:rPr>
              <w:fldChar w:fldCharType="end"/>
            </w:r>
          </w:p>
          <w:p>
            <w:pPr>
              <w:pStyle w:val="Obsahtabulky"/>
              <w:suppressLineNumbers/>
              <w:tabs>
                <w:tab w:val="clear" w:pos="708"/>
              </w:tabs>
              <w:ind w:left="113" w:right="0" w:hanging="0"/>
              <w:rPr>
                <w:rFonts w:ascii="Verdana" w:hAnsi="Verdana"/>
                <w:sz w:val="16"/>
                <w:szCs w:val="16"/>
              </w:rPr>
            </w:pPr>
            <w:r>
              <w:rPr>
                <w:color w:val="auto"/>
                <w:sz w:val="20"/>
                <w:szCs w:val="20"/>
              </w:rPr>
              <w:t xml:space="preserve">E-mail: </w:t>
            </w:r>
            <w:hyperlink r:id="rId3">
              <w:r>
                <w:rPr>
                  <w:rStyle w:val="Internetovodkaz"/>
                  <w:color w:val="000080"/>
                  <w:sz w:val="20"/>
                  <w:szCs w:val="20"/>
                </w:rPr>
                <w:fldChar w:fldCharType="begin"/>
              </w:r>
              <w:r>
                <w:rPr>
                  <w:rStyle w:val="Internetovodkaz"/>
                  <w:sz w:val="20"/>
                  <w:szCs w:val="20"/>
                  <w:color w:val="000080"/>
                </w:rPr>
                <w:instrText xml:space="preserve"> FILLIN "parSchOrgEmail"</w:instrText>
              </w:r>
              <w:r>
                <w:rPr>
                  <w:rStyle w:val="Internetovodkaz"/>
                  <w:sz w:val="20"/>
                  <w:szCs w:val="20"/>
                  <w:color w:val="000080"/>
                </w:rPr>
                <w:fldChar w:fldCharType="separate"/>
              </w:r>
              <w:r>
                <w:rPr>
                  <w:rStyle w:val="Internetovodkaz"/>
                  <w:sz w:val="20"/>
                  <w:szCs w:val="20"/>
                  <w:color w:val="000080"/>
                </w:rPr>
                <w:t>podatelna@mestonachod.cz</w:t>
              </w:r>
              <w:r>
                <w:rPr>
                  <w:rStyle w:val="Internetovodkaz"/>
                  <w:sz w:val="20"/>
                  <w:szCs w:val="20"/>
                  <w:color w:val="000080"/>
                </w:rPr>
                <w:fldChar w:fldCharType="end"/>
              </w:r>
            </w:hyperlink>
          </w:p>
          <w:p>
            <w:pPr>
              <w:pStyle w:val="Obsahtabulky"/>
              <w:suppressLineNumbers/>
              <w:tabs>
                <w:tab w:val="clear" w:pos="708"/>
              </w:tabs>
              <w:spacing w:before="0" w:after="113"/>
              <w:ind w:left="113" w:right="0" w:hanging="0"/>
              <w:rPr>
                <w:rFonts w:ascii="Times New Roman" w:hAnsi="Times New Roman"/>
                <w:color w:val="auto"/>
                <w:sz w:val="20"/>
                <w:szCs w:val="20"/>
              </w:rPr>
            </w:pPr>
            <w:r>
              <w:rPr>
                <w:color w:val="auto"/>
                <w:sz w:val="20"/>
                <w:szCs w:val="20"/>
              </w:rPr>
              <w:fldChar w:fldCharType="begin"/>
            </w:r>
            <w:r>
              <w:rPr>
                <w:sz w:val="20"/>
                <w:szCs w:val="20"/>
                <w:color w:val="auto"/>
              </w:rPr>
              <w:instrText xml:space="preserve"> FILLIN "parSchOrgweb"</w:instrText>
            </w:r>
            <w:r>
              <w:rPr>
                <w:sz w:val="20"/>
                <w:szCs w:val="20"/>
                <w:color w:val="auto"/>
              </w:rPr>
              <w:fldChar w:fldCharType="separate"/>
            </w:r>
            <w:r>
              <w:rPr>
                <w:sz w:val="20"/>
                <w:szCs w:val="20"/>
                <w:color w:val="auto"/>
              </w:rPr>
              <w:t>www.mestonachod.cz</w:t>
            </w:r>
            <w:r>
              <w:rPr>
                <w:sz w:val="20"/>
                <w:szCs w:val="20"/>
                <w:color w:val="auto"/>
              </w:rPr>
              <w:fldChar w:fldCharType="end"/>
            </w:r>
          </w:p>
        </w:tc>
        <w:tc>
          <w:tcPr>
            <w:tcW w:w="5109" w:type="dxa"/>
            <w:tcBorders>
              <w:top w:val="single" w:sz="8" w:space="0" w:color="000000"/>
              <w:left w:val="single" w:sz="4" w:space="0" w:color="000000"/>
              <w:bottom w:val="single" w:sz="4" w:space="0" w:color="000000"/>
              <w:right w:val="single" w:sz="8" w:space="0" w:color="000000"/>
            </w:tcBorders>
          </w:tcPr>
          <w:p>
            <w:pPr>
              <w:pStyle w:val="Obsahtabulky"/>
              <w:suppressLineNumbers/>
              <w:tabs>
                <w:tab w:val="clear" w:pos="708"/>
                <w:tab w:val="left" w:pos="1650" w:leader="none"/>
              </w:tabs>
              <w:spacing w:before="57" w:after="0"/>
              <w:ind w:left="113" w:right="0" w:hanging="0"/>
              <w:rPr>
                <w:rFonts w:ascii="Times New Roman" w:hAnsi="Times New Roman"/>
                <w:b w:val="false"/>
                <w:b w:val="false"/>
                <w:bCs w:val="false"/>
                <w:sz w:val="20"/>
                <w:szCs w:val="20"/>
              </w:rPr>
            </w:pPr>
            <w:r>
              <w:rPr>
                <w:b w:val="false"/>
                <w:bCs w:val="false"/>
                <w:sz w:val="20"/>
                <w:szCs w:val="20"/>
              </w:rPr>
            </w:r>
          </w:p>
        </w:tc>
      </w:tr>
      <w:tr>
        <w:trPr>
          <w:trHeight w:val="2132" w:hRule="atLeast"/>
        </w:trPr>
        <w:tc>
          <w:tcPr>
            <w:tcW w:w="5102" w:type="dxa"/>
            <w:vMerge w:val="continue"/>
            <w:tcBorders>
              <w:top w:val="single" w:sz="8" w:space="0" w:color="000000"/>
              <w:left w:val="single" w:sz="8" w:space="0" w:color="000000"/>
              <w:bottom w:val="single" w:sz="4" w:space="0" w:color="000000"/>
            </w:tcBorders>
          </w:tcPr>
          <w:p>
            <w:pPr>
              <w:pStyle w:val="Normal"/>
              <w:rPr/>
            </w:pPr>
            <w:r>
              <w:rPr/>
            </w:r>
          </w:p>
        </w:tc>
        <w:tc>
          <w:tcPr>
            <w:tcW w:w="5109" w:type="dxa"/>
            <w:tcBorders>
              <w:top w:val="single" w:sz="20" w:space="0" w:color="000000"/>
              <w:left w:val="single" w:sz="20" w:space="0" w:color="000000"/>
              <w:bottom w:val="single" w:sz="20" w:space="0" w:color="000000"/>
              <w:right w:val="single" w:sz="20" w:space="0" w:color="000000"/>
            </w:tcBorders>
          </w:tcPr>
          <w:p>
            <w:pPr>
              <w:pStyle w:val="Obsahtabulky"/>
              <w:suppressLineNumbers/>
              <w:tabs>
                <w:tab w:val="clear" w:pos="708"/>
              </w:tabs>
              <w:spacing w:before="113" w:after="0"/>
              <w:ind w:left="113" w:right="0" w:hanging="0"/>
              <w:rPr>
                <w:rFonts w:ascii="Times New Roman" w:hAnsi="Times New Roman"/>
                <w:sz w:val="20"/>
                <w:szCs w:val="20"/>
              </w:rPr>
            </w:pPr>
            <w:r>
              <w:rPr>
                <w:b w:val="false"/>
                <w:bCs w:val="false"/>
                <w:sz w:val="20"/>
                <w:szCs w:val="20"/>
              </w:rPr>
              <w:t>Dodavatel</w:t>
            </w:r>
            <w:r>
              <w:rPr>
                <w:b w:val="false"/>
                <w:bCs w:val="false"/>
                <w:sz w:val="20"/>
                <w:szCs w:val="20"/>
              </w:rPr>
              <w:t>:</w:t>
            </w:r>
          </w:p>
          <w:p>
            <w:pPr>
              <w:pStyle w:val="Obsahtabulky"/>
              <w:suppressLineNumbers/>
              <w:tabs>
                <w:tab w:val="clear" w:pos="708"/>
              </w:tabs>
              <w:spacing w:before="57"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"adrObjednavkaDodavatel1"</w:instrText>
            </w:r>
            <w:r>
              <w:rPr>
                <w:sz w:val="20"/>
                <w:b/>
                <w:szCs w:val="20"/>
                <w:bCs/>
              </w:rPr>
              <w:fldChar w:fldCharType="separate"/>
            </w:r>
            <w:r>
              <w:rPr>
                <w:sz w:val="20"/>
                <w:b/>
                <w:szCs w:val="20"/>
                <w:bCs/>
              </w:rPr>
              <w:t>ALUROL spol. s.r.o.</w:t>
            </w:r>
            <w:r>
              <w:rPr>
                <w:sz w:val="20"/>
                <w:b/>
                <w:szCs w:val="20"/>
                <w:bCs/>
              </w:rPr>
              <w:fldChar w:fldCharType="end"/>
            </w:r>
          </w:p>
          <w:p>
            <w:pPr>
              <w:pStyle w:val="Obsahtabulky"/>
              <w:suppressLineNumbers/>
              <w:tabs>
                <w:tab w:val="clear" w:pos="708"/>
              </w:tabs>
              <w:spacing w:before="0"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"adrObjednavkaDodavatel2"</w:instrText>
            </w:r>
            <w:r>
              <w:rPr>
                <w:sz w:val="20"/>
                <w:b/>
                <w:szCs w:val="20"/>
                <w:bCs/>
              </w:rPr>
              <w:fldChar w:fldCharType="separate"/>
            </w:r>
            <w:r>
              <w:rPr>
                <w:sz w:val="20"/>
                <w:b/>
                <w:szCs w:val="20"/>
                <w:bCs/>
              </w:rPr>
              <w:t>Kpt. Jaroše 469</w:t>
            </w:r>
            <w:r>
              <w:rPr>
                <w:sz w:val="20"/>
                <w:b/>
                <w:szCs w:val="20"/>
                <w:bCs/>
              </w:rPr>
              <w:fldChar w:fldCharType="end"/>
            </w:r>
          </w:p>
          <w:p>
            <w:pPr>
              <w:pStyle w:val="Obsahtabulky"/>
              <w:suppressLineNumbers/>
              <w:tabs>
                <w:tab w:val="clear" w:pos="708"/>
              </w:tabs>
              <w:spacing w:before="0"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"adrObjednavkaDodavatel3"</w:instrText>
            </w:r>
            <w:r>
              <w:rPr>
                <w:sz w:val="20"/>
                <w:b/>
                <w:szCs w:val="20"/>
                <w:bCs/>
              </w:rPr>
              <w:fldChar w:fldCharType="separate"/>
            </w:r>
            <w:r>
              <w:rPr>
                <w:sz w:val="20"/>
                <w:b/>
                <w:szCs w:val="20"/>
                <w:bCs/>
              </w:rPr>
              <w:t>549 01 Nové Město nad Metují</w:t>
            </w:r>
            <w:r>
              <w:rPr>
                <w:sz w:val="20"/>
                <w:b/>
                <w:szCs w:val="20"/>
                <w:bCs/>
              </w:rPr>
              <w:fldChar w:fldCharType="end"/>
            </w:r>
          </w:p>
          <w:p>
            <w:pPr>
              <w:pStyle w:val="Obsahtabulky"/>
              <w:suppressLineNumbers/>
              <w:tabs>
                <w:tab w:val="clear" w:pos="708"/>
              </w:tabs>
              <w:spacing w:before="0"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"adrObjednavkaDodavatel4"</w:instrText>
            </w:r>
            <w:r>
              <w:rPr>
                <w:sz w:val="20"/>
                <w:b/>
                <w:szCs w:val="20"/>
                <w:bCs/>
              </w:rPr>
              <w:fldChar w:fldCharType="separate"/>
            </w:r>
            <w:r>
              <w:rPr>
                <w:sz w:val="20"/>
                <w:b/>
                <w:szCs w:val="20"/>
                <w:bCs/>
              </w:rPr>
            </w:r>
            <w:r>
              <w:rPr>
                <w:sz w:val="20"/>
                <w:b/>
                <w:szCs w:val="20"/>
                <w:bCs/>
              </w:rPr>
              <w:fldChar w:fldCharType="end"/>
            </w:r>
          </w:p>
          <w:p>
            <w:pPr>
              <w:pStyle w:val="Obsahtabulky"/>
              <w:suppressLineNumbers/>
              <w:spacing w:before="0" w:after="0"/>
              <w:ind w:left="113" w:right="0" w:hanging="0"/>
              <w:rPr>
                <w:rFonts w:ascii="Times New Roman" w:hAnsi="Times New Roman"/>
                <w:b/>
                <w:b/>
                <w:bCs/>
                <w:sz w:val="20"/>
                <w:szCs w:val="20"/>
              </w:rPr>
            </w:pPr>
            <w:r>
              <w:rPr>
                <w:b/>
                <w:bCs/>
                <w:sz w:val="20"/>
                <w:szCs w:val="20"/>
              </w:rPr>
            </w:r>
          </w:p>
          <w:p>
            <w:pPr>
              <w:pStyle w:val="Obsahtabulky"/>
              <w:suppressLineNumbers/>
              <w:tabs>
                <w:tab w:val="clear" w:pos="708"/>
                <w:tab w:val="left" w:pos="2861" w:leader="none"/>
                <w:tab w:val="left" w:pos="3043" w:leader="none"/>
                <w:tab w:val="left" w:pos="3161" w:leader="none"/>
              </w:tabs>
              <w:spacing w:before="0" w:after="57"/>
              <w:ind w:left="113" w:right="0" w:hanging="0"/>
              <w:rPr>
                <w:rFonts w:ascii="Times New Roman" w:hAnsi="Times New Roman"/>
                <w:b w:val="false"/>
                <w:b w:val="false"/>
                <w:bCs w:val="false"/>
                <w:sz w:val="20"/>
                <w:szCs w:val="20"/>
              </w:rPr>
            </w:pPr>
            <w:r>
              <w:rPr>
                <w:b w:val="false"/>
                <w:bCs w:val="false"/>
                <w:sz w:val="20"/>
                <w:szCs w:val="20"/>
              </w:rPr>
              <w:t xml:space="preserve">IČO: </w:t>
            </w:r>
            <w:r>
              <w:rPr>
                <w:b w:val="false"/>
                <w:bCs w:val="false"/>
                <w:sz w:val="20"/>
                <w:szCs w:val="20"/>
              </w:rPr>
              <w:fldChar w:fldCharType="begin"/>
            </w:r>
            <w:r>
              <w:rPr>
                <w:sz w:val="20"/>
                <w:b w:val="false"/>
                <w:szCs w:val="20"/>
                <w:bCs w:val="false"/>
              </w:rPr>
              <w:instrText xml:space="preserve"> FILLIN "adrIcoAdresat"</w:instrText>
            </w:r>
            <w:r>
              <w:rPr>
                <w:sz w:val="20"/>
                <w:b w:val="false"/>
                <w:szCs w:val="20"/>
                <w:bCs w:val="false"/>
              </w:rPr>
              <w:fldChar w:fldCharType="separate"/>
            </w:r>
            <w:r>
              <w:rPr>
                <w:sz w:val="20"/>
                <w:b w:val="false"/>
                <w:szCs w:val="20"/>
                <w:bCs w:val="false"/>
              </w:rPr>
              <w:t>44500106</w:t>
            </w:r>
            <w:r>
              <w:rPr>
                <w:sz w:val="20"/>
                <w:b w:val="false"/>
                <w:szCs w:val="20"/>
                <w:bCs w:val="false"/>
              </w:rPr>
              <w:fldChar w:fldCharType="end"/>
            </w:r>
            <w:r>
              <w:rPr>
                <w:b w:val="false"/>
                <w:bCs w:val="false"/>
                <w:sz w:val="20"/>
                <w:szCs w:val="20"/>
              </w:rPr>
              <w:tab/>
              <w:t xml:space="preserve">DIČ: </w:t>
            </w:r>
            <w:r>
              <w:rPr>
                <w:b w:val="false"/>
                <w:bCs w:val="false"/>
                <w:sz w:val="20"/>
                <w:szCs w:val="20"/>
              </w:rPr>
              <w:fldChar w:fldCharType="begin"/>
            </w:r>
            <w:r>
              <w:rPr>
                <w:sz w:val="20"/>
                <w:b w:val="false"/>
                <w:szCs w:val="20"/>
                <w:bCs w:val="false"/>
              </w:rPr>
              <w:instrText xml:space="preserve"> FILLIN "adrDicAdresat"</w:instrText>
            </w:r>
            <w:r>
              <w:rPr>
                <w:sz w:val="20"/>
                <w:b w:val="false"/>
                <w:szCs w:val="20"/>
                <w:bCs w:val="false"/>
              </w:rPr>
              <w:fldChar w:fldCharType="separate"/>
            </w:r>
            <w:r>
              <w:rPr>
                <w:sz w:val="20"/>
                <w:b w:val="false"/>
                <w:szCs w:val="20"/>
                <w:bCs w:val="false"/>
              </w:rPr>
            </w:r>
            <w:r>
              <w:rPr>
                <w:sz w:val="20"/>
                <w:b w:val="false"/>
                <w:szCs w:val="20"/>
                <w:bCs w:val="false"/>
              </w:rPr>
              <w:fldChar w:fldCharType="end"/>
            </w:r>
          </w:p>
        </w:tc>
      </w:tr>
      <w:tr>
        <w:trPr>
          <w:trHeight w:val="761" w:hRule="atLeast"/>
        </w:trPr>
        <w:tc>
          <w:tcPr>
            <w:tcW w:w="5102" w:type="dxa"/>
            <w:tcBorders>
              <w:left w:val="single" w:sz="8" w:space="0" w:color="000000"/>
              <w:bottom w:val="single" w:sz="8" w:space="0" w:color="000000"/>
            </w:tcBorders>
          </w:tcPr>
          <w:p>
            <w:pPr>
              <w:pStyle w:val="Normal"/>
              <w:suppressLineNumbers/>
              <w:bidi w:val="0"/>
              <w:spacing w:before="0" w:after="0"/>
              <w:ind w:left="0" w:right="0" w:hanging="0"/>
              <w:rPr>
                <w:rFonts w:ascii="Times New Roman" w:hAnsi="Times New Roman" w:cs="Arial"/>
                <w:sz w:val="20"/>
                <w:szCs w:val="20"/>
                <w:shd w:fill="auto" w:val="clear"/>
              </w:rPr>
            </w:pPr>
            <w:r>
              <w:rPr>
                <w:rFonts w:cs="Arial"/>
                <w:sz w:val="20"/>
                <w:szCs w:val="20"/>
                <w:shd w:fill="auto" w:val="clear"/>
              </w:rPr>
              <w:t>PID:</w:t>
              <w:tab/>
              <w:tab/>
            </w:r>
            <w:r>
              <w:rPr>
                <w:rFonts w:cs="Arial"/>
                <w:color w:val="000000"/>
                <w:sz w:val="20"/>
                <w:szCs w:val="20"/>
                <w:shd w:fill="auto" w:val="clear"/>
              </w:rPr>
              <w:t>MUNAX011NFDB</w:t>
            </w:r>
          </w:p>
          <w:p>
            <w:pPr>
              <w:pStyle w:val="Normal"/>
              <w:bidi w:val="0"/>
              <w:spacing w:before="0" w:after="0"/>
              <w:ind w:left="0" w:right="0" w:hanging="0"/>
              <w:rPr>
                <w:rFonts w:ascii="Times New Roman" w:hAnsi="Times New Roman"/>
                <w:sz w:val="20"/>
                <w:szCs w:val="20"/>
                <w:shd w:fill="auto" w:val="clear"/>
              </w:rPr>
            </w:pPr>
            <w:r>
              <w:rPr>
                <w:rFonts w:cs="Arial"/>
                <w:sz w:val="20"/>
                <w:szCs w:val="20"/>
                <w:shd w:fill="auto" w:val="clear"/>
              </w:rPr>
              <w:t>Sp.zn.:</w:t>
            </w:r>
            <w:r>
              <w:rPr>
                <w:rFonts w:cs="Arial"/>
                <w:color w:val="70AD47"/>
                <w:sz w:val="20"/>
                <w:szCs w:val="20"/>
                <w:shd w:fill="auto" w:val="clear"/>
              </w:rPr>
              <w:tab/>
              <w:tab/>
            </w:r>
            <w:r>
              <w:rPr>
                <w:rFonts w:cs="Arial"/>
                <w:color w:val="000000"/>
                <w:sz w:val="20"/>
                <w:szCs w:val="20"/>
                <w:shd w:fill="auto" w:val="clear"/>
              </w:rPr>
              <w:t>KS  14503/2023 INV</w:t>
            </w:r>
          </w:p>
          <w:p>
            <w:pPr>
              <w:pStyle w:val="Normal"/>
              <w:bidi w:val="0"/>
              <w:spacing w:before="0" w:after="0"/>
              <w:ind w:left="0" w:right="0" w:hanging="0"/>
              <w:rPr>
                <w:rFonts w:ascii="Times New Roman" w:hAnsi="Times New Roman"/>
                <w:sz w:val="20"/>
                <w:szCs w:val="20"/>
                <w:shd w:fill="FFFF00" w:val="clear"/>
              </w:rPr>
            </w:pPr>
            <w:r>
              <w:rPr>
                <w:rFonts w:cs="Arial"/>
                <w:sz w:val="20"/>
                <w:szCs w:val="20"/>
                <w:shd w:fill="auto" w:val="clear"/>
              </w:rPr>
              <w:t>Čj. (Če.):</w:t>
            </w:r>
            <w:r>
              <w:rPr>
                <w:rFonts w:cs="Arial"/>
                <w:color w:val="70AD47"/>
                <w:sz w:val="20"/>
                <w:szCs w:val="20"/>
                <w:shd w:fill="auto" w:val="clear"/>
              </w:rPr>
              <w:tab/>
            </w:r>
            <w:r>
              <w:rPr>
                <w:rFonts w:cs="Arial"/>
                <w:b w:val="false"/>
                <w:bCs w:val="false"/>
                <w:color w:val="000000"/>
                <w:sz w:val="20"/>
                <w:szCs w:val="20"/>
                <w:shd w:fill="auto" w:val="clear"/>
              </w:rPr>
              <w:fldChar w:fldCharType="begin"/>
            </w:r>
            <w:r>
              <w:rPr>
                <w:sz w:val="20"/>
                <w:b w:val="false"/>
                <w:shd w:fill="auto" w:val="clear"/>
                <w:szCs w:val="20"/>
                <w:bCs w:val="false"/>
                <w:rFonts w:cs="Arial"/>
                <w:color w:val="000000"/>
              </w:rPr>
              <w:instrText xml:space="preserve"> FILLIN "objednavkaCisloJednaci"</w:instrText>
            </w:r>
            <w:r>
              <w:rPr>
                <w:sz w:val="20"/>
                <w:b w:val="false"/>
                <w:shd w:fill="auto" w:val="clear"/>
                <w:szCs w:val="20"/>
                <w:bCs w:val="false"/>
                <w:rFonts w:cs="Arial"/>
                <w:color w:val="000000"/>
              </w:rPr>
              <w:fldChar w:fldCharType="separate"/>
            </w:r>
            <w:r>
              <w:rPr>
                <w:sz w:val="20"/>
                <w:b w:val="false"/>
                <w:shd w:fill="auto" w:val="clear"/>
                <w:szCs w:val="20"/>
                <w:bCs w:val="false"/>
                <w:rFonts w:cs="Arial"/>
                <w:color w:val="000000"/>
              </w:rPr>
              <w:t>MUNAC 86577/2024</w:t>
            </w:r>
            <w:r>
              <w:rPr>
                <w:sz w:val="20"/>
                <w:b w:val="false"/>
                <w:shd w:fill="auto" w:val="clear"/>
                <w:szCs w:val="20"/>
                <w:bCs w:val="false"/>
                <w:rFonts w:cs="Arial"/>
                <w:color w:val="000000"/>
              </w:rPr>
              <w:fldChar w:fldCharType="end"/>
            </w:r>
          </w:p>
          <w:p>
            <w:pPr>
              <w:pStyle w:val="Normal"/>
              <w:bidi w:val="0"/>
              <w:spacing w:before="0" w:after="0"/>
              <w:ind w:left="0" w:right="0" w:hanging="0"/>
              <w:rPr>
                <w:rFonts w:ascii="Times New Roman" w:hAnsi="Times New Roman"/>
                <w:sz w:val="20"/>
                <w:szCs w:val="20"/>
              </w:rPr>
            </w:pPr>
            <w:r>
              <w:rPr>
                <w:rFonts w:cs="Arial"/>
                <w:sz w:val="20"/>
                <w:szCs w:val="20"/>
                <w:shd w:fill="auto" w:val="clear"/>
              </w:rPr>
              <w:t>Vyřizuje:</w:t>
            </w:r>
            <w:r>
              <w:rPr>
                <w:rFonts w:cs="Arial"/>
                <w:color w:val="70AD47"/>
                <w:sz w:val="20"/>
                <w:szCs w:val="20"/>
                <w:shd w:fill="auto" w:val="clear"/>
              </w:rPr>
              <w:t xml:space="preserve"> </w:t>
              <w:tab/>
            </w:r>
          </w:p>
          <w:p>
            <w:pPr>
              <w:pStyle w:val="Normal"/>
              <w:bidi w:val="0"/>
              <w:spacing w:before="0" w:after="0"/>
              <w:ind w:left="0" w:right="0" w:hanging="0"/>
              <w:rPr>
                <w:rFonts w:ascii="Times New Roman" w:hAnsi="Times New Roman" w:cs="Arial"/>
                <w:b w:val="false"/>
                <w:b w:val="false"/>
                <w:bCs w:val="false"/>
                <w:color w:val="auto"/>
                <w:sz w:val="20"/>
                <w:szCs w:val="20"/>
                <w:shd w:fill="auto" w:val="clear"/>
              </w:rPr>
            </w:pPr>
            <w:r>
              <w:rPr>
                <w:rFonts w:cs="Arial"/>
                <w:b w:val="false"/>
                <w:bCs w:val="false"/>
                <w:color w:val="000000"/>
                <w:sz w:val="20"/>
                <w:szCs w:val="20"/>
                <w:shd w:fill="auto" w:val="clear"/>
              </w:rPr>
              <w:t xml:space="preserve">Telefon:  </w:t>
              <w:tab/>
            </w:r>
          </w:p>
          <w:p>
            <w:pPr>
              <w:pStyle w:val="Normal"/>
              <w:bidi w:val="0"/>
              <w:spacing w:before="0" w:after="0"/>
              <w:ind w:left="0" w:right="0" w:hanging="0"/>
              <w:rPr>
                <w:rFonts w:ascii="Times New Roman" w:hAnsi="Times New Roman" w:cs="Arial"/>
                <w:sz w:val="20"/>
                <w:szCs w:val="20"/>
              </w:rPr>
            </w:pPr>
            <w:r>
              <w:rPr>
                <w:rFonts w:cs="Arial"/>
                <w:sz w:val="20"/>
                <w:szCs w:val="20"/>
              </w:rPr>
              <w:t>E-mail:</w:t>
              <w:tab/>
              <w:t xml:space="preserve"> </w:t>
              <w:tab/>
              <w:t>podatelna@mestonachod.cz</w:t>
            </w:r>
          </w:p>
          <w:p>
            <w:pPr>
              <w:pStyle w:val="Normal"/>
              <w:suppressLineNumbers/>
              <w:spacing w:before="57" w:after="0"/>
              <w:ind w:left="113" w:right="0" w:hanging="0"/>
              <w:rPr>
                <w:rFonts w:ascii="Times New Roman" w:hAnsi="Times New Roman"/>
                <w:sz w:val="20"/>
                <w:szCs w:val="20"/>
              </w:rPr>
            </w:pPr>
            <w:r>
              <w:rPr>
                <w:sz w:val="20"/>
                <w:szCs w:val="20"/>
              </w:rPr>
            </w:r>
          </w:p>
        </w:tc>
        <w:tc>
          <w:tcPr>
            <w:tcW w:w="5109" w:type="dxa"/>
            <w:tcBorders>
              <w:left w:val="single" w:sz="4" w:space="0" w:color="000000"/>
              <w:bottom w:val="single" w:sz="8" w:space="0" w:color="000000"/>
              <w:right w:val="single" w:sz="8" w:space="0" w:color="000000"/>
            </w:tcBorders>
          </w:tcPr>
          <w:p>
            <w:pPr>
              <w:pStyle w:val="Obsahtabulky"/>
              <w:suppressLineNumbers/>
              <w:tabs>
                <w:tab w:val="clear" w:pos="708"/>
                <w:tab w:val="left" w:pos="1586" w:leader="none"/>
              </w:tabs>
              <w:spacing w:before="0" w:after="0"/>
              <w:ind w:left="0" w:right="0" w:hanging="0"/>
              <w:jc w:val="left"/>
              <w:rPr>
                <w:rFonts w:ascii="Times New Roman" w:hAnsi="Times New Roman"/>
                <w:b w:val="false"/>
                <w:b w:val="false"/>
                <w:bCs w:val="false"/>
                <w:sz w:val="20"/>
                <w:szCs w:val="20"/>
              </w:rPr>
            </w:pPr>
            <w:r>
              <w:rPr>
                <w:b w:val="false"/>
                <w:bCs w:val="false"/>
                <w:sz w:val="20"/>
                <w:szCs w:val="20"/>
              </w:rPr>
            </w:r>
          </w:p>
          <w:p>
            <w:pPr>
              <w:pStyle w:val="Obsahtabulky"/>
              <w:suppressLineNumbers/>
              <w:tabs>
                <w:tab w:val="clear" w:pos="708"/>
                <w:tab w:val="left" w:pos="1586" w:leader="none"/>
              </w:tabs>
              <w:spacing w:before="0" w:after="0"/>
              <w:ind w:left="0" w:right="0" w:hanging="0"/>
              <w:jc w:val="left"/>
              <w:rPr>
                <w:rFonts w:ascii="Times New Roman" w:hAnsi="Times New Roman"/>
                <w:sz w:val="20"/>
                <w:szCs w:val="20"/>
              </w:rPr>
            </w:pPr>
            <w:r>
              <w:rPr>
                <w:b w:val="false"/>
                <w:bCs w:val="false"/>
                <w:sz w:val="20"/>
                <w:szCs w:val="20"/>
              </w:rPr>
              <w:t>Datum vystavení:</w:t>
              <w:tab/>
            </w:r>
            <w:r>
              <w:rPr>
                <w:b w:val="false"/>
                <w:bCs w:val="false"/>
                <w:sz w:val="20"/>
                <w:szCs w:val="20"/>
              </w:rPr>
              <w:fldChar w:fldCharType="begin"/>
            </w:r>
            <w:r>
              <w:rPr>
                <w:sz w:val="20"/>
                <w:b w:val="false"/>
                <w:szCs w:val="20"/>
                <w:bCs w:val="false"/>
              </w:rPr>
              <w:instrText xml:space="preserve"> FILLIN "objednavkaVystaveni"</w:instrText>
            </w:r>
            <w:r>
              <w:rPr>
                <w:sz w:val="20"/>
                <w:b w:val="false"/>
                <w:szCs w:val="20"/>
                <w:bCs w:val="false"/>
              </w:rPr>
              <w:fldChar w:fldCharType="separate"/>
            </w:r>
            <w:r>
              <w:rPr>
                <w:sz w:val="20"/>
                <w:b w:val="false"/>
                <w:szCs w:val="20"/>
                <w:bCs w:val="false"/>
              </w:rPr>
              <w:t>26.6.2024</w:t>
            </w:r>
            <w:r>
              <w:rPr>
                <w:sz w:val="20"/>
                <w:b w:val="false"/>
                <w:szCs w:val="20"/>
                <w:bCs w:val="false"/>
              </w:rPr>
              <w:fldChar w:fldCharType="end"/>
            </w:r>
          </w:p>
        </w:tc>
      </w:tr>
    </w:tbl>
    <w:p>
      <w:pPr>
        <w:pStyle w:val="Normal"/>
        <w:suppressLineNumbers/>
        <w:bidi w:val="0"/>
        <w:spacing w:before="0" w:after="0"/>
        <w:ind w:left="0" w:right="0" w:hanging="0"/>
        <w:jc w:val="both"/>
        <w:rPr>
          <w:rFonts w:ascii="Times New Roman" w:hAnsi="Times New Roman" w:cs="Arial"/>
          <w:b w:val="false"/>
          <w:b w:val="false"/>
          <w:bCs w:val="false"/>
          <w:sz w:val="20"/>
          <w:szCs w:val="20"/>
        </w:rPr>
      </w:pPr>
      <w:r>
        <w:rPr>
          <w:rFonts w:cs="Arial"/>
          <w:b w:val="false"/>
          <w:bCs w:val="false"/>
          <w:sz w:val="20"/>
          <w:szCs w:val="20"/>
        </w:rPr>
      </w:r>
    </w:p>
    <w:p>
      <w:pPr>
        <w:pStyle w:val="Normal"/>
        <w:suppressLineNumbers/>
        <w:bidi w:val="0"/>
        <w:spacing w:before="0" w:after="0"/>
        <w:ind w:left="0" w:right="0" w:hanging="0"/>
        <w:jc w:val="both"/>
        <w:rPr>
          <w:rFonts w:ascii="Times New Roman" w:hAnsi="Times New Roman" w:cs="Arial"/>
          <w:b w:val="false"/>
          <w:b w:val="false"/>
          <w:bCs w:val="false"/>
          <w:sz w:val="20"/>
          <w:szCs w:val="20"/>
        </w:rPr>
      </w:pPr>
      <w:r>
        <w:rPr>
          <w:rFonts w:cs="Arial"/>
          <w:b w:val="false"/>
          <w:bCs w:val="false"/>
          <w:sz w:val="20"/>
          <w:szCs w:val="20"/>
        </w:rPr>
        <w:t>Vážení,</w:t>
      </w:r>
      <w:r>
        <w:rPr>
          <w:rFonts w:cs="Arial"/>
          <w:b w:val="false"/>
          <w:bCs w:val="false"/>
          <w:sz w:val="20"/>
          <w:szCs w:val="20"/>
        </w:rPr>
        <w:fldChar w:fldCharType="begin"/>
      </w:r>
      <w:r>
        <w:rPr>
          <w:sz w:val="20"/>
          <w:b w:val="false"/>
          <w:szCs w:val="20"/>
          <w:bCs w:val="false"/>
          <w:rFonts w:cs="Arial"/>
        </w:rPr>
        <w:instrText xml:space="preserve"> FILLIN "objednavkaText"</w:instrText>
      </w:r>
      <w:r>
        <w:rPr>
          <w:sz w:val="20"/>
          <w:b w:val="false"/>
          <w:szCs w:val="20"/>
          <w:bCs w:val="false"/>
          <w:rFonts w:cs="Arial"/>
        </w:rPr>
        <w:fldChar w:fldCharType="separate"/>
      </w:r>
      <w:r>
        <w:rPr>
          <w:sz w:val="20"/>
          <w:b w:val="false"/>
          <w:szCs w:val="20"/>
          <w:bCs w:val="false"/>
          <w:rFonts w:cs="Arial"/>
        </w:rPr>
      </w:r>
      <w:r>
        <w:rPr>
          <w:sz w:val="20"/>
          <w:b w:val="false"/>
          <w:szCs w:val="20"/>
          <w:bCs w:val="false"/>
          <w:rFonts w:cs="Arial"/>
        </w:rPr>
        <w:fldChar w:fldCharType="end"/>
      </w:r>
    </w:p>
    <w:p>
      <w:pPr>
        <w:pStyle w:val="Standard"/>
        <w:bidi w:val="0"/>
        <w:spacing w:before="113" w:after="0"/>
        <w:ind w:left="0" w:right="0" w:hanging="0"/>
        <w:rPr/>
      </w:pPr>
      <w:r>
        <w:rPr>
          <w:sz w:val="20"/>
          <w:szCs w:val="20"/>
        </w:rPr>
        <w:t xml:space="preserve">město Náchod objednává u Vás </w:t>
      </w:r>
      <w:r>
        <w:rPr>
          <w:sz w:val="20"/>
          <w:szCs w:val="20"/>
        </w:rPr>
        <w:t xml:space="preserve">provedení venkovních žaluzií </w:t>
      </w:r>
      <w:r>
        <w:rPr>
          <w:rFonts w:cs="Arial"/>
          <w:bCs/>
          <w:color w:val="000000"/>
          <w:sz w:val="20"/>
          <w:szCs w:val="20"/>
        </w:rPr>
        <w:t>na oknech</w:t>
      </w:r>
      <w:r>
        <w:rPr>
          <w:rFonts w:cs="Arial"/>
          <w:color w:val="000000"/>
          <w:sz w:val="20"/>
          <w:szCs w:val="20"/>
        </w:rPr>
        <w:t xml:space="preserve"> na jižní straně budovy Mateřské školy, Náchod, Vančurova 1345</w:t>
      </w:r>
      <w:r>
        <w:rPr>
          <w:sz w:val="20"/>
          <w:szCs w:val="20"/>
        </w:rPr>
        <w:t xml:space="preserve"> </w:t>
      </w:r>
      <w:r>
        <w:rPr>
          <w:color w:val="auto"/>
          <w:sz w:val="20"/>
          <w:szCs w:val="20"/>
        </w:rPr>
        <w:t xml:space="preserve">dle Vaší cenové nabídky č. </w:t>
      </w:r>
      <w:r>
        <w:rPr>
          <w:rFonts w:cs="Arial"/>
          <w:color w:val="auto"/>
          <w:sz w:val="20"/>
          <w:szCs w:val="20"/>
        </w:rPr>
        <w:t>13</w:t>
      </w:r>
      <w:r>
        <w:rPr>
          <w:rFonts w:cs="Arial"/>
          <w:color w:val="auto"/>
          <w:sz w:val="20"/>
          <w:szCs w:val="20"/>
        </w:rPr>
        <w:t>7</w:t>
      </w:r>
      <w:r>
        <w:rPr>
          <w:rFonts w:cs="Arial"/>
          <w:color w:val="auto"/>
          <w:sz w:val="20"/>
          <w:szCs w:val="20"/>
        </w:rPr>
        <w:t>5/</w:t>
      </w:r>
      <w:r>
        <w:rPr>
          <w:rFonts w:cs="Arial"/>
          <w:color w:val="auto"/>
          <w:sz w:val="20"/>
          <w:szCs w:val="20"/>
        </w:rPr>
        <w:t xml:space="preserve">24/Gerboc </w:t>
      </w:r>
      <w:r>
        <w:rPr>
          <w:color w:val="auto"/>
          <w:sz w:val="20"/>
          <w:szCs w:val="20"/>
        </w:rPr>
        <w:t xml:space="preserve">ze dne </w:t>
      </w:r>
      <w:r>
        <w:rPr>
          <w:color w:val="auto"/>
          <w:sz w:val="20"/>
          <w:szCs w:val="20"/>
        </w:rPr>
        <w:t>20.6.2024</w:t>
      </w:r>
      <w:r>
        <w:rPr>
          <w:color w:val="auto"/>
          <w:sz w:val="20"/>
          <w:szCs w:val="20"/>
        </w:rPr>
        <w:t>:</w:t>
      </w:r>
    </w:p>
    <w:p>
      <w:pPr>
        <w:pStyle w:val="Textbody"/>
        <w:bidi w:val="0"/>
        <w:spacing w:before="113" w:after="0"/>
        <w:ind w:left="0" w:right="0" w:hanging="0"/>
        <w:rPr>
          <w:rFonts w:ascii="Times New Roman" w:hAnsi="Times New Roman"/>
          <w:sz w:val="20"/>
          <w:szCs w:val="20"/>
        </w:rPr>
      </w:pPr>
      <w:r>
        <w:rPr>
          <w:sz w:val="20"/>
          <w:szCs w:val="20"/>
        </w:rPr>
        <w:t xml:space="preserve">za celkovou cenu díla ve výši </w:t>
      </w:r>
      <w:r>
        <w:rPr>
          <w:sz w:val="20"/>
          <w:szCs w:val="20"/>
        </w:rPr>
        <w:t>193 030,32</w:t>
      </w:r>
      <w:r>
        <w:rPr>
          <w:color w:val="auto"/>
          <w:sz w:val="20"/>
          <w:szCs w:val="20"/>
        </w:rPr>
        <w:t xml:space="preserve"> </w:t>
      </w:r>
      <w:r>
        <w:rPr>
          <w:rFonts w:eastAsia="SimSun" w:cs="Times New Roman"/>
          <w:color w:val="000000"/>
          <w:kern w:val="2"/>
          <w:sz w:val="20"/>
          <w:szCs w:val="20"/>
          <w:shd w:fill="auto" w:val="clear"/>
          <w:lang w:val="cs-CZ" w:eastAsia="zh-CN" w:bidi="hi-IN"/>
        </w:rPr>
        <w:t xml:space="preserve">Kč bez DPH, tj. </w:t>
      </w:r>
      <w:r>
        <w:rPr>
          <w:rFonts w:eastAsia="SimSun" w:cs="Times New Roman"/>
          <w:color w:val="000000"/>
          <w:kern w:val="2"/>
          <w:sz w:val="20"/>
          <w:szCs w:val="20"/>
          <w:shd w:fill="auto" w:val="clear"/>
          <w:lang w:val="cs-CZ" w:eastAsia="zh-CN" w:bidi="hi-IN"/>
        </w:rPr>
        <w:t xml:space="preserve">233 566,69 </w:t>
      </w:r>
      <w:r>
        <w:rPr>
          <w:rFonts w:eastAsia="SimSun" w:cs="Times New Roman"/>
          <w:color w:val="000000"/>
          <w:kern w:val="2"/>
          <w:sz w:val="20"/>
          <w:szCs w:val="20"/>
          <w:shd w:fill="auto" w:val="clear"/>
          <w:lang w:val="cs-CZ" w:eastAsia="zh-CN" w:bidi="hi-IN"/>
        </w:rPr>
        <w:t>Kč vč</w:t>
      </w:r>
      <w:r>
        <w:rPr>
          <w:rFonts w:eastAsia="SimSun" w:cs="Times New Roman"/>
          <w:color w:val="000000"/>
          <w:kern w:val="2"/>
          <w:sz w:val="20"/>
          <w:szCs w:val="20"/>
          <w:shd w:fill="auto" w:val="clear"/>
          <w:lang w:val="cs-CZ" w:eastAsia="zh-CN" w:bidi="hi-IN"/>
        </w:rPr>
        <w:t xml:space="preserve">etně </w:t>
      </w:r>
      <w:r>
        <w:rPr>
          <w:rFonts w:eastAsia="SimSun" w:cs="Times New Roman"/>
          <w:color w:val="000000"/>
          <w:kern w:val="2"/>
          <w:sz w:val="20"/>
          <w:szCs w:val="20"/>
          <w:shd w:fill="auto" w:val="clear"/>
          <w:lang w:val="cs-CZ" w:eastAsia="zh-CN" w:bidi="hi-IN"/>
        </w:rPr>
        <w:t>21%</w:t>
      </w:r>
      <w:r>
        <w:rPr>
          <w:rFonts w:eastAsia="SimSun" w:cs="Times New Roman"/>
          <w:color w:val="000000"/>
          <w:kern w:val="2"/>
          <w:sz w:val="20"/>
          <w:szCs w:val="20"/>
          <w:shd w:fill="auto" w:val="clear"/>
          <w:lang w:val="cs-CZ" w:eastAsia="zh-CN" w:bidi="hi-IN"/>
        </w:rPr>
        <w:t xml:space="preserve"> DPH,</w:t>
      </w:r>
    </w:p>
    <w:p>
      <w:pPr>
        <w:pStyle w:val="Textbody"/>
        <w:bidi w:val="0"/>
        <w:spacing w:before="113" w:after="0"/>
        <w:ind w:left="0" w:right="0" w:hanging="0"/>
        <w:rPr>
          <w:rFonts w:ascii="Times New Roman" w:hAnsi="Times New Roman"/>
          <w:sz w:val="20"/>
          <w:szCs w:val="20"/>
        </w:rPr>
      </w:pPr>
      <w:r>
        <w:rPr>
          <w:sz w:val="20"/>
          <w:szCs w:val="20"/>
        </w:rPr>
        <w:t>a to s termíny provedení díla sjednanými takto:</w:t>
      </w:r>
    </w:p>
    <w:p>
      <w:pPr>
        <w:pStyle w:val="Textbody"/>
        <w:bidi w:val="0"/>
        <w:spacing w:before="0" w:after="0"/>
        <w:ind w:left="0" w:right="0" w:hanging="0"/>
        <w:rPr>
          <w:rFonts w:ascii="Times New Roman" w:hAnsi="Times New Roman"/>
          <w:sz w:val="20"/>
          <w:szCs w:val="20"/>
        </w:rPr>
      </w:pPr>
      <w:r>
        <w:rPr>
          <w:sz w:val="20"/>
          <w:szCs w:val="20"/>
        </w:rPr>
        <w:t xml:space="preserve">- dokončení díla nejpozději do </w:t>
      </w:r>
      <w:r>
        <w:rPr>
          <w:color w:val="auto"/>
          <w:sz w:val="20"/>
          <w:szCs w:val="20"/>
        </w:rPr>
        <w:t>13.9.2024,</w:t>
      </w:r>
    </w:p>
    <w:p>
      <w:pPr>
        <w:pStyle w:val="Textbody"/>
        <w:bidi w:val="0"/>
        <w:spacing w:before="0" w:after="0"/>
        <w:ind w:left="0" w:right="0" w:hanging="0"/>
        <w:rPr>
          <w:rFonts w:ascii="Times New Roman" w:hAnsi="Times New Roman"/>
          <w:sz w:val="20"/>
          <w:szCs w:val="20"/>
        </w:rPr>
      </w:pPr>
      <w:r>
        <w:rPr>
          <w:sz w:val="20"/>
          <w:szCs w:val="20"/>
        </w:rPr>
        <w:t xml:space="preserve">- vyklizení staveniště a předání díla nejpozději do </w:t>
      </w:r>
      <w:r>
        <w:rPr>
          <w:rFonts w:cs="Arial"/>
          <w:color w:val="auto"/>
          <w:sz w:val="20"/>
          <w:szCs w:val="20"/>
        </w:rPr>
        <w:t>13.9.2024.</w:t>
      </w:r>
    </w:p>
    <w:p>
      <w:pPr>
        <w:pStyle w:val="Obsahtabulky"/>
        <w:suppressLineNumbers/>
        <w:spacing w:before="113" w:after="0"/>
        <w:ind w:left="57" w:right="0" w:hanging="0"/>
        <w:rPr>
          <w:rFonts w:ascii="Times New Roman" w:hAnsi="Times New Roman"/>
          <w:b w:val="false"/>
          <w:b w:val="false"/>
          <w:bCs w:val="false"/>
          <w:sz w:val="20"/>
          <w:szCs w:val="20"/>
        </w:rPr>
      </w:pPr>
      <w:r>
        <w:rPr>
          <w:b w:val="false"/>
          <w:bCs w:val="false"/>
          <w:sz w:val="20"/>
          <w:szCs w:val="20"/>
        </w:rPr>
        <w:fldChar w:fldCharType="begin"/>
      </w:r>
      <w:r>
        <w:rPr>
          <w:sz w:val="20"/>
          <w:b w:val="false"/>
          <w:szCs w:val="20"/>
          <w:bCs w:val="false"/>
        </w:rPr>
        <w:instrText xml:space="preserve"> FILLIN "objednavkaHorniText"</w:instrText>
      </w:r>
      <w:r>
        <w:rPr>
          <w:sz w:val="20"/>
          <w:b w:val="false"/>
          <w:szCs w:val="20"/>
          <w:bCs w:val="false"/>
        </w:rPr>
        <w:fldChar w:fldCharType="separate"/>
      </w:r>
      <w:r>
        <w:rPr>
          <w:sz w:val="20"/>
          <w:b w:val="false"/>
          <w:szCs w:val="20"/>
          <w:bCs w:val="false"/>
        </w:rPr>
      </w:r>
      <w:r>
        <w:rPr>
          <w:sz w:val="20"/>
          <w:b w:val="false"/>
          <w:szCs w:val="20"/>
          <w:bCs w:val="false"/>
        </w:rPr>
        <w:fldChar w:fldCharType="end"/>
      </w:r>
    </w:p>
    <w:p>
      <w:pPr>
        <w:pStyle w:val="Obsahtabulky"/>
        <w:suppressLineNumbers/>
        <w:spacing w:before="57" w:after="0"/>
        <w:ind w:left="113" w:right="0" w:hanging="0"/>
        <w:rPr>
          <w:rFonts w:ascii="Times New Roman" w:hAnsi="Times New Roman"/>
          <w:b w:val="false"/>
          <w:b w:val="false"/>
          <w:bCs w:val="false"/>
          <w:color w:val="auto"/>
          <w:sz w:val="20"/>
          <w:szCs w:val="20"/>
        </w:rPr>
      </w:pPr>
      <w:r>
        <w:rPr>
          <w:b/>
          <w:bCs/>
          <w:color w:val="auto"/>
          <w:sz w:val="20"/>
          <w:szCs w:val="20"/>
        </w:rPr>
        <w:t>REKAPITULACE:</w:t>
      </w:r>
      <w:r>
        <w:rPr>
          <w:b w:val="false"/>
          <w:bCs w:val="false"/>
          <w:color w:val="auto"/>
          <w:sz w:val="20"/>
          <w:szCs w:val="20"/>
        </w:rPr>
        <w:t xml:space="preserve"> </w:t>
      </w:r>
    </w:p>
    <w:tbl>
      <w:tblPr>
        <w:tblW w:w="10200" w:type="dxa"/>
        <w:jc w:val="left"/>
        <w:tblInd w:w="12" w:type="dxa"/>
        <w:tblLayout w:type="fixed"/>
        <w:tblCellMar>
          <w:top w:w="55" w:type="dxa"/>
          <w:left w:w="55" w:type="dxa"/>
          <w:bottom w:w="55" w:type="dxa"/>
          <w:right w:w="55" w:type="dxa"/>
        </w:tblCellMar>
      </w:tblPr>
      <w:tblGrid>
        <w:gridCol w:w="2834"/>
        <w:gridCol w:w="948"/>
        <w:gridCol w:w="916"/>
        <w:gridCol w:w="1114"/>
        <w:gridCol w:w="1279"/>
        <w:gridCol w:w="763"/>
        <w:gridCol w:w="1068"/>
        <w:gridCol w:w="1278"/>
      </w:tblGrid>
      <w:tr>
        <w:trPr/>
        <w:tc>
          <w:tcPr>
            <w:tcW w:w="2834" w:type="dxa"/>
            <w:tcBorders>
              <w:bottom w:val="single" w:sz="2" w:space="0" w:color="000000"/>
            </w:tcBorders>
          </w:tcPr>
          <w:p>
            <w:pPr>
              <w:pStyle w:val="Obsahtabulky"/>
              <w:suppressLineNumbers/>
              <w:ind w:left="57" w:right="0" w:hanging="0"/>
              <w:jc w:val="left"/>
              <w:rPr>
                <w:rFonts w:ascii="Times New Roman" w:hAnsi="Times New Roman"/>
                <w:sz w:val="20"/>
                <w:szCs w:val="20"/>
              </w:rPr>
            </w:pPr>
            <w:r>
              <w:rPr>
                <w:sz w:val="20"/>
                <w:szCs w:val="20"/>
              </w:rPr>
              <w:t>Označení dodávky</w:t>
            </w:r>
          </w:p>
        </w:tc>
        <w:tc>
          <w:tcPr>
            <w:tcW w:w="948" w:type="dxa"/>
            <w:tcBorders>
              <w:bottom w:val="single" w:sz="2" w:space="0" w:color="000000"/>
            </w:tcBorders>
          </w:tcPr>
          <w:p>
            <w:pPr>
              <w:pStyle w:val="Obsahtabulky"/>
              <w:suppressLineNumbers/>
              <w:ind w:left="0" w:right="0" w:hanging="0"/>
              <w:jc w:val="center"/>
              <w:rPr>
                <w:rFonts w:ascii="Times New Roman" w:hAnsi="Times New Roman"/>
                <w:sz w:val="20"/>
                <w:szCs w:val="20"/>
              </w:rPr>
            </w:pPr>
            <w:r>
              <w:rPr>
                <w:sz w:val="20"/>
                <w:szCs w:val="20"/>
              </w:rPr>
              <w:t>MJ</w:t>
            </w:r>
          </w:p>
        </w:tc>
        <w:tc>
          <w:tcPr>
            <w:tcW w:w="916"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Množství</w:t>
            </w:r>
          </w:p>
        </w:tc>
        <w:tc>
          <w:tcPr>
            <w:tcW w:w="1114"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Cena za jed</w:t>
            </w:r>
            <w:r>
              <w:rPr>
                <w:sz w:val="20"/>
                <w:szCs w:val="20"/>
              </w:rPr>
              <w:t>notku</w:t>
            </w:r>
          </w:p>
        </w:tc>
        <w:tc>
          <w:tcPr>
            <w:tcW w:w="1279"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Cena bez DPH</w:t>
            </w:r>
          </w:p>
        </w:tc>
        <w:tc>
          <w:tcPr>
            <w:tcW w:w="763"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DPH %</w:t>
            </w:r>
          </w:p>
        </w:tc>
        <w:tc>
          <w:tcPr>
            <w:tcW w:w="1068"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DPH Kč</w:t>
            </w:r>
          </w:p>
        </w:tc>
        <w:tc>
          <w:tcPr>
            <w:tcW w:w="1278"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 xml:space="preserve">Cena </w:t>
            </w:r>
            <w:r>
              <w:rPr>
                <w:sz w:val="20"/>
                <w:szCs w:val="20"/>
              </w:rPr>
              <w:t>včetně</w:t>
            </w:r>
            <w:r>
              <w:rPr>
                <w:sz w:val="20"/>
                <w:szCs w:val="20"/>
              </w:rPr>
              <w:t xml:space="preserve"> DPH</w:t>
            </w:r>
          </w:p>
        </w:tc>
      </w:tr>
      <w:tr>
        <w:trPr/>
        <w:tc>
          <w:tcPr>
            <w:tcW w:w="2834" w:type="dxa"/>
            <w:tcBorders/>
          </w:tcPr>
          <w:p>
            <w:pPr>
              <w:pStyle w:val="Obsahtabulky"/>
              <w:suppressLineNumbers/>
              <w:ind w:left="57" w:right="0" w:hanging="0"/>
              <w:rPr>
                <w:rFonts w:ascii="Times New Roman" w:hAnsi="Times New Roman"/>
                <w:b/>
                <w:b/>
                <w:bCs/>
                <w:sz w:val="20"/>
                <w:szCs w:val="20"/>
              </w:rPr>
            </w:pPr>
            <w:r>
              <w:rPr>
                <w:b/>
                <w:bCs/>
                <w:sz w:val="20"/>
                <w:szCs w:val="20"/>
              </w:rPr>
              <w:fldChar w:fldCharType="begin"/>
            </w:r>
            <w:r>
              <w:rPr>
                <w:sz w:val="20"/>
                <w:b/>
                <w:szCs w:val="20"/>
                <w:bCs/>
              </w:rPr>
              <w:instrText xml:space="preserve"> FILLIN "polozkaObjednavkyNazev"</w:instrText>
            </w:r>
            <w:r>
              <w:rPr>
                <w:sz w:val="20"/>
                <w:b/>
                <w:szCs w:val="20"/>
                <w:bCs/>
              </w:rPr>
              <w:fldChar w:fldCharType="separate"/>
            </w:r>
            <w:r>
              <w:rPr>
                <w:sz w:val="20"/>
                <w:b/>
                <w:szCs w:val="20"/>
                <w:bCs/>
              </w:rPr>
              <w:t xml:space="preserve">12_3111_205_6121 MŠ Vančurova </w:t>
            </w:r>
            <w:r>
              <w:rPr>
                <w:sz w:val="20"/>
                <w:b/>
                <w:szCs w:val="20"/>
                <w:bCs/>
              </w:rPr>
              <w:fldChar w:fldCharType="end"/>
            </w:r>
          </w:p>
        </w:tc>
        <w:tc>
          <w:tcPr>
            <w:tcW w:w="948" w:type="dxa"/>
            <w:tcBorders/>
          </w:tcPr>
          <w:p>
            <w:pPr>
              <w:pStyle w:val="Obsahtabulky"/>
              <w:jc w:val="center"/>
              <w:rPr>
                <w:rFonts w:ascii="Times New Roman" w:hAnsi="Times New Roman"/>
                <w:sz w:val="20"/>
                <w:szCs w:val="20"/>
              </w:rPr>
            </w:pPr>
            <w:r>
              <w:rPr>
                <w:sz w:val="20"/>
                <w:szCs w:val="20"/>
              </w:rPr>
              <w:fldChar w:fldCharType="begin"/>
            </w:r>
            <w:r>
              <w:rPr>
                <w:sz w:val="20"/>
                <w:szCs w:val="20"/>
              </w:rPr>
              <w:instrText xml:space="preserve"> FILLIN "polozkaObjednavkyMernaJednotka"</w:instrText>
            </w:r>
            <w:r>
              <w:rPr>
                <w:sz w:val="20"/>
                <w:szCs w:val="20"/>
              </w:rPr>
              <w:fldChar w:fldCharType="separate"/>
            </w:r>
            <w:r>
              <w:rPr>
                <w:sz w:val="20"/>
                <w:szCs w:val="20"/>
              </w:rPr>
              <w:t>soub</w:t>
            </w:r>
            <w:r>
              <w:rPr>
                <w:sz w:val="20"/>
                <w:szCs w:val="20"/>
              </w:rPr>
              <w:fldChar w:fldCharType="end"/>
            </w:r>
          </w:p>
        </w:tc>
        <w:tc>
          <w:tcPr>
            <w:tcW w:w="916"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"polozkaObjednavkyMnozstvi"</w:instrText>
            </w:r>
            <w:r>
              <w:rPr>
                <w:sz w:val="20"/>
                <w:szCs w:val="20"/>
              </w:rPr>
              <w:fldChar w:fldCharType="separate"/>
            </w:r>
            <w:r>
              <w:rPr>
                <w:sz w:val="20"/>
                <w:szCs w:val="20"/>
              </w:rPr>
              <w:t>1,000</w:t>
            </w:r>
            <w:r>
              <w:rPr>
                <w:sz w:val="20"/>
                <w:szCs w:val="20"/>
              </w:rPr>
              <w:fldChar w:fldCharType="end"/>
            </w:r>
          </w:p>
        </w:tc>
        <w:tc>
          <w:tcPr>
            <w:tcW w:w="1114"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"polozkaObjednavkyCenaZaJednotku"</w:instrText>
            </w:r>
            <w:r>
              <w:rPr>
                <w:sz w:val="20"/>
                <w:szCs w:val="20"/>
              </w:rPr>
              <w:fldChar w:fldCharType="separate"/>
            </w:r>
            <w:r>
              <w:rPr>
                <w:sz w:val="20"/>
                <w:szCs w:val="20"/>
              </w:rPr>
              <w:t>193 030,32</w:t>
            </w:r>
            <w:r>
              <w:rPr>
                <w:sz w:val="20"/>
                <w:szCs w:val="20"/>
              </w:rPr>
              <w:fldChar w:fldCharType="end"/>
            </w:r>
          </w:p>
        </w:tc>
        <w:tc>
          <w:tcPr>
            <w:tcW w:w="1279"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"polozkaObjednavkyCenaBezDph"</w:instrText>
            </w:r>
            <w:r>
              <w:rPr>
                <w:sz w:val="20"/>
                <w:szCs w:val="20"/>
              </w:rPr>
              <w:fldChar w:fldCharType="separate"/>
            </w:r>
            <w:r>
              <w:rPr>
                <w:sz w:val="20"/>
                <w:szCs w:val="20"/>
              </w:rPr>
              <w:t>193 030,32</w:t>
            </w:r>
            <w:r>
              <w:rPr>
                <w:sz w:val="20"/>
                <w:szCs w:val="20"/>
              </w:rPr>
              <w:fldChar w:fldCharType="end"/>
            </w:r>
          </w:p>
        </w:tc>
        <w:tc>
          <w:tcPr>
            <w:tcW w:w="763" w:type="dxa"/>
            <w:tcBorders/>
          </w:tcPr>
          <w:p>
            <w:pPr>
              <w:pStyle w:val="Obsahtabulky"/>
              <w:ind w:left="113"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"polozkaObjednavkySazba"</w:instrText>
            </w:r>
            <w:r>
              <w:rPr>
                <w:sz w:val="20"/>
                <w:szCs w:val="20"/>
              </w:rPr>
              <w:fldChar w:fldCharType="separate"/>
            </w:r>
            <w:r>
              <w:rPr>
                <w:sz w:val="20"/>
                <w:szCs w:val="20"/>
              </w:rPr>
              <w:t>21,00</w:t>
            </w:r>
            <w:r>
              <w:rPr>
                <w:sz w:val="20"/>
                <w:szCs w:val="20"/>
              </w:rPr>
              <w:fldChar w:fldCharType="end"/>
            </w:r>
          </w:p>
        </w:tc>
        <w:tc>
          <w:tcPr>
            <w:tcW w:w="1068"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"polozkaObjednavkyDph"</w:instrText>
            </w:r>
            <w:r>
              <w:rPr>
                <w:sz w:val="20"/>
                <w:szCs w:val="20"/>
              </w:rPr>
              <w:fldChar w:fldCharType="separate"/>
            </w:r>
            <w:r>
              <w:rPr>
                <w:sz w:val="20"/>
                <w:szCs w:val="20"/>
              </w:rPr>
              <w:t>40 536,37</w:t>
            </w:r>
            <w:r>
              <w:rPr>
                <w:sz w:val="20"/>
                <w:szCs w:val="20"/>
              </w:rPr>
              <w:fldChar w:fldCharType="end"/>
            </w:r>
          </w:p>
        </w:tc>
        <w:tc>
          <w:tcPr>
            <w:tcW w:w="1278"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"polozkaObjednavkyCenaSDph"</w:instrText>
            </w:r>
            <w:r>
              <w:rPr>
                <w:sz w:val="20"/>
                <w:szCs w:val="20"/>
              </w:rPr>
              <w:fldChar w:fldCharType="separate"/>
            </w:r>
            <w:r>
              <w:rPr>
                <w:sz w:val="20"/>
                <w:szCs w:val="20"/>
              </w:rPr>
              <w:t>233 566,69</w:t>
            </w:r>
            <w:r>
              <w:rPr>
                <w:sz w:val="20"/>
                <w:szCs w:val="20"/>
              </w:rPr>
              <w:fldChar w:fldCharType="end"/>
            </w:r>
          </w:p>
        </w:tc>
      </w:tr>
    </w:tbl>
    <w:tbl>
      <w:tblPr>
        <w:tblW w:w="10211" w:type="dxa"/>
        <w:jc w:val="left"/>
        <w:tblInd w:w="0" w:type="dxa"/>
        <w:tblLayout w:type="fixed"/>
        <w:tblCellMar>
          <w:top w:w="55" w:type="dxa"/>
          <w:left w:w="55" w:type="dxa"/>
          <w:bottom w:w="55" w:type="dxa"/>
          <w:right w:w="55" w:type="dxa"/>
        </w:tblCellMar>
      </w:tblPr>
      <w:tblGrid>
        <w:gridCol w:w="5837"/>
        <w:gridCol w:w="1258"/>
        <w:gridCol w:w="762"/>
        <w:gridCol w:w="1078"/>
        <w:gridCol w:w="1276"/>
      </w:tblGrid>
      <w:tr>
        <w:trPr/>
        <w:tc>
          <w:tcPr>
            <w:tcW w:w="5837" w:type="dxa"/>
            <w:tcBorders>
              <w:top w:val="single" w:sz="2" w:space="0" w:color="000000"/>
            </w:tcBorders>
          </w:tcPr>
          <w:p>
            <w:pPr>
              <w:pStyle w:val="Obsahtabulky"/>
              <w:suppressLineNumbers/>
              <w:ind w:left="57" w:right="0" w:hanging="0"/>
              <w:rPr>
                <w:rFonts w:ascii="Times New Roman" w:hAnsi="Times New Roman"/>
                <w:b w:val="false"/>
                <w:b w:val="false"/>
                <w:bCs w:val="false"/>
                <w:sz w:val="20"/>
                <w:szCs w:val="20"/>
              </w:rPr>
            </w:pPr>
            <w:r>
              <w:rPr>
                <w:b w:val="false"/>
                <w:bCs w:val="false"/>
                <w:sz w:val="20"/>
                <w:szCs w:val="20"/>
              </w:rPr>
              <w:t>Součet položek</w:t>
            </w:r>
          </w:p>
        </w:tc>
        <w:tc>
          <w:tcPr>
            <w:tcW w:w="1258" w:type="dxa"/>
            <w:tcBorders>
              <w:top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"objednavkaBezDphCelkem"</w:instrText>
            </w:r>
            <w:r>
              <w:rPr>
                <w:sz w:val="20"/>
                <w:szCs w:val="20"/>
              </w:rPr>
              <w:fldChar w:fldCharType="separate"/>
            </w:r>
            <w:r>
              <w:rPr>
                <w:sz w:val="20"/>
                <w:szCs w:val="20"/>
              </w:rPr>
              <w:t>193 030,32</w:t>
            </w:r>
            <w:r>
              <w:rPr>
                <w:sz w:val="20"/>
                <w:szCs w:val="20"/>
              </w:rPr>
              <w:fldChar w:fldCharType="end"/>
            </w:r>
          </w:p>
        </w:tc>
        <w:tc>
          <w:tcPr>
            <w:tcW w:w="762" w:type="dxa"/>
            <w:tcBorders>
              <w:top w:val="single" w:sz="2" w:space="0" w:color="000000"/>
            </w:tcBorders>
          </w:tcPr>
          <w:p>
            <w:pPr>
              <w:pStyle w:val="Obsahtabulky"/>
              <w:ind w:left="113" w:right="0" w:hanging="0"/>
              <w:jc w:val="right"/>
              <w:rPr>
                <w:rFonts w:ascii="Times New Roman" w:hAnsi="Times New Roman"/>
                <w:sz w:val="20"/>
                <w:szCs w:val="20"/>
              </w:rPr>
            </w:pPr>
            <w:r>
              <w:rPr>
                <w:sz w:val="20"/>
                <w:szCs w:val="20"/>
              </w:rPr>
            </w:r>
          </w:p>
        </w:tc>
        <w:tc>
          <w:tcPr>
            <w:tcW w:w="1078" w:type="dxa"/>
            <w:tcBorders>
              <w:top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"objednavkaDphCelkem"</w:instrText>
            </w:r>
            <w:r>
              <w:rPr>
                <w:sz w:val="20"/>
                <w:szCs w:val="20"/>
              </w:rPr>
              <w:fldChar w:fldCharType="separate"/>
            </w:r>
            <w:r>
              <w:rPr>
                <w:sz w:val="20"/>
                <w:szCs w:val="20"/>
              </w:rPr>
              <w:t>40 536,37</w:t>
            </w:r>
            <w:r>
              <w:rPr>
                <w:sz w:val="20"/>
                <w:szCs w:val="20"/>
              </w:rPr>
              <w:fldChar w:fldCharType="end"/>
            </w:r>
          </w:p>
        </w:tc>
        <w:tc>
          <w:tcPr>
            <w:tcW w:w="1276" w:type="dxa"/>
            <w:tcBorders>
              <w:top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"objednavkaCenaSDphCelkem"</w:instrText>
            </w:r>
            <w:r>
              <w:rPr>
                <w:sz w:val="20"/>
                <w:szCs w:val="20"/>
              </w:rPr>
              <w:fldChar w:fldCharType="separate"/>
            </w:r>
            <w:r>
              <w:rPr>
                <w:sz w:val="20"/>
                <w:szCs w:val="20"/>
              </w:rPr>
              <w:t>233 566,69</w:t>
            </w:r>
            <w:r>
              <w:rPr>
                <w:sz w:val="20"/>
                <w:szCs w:val="20"/>
              </w:rPr>
              <w:fldChar w:fldCharType="end"/>
            </w:r>
          </w:p>
        </w:tc>
      </w:tr>
    </w:tbl>
    <w:p>
      <w:pPr>
        <w:pStyle w:val="Obsahtabulky"/>
        <w:suppressLineNumbers/>
        <w:spacing w:before="57" w:after="57"/>
        <w:ind w:left="57" w:right="0" w:hanging="0"/>
        <w:rPr>
          <w:rFonts w:ascii="Times New Roman" w:hAnsi="Times New Roman"/>
          <w:b w:val="false"/>
          <w:b w:val="false"/>
          <w:bCs w:val="false"/>
          <w:sz w:val="20"/>
          <w:szCs w:val="20"/>
        </w:rPr>
      </w:pPr>
      <w:r>
        <w:rPr>
          <w:b w:val="false"/>
          <w:bCs w:val="false"/>
          <w:sz w:val="20"/>
          <w:szCs w:val="20"/>
        </w:rPr>
        <w:fldChar w:fldCharType="begin"/>
      </w:r>
      <w:r>
        <w:rPr>
          <w:sz w:val="20"/>
          <w:b w:val="false"/>
          <w:szCs w:val="20"/>
          <w:bCs w:val="false"/>
        </w:rPr>
        <w:instrText xml:space="preserve"> FILLIN "objednavkaProstredniText"</w:instrText>
      </w:r>
      <w:r>
        <w:rPr>
          <w:sz w:val="20"/>
          <w:b w:val="false"/>
          <w:szCs w:val="20"/>
          <w:bCs w:val="false"/>
        </w:rPr>
        <w:fldChar w:fldCharType="separate"/>
      </w:r>
      <w:r>
        <w:rPr>
          <w:sz w:val="20"/>
          <w:b w:val="false"/>
          <w:szCs w:val="20"/>
          <w:bCs w:val="false"/>
        </w:rPr>
      </w:r>
      <w:r>
        <w:rPr>
          <w:sz w:val="20"/>
          <w:b w:val="false"/>
          <w:szCs w:val="20"/>
          <w:bCs w:val="false"/>
        </w:rPr>
        <w:fldChar w:fldCharType="end"/>
      </w:r>
    </w:p>
    <w:tbl>
      <w:tblPr>
        <w:tblW w:w="10199" w:type="dxa"/>
        <w:jc w:val="left"/>
        <w:tblInd w:w="12" w:type="dxa"/>
        <w:tblLayout w:type="fixed"/>
        <w:tblCellMar>
          <w:top w:w="55" w:type="dxa"/>
          <w:left w:w="55" w:type="dxa"/>
          <w:bottom w:w="55" w:type="dxa"/>
          <w:right w:w="55" w:type="dxa"/>
        </w:tblCellMar>
      </w:tblPr>
      <w:tblGrid>
        <w:gridCol w:w="5082"/>
        <w:gridCol w:w="5117"/>
      </w:tblGrid>
      <w:tr>
        <w:trPr>
          <w:trHeight w:val="510" w:hRule="atLeast"/>
        </w:trPr>
        <w:tc>
          <w:tcPr>
            <w:tcW w:w="5082" w:type="dxa"/>
            <w:tcBorders/>
          </w:tcPr>
          <w:p>
            <w:pPr>
              <w:pStyle w:val="Obsahtabulky"/>
              <w:suppressLineNumbers/>
              <w:spacing w:before="57" w:after="0"/>
              <w:ind w:left="0" w:right="0" w:hanging="0"/>
              <w:rPr>
                <w:rFonts w:ascii="Times New Roman" w:hAnsi="Times New Roman"/>
                <w:b w:val="false"/>
                <w:b w:val="false"/>
                <w:bCs w:val="false"/>
                <w:sz w:val="20"/>
                <w:szCs w:val="20"/>
              </w:rPr>
            </w:pPr>
            <w:r>
              <w:rPr>
                <w:b w:val="false"/>
                <w:bCs w:val="false"/>
                <w:sz w:val="20"/>
                <w:szCs w:val="20"/>
              </w:rPr>
            </w:r>
          </w:p>
        </w:tc>
        <w:tc>
          <w:tcPr>
            <w:tcW w:w="5117" w:type="dxa"/>
            <w:tcBorders/>
          </w:tcPr>
          <w:tbl>
            <w:tblPr>
              <w:tblW w:w="4346" w:type="dxa"/>
              <w:jc w:val="left"/>
              <w:tblInd w:w="654" w:type="dxa"/>
              <w:tblLayout w:type="fixed"/>
              <w:tblCellMar>
                <w:top w:w="55" w:type="dxa"/>
                <w:left w:w="55" w:type="dxa"/>
                <w:bottom w:w="55" w:type="dxa"/>
                <w:right w:w="55" w:type="dxa"/>
              </w:tblCellMar>
            </w:tblPr>
            <w:tblGrid>
              <w:gridCol w:w="2021"/>
              <w:gridCol w:w="2325"/>
            </w:tblGrid>
            <w:tr>
              <w:trPr/>
              <w:tc>
                <w:tcPr>
                  <w:tcW w:w="2021" w:type="dxa"/>
                  <w:tcBorders>
                    <w:top w:val="single" w:sz="8" w:space="0" w:color="000000"/>
                    <w:left w:val="single" w:sz="8" w:space="0" w:color="000000"/>
                    <w:bottom w:val="single" w:sz="8" w:space="0" w:color="000000"/>
                  </w:tcBorders>
                </w:tcPr>
                <w:p>
                  <w:pPr>
                    <w:pStyle w:val="Obsahtabulky"/>
                    <w:suppressLineNumbers/>
                    <w:tabs>
                      <w:tab w:val="clear" w:pos="708"/>
                      <w:tab w:val="left" w:pos="43" w:leader="none"/>
                      <w:tab w:val="left" w:pos="321" w:leader="none"/>
                      <w:tab w:val="left" w:pos="546" w:leader="none"/>
                      <w:tab w:val="left" w:pos="707" w:leader="none"/>
                      <w:tab w:val="left" w:pos="1886" w:leader="none"/>
                      <w:tab w:val="left" w:pos="2196" w:leader="none"/>
                      <w:tab w:val="left" w:pos="2379" w:leader="none"/>
                      <w:tab w:val="left" w:pos="4189" w:leader="none"/>
                    </w:tabs>
                    <w:ind w:left="0" w:right="57" w:hanging="0"/>
                    <w:jc w:val="right"/>
                    <w:rPr>
                      <w:rFonts w:ascii="Times New Roman" w:hAnsi="Times New Roman"/>
                      <w:b/>
                      <w:b/>
                      <w:bCs/>
                      <w:i w:val="false"/>
                      <w:i w:val="false"/>
                      <w:iCs w:val="false"/>
                      <w:sz w:val="20"/>
                      <w:szCs w:val="20"/>
                    </w:rPr>
                  </w:pPr>
                  <w:r>
                    <w:rPr>
                      <w:b/>
                      <w:bCs/>
                      <w:i w:val="false"/>
                      <w:iCs w:val="false"/>
                      <w:sz w:val="20"/>
                      <w:szCs w:val="20"/>
                    </w:rPr>
                    <w:tab/>
                    <w:t>CELKEM:</w:t>
                  </w:r>
                </w:p>
              </w:tc>
              <w:tc>
                <w:tcPr>
                  <w:tcW w:w="2325" w:type="dxa"/>
                  <w:tcBorders>
                    <w:top w:val="single" w:sz="8" w:space="0" w:color="000000"/>
                    <w:bottom w:val="single" w:sz="8" w:space="0" w:color="000000"/>
                    <w:right w:val="single" w:sz="8" w:space="0" w:color="000000"/>
                  </w:tcBorders>
                </w:tcPr>
                <w:p>
                  <w:pPr>
                    <w:pStyle w:val="Obsahtabulky"/>
                    <w:suppressLineNumbers/>
                    <w:tabs>
                      <w:tab w:val="clear" w:pos="708"/>
                      <w:tab w:val="left" w:pos="43" w:leader="none"/>
                      <w:tab w:val="left" w:pos="321" w:leader="none"/>
                      <w:tab w:val="left" w:pos="546" w:leader="none"/>
                      <w:tab w:val="left" w:pos="707" w:leader="none"/>
                      <w:tab w:val="left" w:pos="1886" w:leader="none"/>
                      <w:tab w:val="left" w:pos="2196" w:leader="none"/>
                      <w:tab w:val="left" w:pos="2379" w:leader="none"/>
                      <w:tab w:val="left" w:pos="4189" w:leader="none"/>
                    </w:tabs>
                    <w:ind w:left="0" w:right="57" w:hanging="0"/>
                    <w:jc w:val="right"/>
                    <w:rPr>
                      <w:rFonts w:ascii="Times New Roman" w:hAnsi="Times New Roman"/>
                      <w:b/>
                      <w:b/>
                      <w:bCs/>
                      <w:sz w:val="20"/>
                      <w:szCs w:val="20"/>
                    </w:rPr>
                  </w:pPr>
                  <w:r>
                    <w:rPr>
                      <w:b/>
                      <w:bCs/>
                      <w:sz w:val="20"/>
                      <w:szCs w:val="20"/>
                    </w:rPr>
                    <w:fldChar w:fldCharType="begin"/>
                  </w:r>
                  <w:r>
                    <w:rPr>
                      <w:sz w:val="20"/>
                      <w:b/>
                      <w:szCs w:val="20"/>
                      <w:bCs/>
                    </w:rPr>
                    <w:instrText xml:space="preserve"> FILLIN "objednavkaCelkemKUhrade"</w:instrText>
                  </w:r>
                  <w:r>
                    <w:rPr>
                      <w:sz w:val="20"/>
                      <w:b/>
                      <w:szCs w:val="20"/>
                      <w:bCs/>
                    </w:rPr>
                    <w:fldChar w:fldCharType="separate"/>
                  </w:r>
                  <w:r>
                    <w:rPr>
                      <w:sz w:val="20"/>
                      <w:b/>
                      <w:szCs w:val="20"/>
                      <w:bCs/>
                    </w:rPr>
                    <w:t>233 566,69</w:t>
                  </w:r>
                  <w:r>
                    <w:rPr>
                      <w:sz w:val="20"/>
                      <w:b/>
                      <w:szCs w:val="20"/>
                      <w:bCs/>
                    </w:rPr>
                    <w:fldChar w:fldCharType="end"/>
                  </w:r>
                  <w:r>
                    <w:rPr>
                      <w:b/>
                      <w:bCs/>
                      <w:sz w:val="20"/>
                      <w:szCs w:val="20"/>
                    </w:rPr>
                    <w:t xml:space="preserve"> Kč</w:t>
                  </w:r>
                </w:p>
              </w:tc>
            </w:tr>
          </w:tbl>
          <w:p>
            <w:pPr>
              <w:pStyle w:val="Obsahtabulky"/>
              <w:rPr>
                <w:rFonts w:ascii="Times New Roman" w:hAnsi="Times New Roman"/>
                <w:sz w:val="20"/>
                <w:szCs w:val="20"/>
              </w:rPr>
            </w:pPr>
            <w:r>
              <w:rPr>
                <w:sz w:val="20"/>
                <w:szCs w:val="20"/>
              </w:rPr>
            </w:r>
          </w:p>
        </w:tc>
      </w:tr>
    </w:tbl>
    <w:p>
      <w:pPr>
        <w:pStyle w:val="Obsahtabulky"/>
        <w:widowControl/>
        <w:suppressLineNumbers/>
        <w:spacing w:before="57" w:after="0"/>
        <w:ind w:left="0" w:right="0" w:hanging="0"/>
        <w:rPr>
          <w:rFonts w:ascii="Times New Roman" w:hAnsi="Times New Roman"/>
          <w:sz w:val="20"/>
          <w:szCs w:val="20"/>
        </w:rPr>
      </w:pPr>
      <w:r>
        <w:rPr>
          <w:sz w:val="20"/>
          <w:szCs w:val="20"/>
        </w:rPr>
      </w:r>
    </w:p>
    <w:p>
      <w:pPr>
        <w:pStyle w:val="Textbody"/>
        <w:suppressLineNumbers/>
        <w:spacing w:before="57" w:after="0"/>
        <w:ind w:left="0" w:right="0" w:hanging="0"/>
        <w:rPr>
          <w:rFonts w:ascii="Times New Roman" w:hAnsi="Times New Roman"/>
          <w:sz w:val="20"/>
          <w:szCs w:val="20"/>
        </w:rPr>
      </w:pPr>
      <w:r>
        <w:rPr>
          <w:rFonts w:cs="Arial"/>
          <w:b/>
          <w:bCs/>
          <w:sz w:val="20"/>
          <w:szCs w:val="20"/>
        </w:rPr>
        <w:t>Obchodní podmínky města Náchoda</w:t>
      </w:r>
      <w:r>
        <w:rPr>
          <w:rFonts w:cs="Arial"/>
          <w:sz w:val="20"/>
          <w:szCs w:val="20"/>
        </w:rPr>
        <w:t>, jakožto odběratele, jsou následující:</w:t>
      </w:r>
    </w:p>
    <w:p>
      <w:pPr>
        <w:pStyle w:val="Textbody"/>
        <w:bidi w:val="0"/>
        <w:spacing w:before="120" w:after="0"/>
        <w:ind w:left="0" w:right="0" w:hanging="0"/>
        <w:rPr>
          <w:rFonts w:ascii="Times New Roman" w:hAnsi="Times New Roman"/>
          <w:sz w:val="20"/>
          <w:szCs w:val="20"/>
        </w:rPr>
      </w:pPr>
      <w:r>
        <w:rPr>
          <w:sz w:val="20"/>
          <w:szCs w:val="20"/>
        </w:rPr>
        <w:t xml:space="preserve">Místem plnění je </w:t>
      </w:r>
      <w:r>
        <w:rPr>
          <w:rFonts w:cs="Arial"/>
          <w:color w:val="000000"/>
          <w:sz w:val="20"/>
          <w:szCs w:val="20"/>
        </w:rPr>
        <w:t>Mateřsk</w:t>
      </w:r>
      <w:r>
        <w:rPr>
          <w:rFonts w:cs="Arial"/>
          <w:color w:val="000000"/>
          <w:sz w:val="20"/>
          <w:szCs w:val="20"/>
        </w:rPr>
        <w:t>á</w:t>
      </w:r>
      <w:r>
        <w:rPr>
          <w:rFonts w:cs="Arial"/>
          <w:color w:val="000000"/>
          <w:sz w:val="20"/>
          <w:szCs w:val="20"/>
        </w:rPr>
        <w:t xml:space="preserve"> škol</w:t>
      </w:r>
      <w:r>
        <w:rPr>
          <w:rFonts w:cs="Arial"/>
          <w:color w:val="000000"/>
          <w:sz w:val="20"/>
          <w:szCs w:val="20"/>
        </w:rPr>
        <w:t>a</w:t>
      </w:r>
      <w:r>
        <w:rPr>
          <w:rFonts w:cs="Arial"/>
          <w:color w:val="000000"/>
          <w:sz w:val="20"/>
          <w:szCs w:val="20"/>
        </w:rPr>
        <w:t>, Náchod, Vančurova 1345</w:t>
      </w:r>
      <w:r>
        <w:rPr>
          <w:rFonts w:cs="Arial"/>
          <w:color w:val="70AD47"/>
          <w:sz w:val="20"/>
          <w:szCs w:val="20"/>
        </w:rPr>
        <w:t xml:space="preserve">. </w:t>
      </w:r>
    </w:p>
    <w:p>
      <w:pPr>
        <w:pStyle w:val="Textbody"/>
        <w:bidi w:val="0"/>
        <w:spacing w:before="120" w:after="0"/>
        <w:ind w:left="0" w:right="0" w:hanging="0"/>
        <w:rPr>
          <w:rFonts w:ascii="Times New Roman" w:hAnsi="Times New Roman"/>
          <w:sz w:val="20"/>
          <w:szCs w:val="20"/>
        </w:rPr>
      </w:pPr>
      <w:r>
        <w:rPr>
          <w:sz w:val="20"/>
          <w:szCs w:val="20"/>
        </w:rPr>
        <w:t>V případě prodlení dodavatele s dokončením díla je odběratel oprávněn požadovat zaplacení smluvní pokuty ve výši 0,1 % celkové ceny vč. DPH za každý, byť i jen započatý den prodlení, nejméně však 1.000 Kč za každý, byť i jen započatý den prodlení</w:t>
      </w:r>
      <w:r>
        <w:rPr>
          <w:rFonts w:cs="Arial"/>
          <w:sz w:val="20"/>
          <w:szCs w:val="20"/>
        </w:rPr>
        <w:t>.</w:t>
      </w:r>
      <w:r>
        <w:rPr>
          <w:sz w:val="20"/>
          <w:szCs w:val="20"/>
        </w:rPr>
        <w:t xml:space="preserve"> V případě prodlení dodavatele s vyklizením staveniště a předáním díla je odběratel oprávněn požadovat zaplacení smluvní pokuty ve výši 0,1 % celkové ceny díla vč. DPH za každý, byť i jen započatý den prodlení, nejméně však 1.000 Kč za každý, byť i jen započatý den prodlení. Jedna smluvní pokuta není na překážku smluvní pokutě druhé. Zaplacením jakékoliv smluvní pokuty není ani dotčeno právo na náhradu škody, která by z porušení té které povinnosti vznikla.</w:t>
      </w:r>
    </w:p>
    <w:p>
      <w:pPr>
        <w:pStyle w:val="Standard"/>
        <w:bidi w:val="0"/>
        <w:spacing w:before="120" w:after="0"/>
        <w:ind w:left="0" w:right="0" w:hanging="0"/>
        <w:jc w:val="both"/>
        <w:rPr>
          <w:rFonts w:ascii="Times New Roman" w:hAnsi="Times New Roman"/>
          <w:sz w:val="20"/>
          <w:szCs w:val="20"/>
        </w:rPr>
      </w:pPr>
      <w:r>
        <w:rPr>
          <w:sz w:val="20"/>
          <w:szCs w:val="20"/>
        </w:rPr>
        <w:t xml:space="preserve">Pokud dodavatel dílo nedokončí ani v náhradním termínu stanoveném odběratelem, má odběratel právo od smlouvy odstoupit, aniž by tím bylo dotčeno právo na zaplacení smluvní pokuty za období od prvního dne prodlení do doručení písemného odstoupení od smlouvy. </w:t>
      </w:r>
    </w:p>
    <w:p>
      <w:pPr>
        <w:pStyle w:val="Textbody"/>
        <w:bidi w:val="0"/>
        <w:spacing w:before="120" w:after="0"/>
        <w:ind w:left="0" w:right="0" w:hanging="0"/>
        <w:jc w:val="both"/>
        <w:rPr>
          <w:rFonts w:ascii="Times New Roman" w:hAnsi="Times New Roman"/>
          <w:sz w:val="20"/>
          <w:szCs w:val="20"/>
        </w:rPr>
      </w:pPr>
      <w:r>
        <w:rPr>
          <w:sz w:val="20"/>
          <w:szCs w:val="20"/>
        </w:rPr>
        <w:t xml:space="preserve">Cena díla je splatná do </w:t>
      </w:r>
      <w:r>
        <w:rPr>
          <w:color w:val="auto"/>
          <w:sz w:val="20"/>
          <w:szCs w:val="20"/>
        </w:rPr>
        <w:t>30 dnů</w:t>
      </w:r>
      <w:r>
        <w:rPr>
          <w:sz w:val="20"/>
          <w:szCs w:val="20"/>
        </w:rPr>
        <w:t xml:space="preserve"> od doručení faktury, nejdříve však od dokončení díla; přílohou faktury musí být odběratelem odsouhlasený soupis provedených prací.</w:t>
      </w:r>
    </w:p>
    <w:p>
      <w:pPr>
        <w:pStyle w:val="Textbody"/>
        <w:bidi w:val="0"/>
        <w:spacing w:before="120" w:after="0"/>
        <w:ind w:left="0" w:right="0" w:hanging="0"/>
        <w:jc w:val="both"/>
        <w:rPr>
          <w:rFonts w:ascii="Times New Roman" w:hAnsi="Times New Roman"/>
          <w:sz w:val="20"/>
          <w:szCs w:val="20"/>
        </w:rPr>
      </w:pPr>
      <w:r>
        <w:rPr>
          <w:sz w:val="20"/>
          <w:szCs w:val="20"/>
        </w:rPr>
        <w:t>Cena díla bude zaplacena bankovním převodem na účet, který bude uveden na faktuře. Odběratel je oprávněn odmítnout zaplacení ceny díla, dokud nedojde k vyklizení staveniště a předání díla.</w:t>
      </w:r>
    </w:p>
    <w:p>
      <w:pPr>
        <w:pStyle w:val="Standard"/>
        <w:bidi w:val="0"/>
        <w:spacing w:before="120" w:after="0"/>
        <w:ind w:left="0" w:right="0" w:hanging="0"/>
        <w:jc w:val="both"/>
        <w:rPr>
          <w:rFonts w:ascii="Times New Roman" w:hAnsi="Times New Roman"/>
          <w:sz w:val="20"/>
          <w:szCs w:val="20"/>
        </w:rPr>
      </w:pPr>
      <w:r>
        <w:rPr>
          <w:rFonts w:eastAsia="Times New Roman" w:cs="Arial"/>
          <w:bCs/>
          <w:sz w:val="20"/>
          <w:szCs w:val="20"/>
          <w:lang w:eastAsia="en-US"/>
        </w:rPr>
        <w:t xml:space="preserve">Dodavatel se zavazuje, že dílo bude provedeno v kvalitě alespoň průměrné. Dodavatel poskytuje na jakost díla záruku v délce </w:t>
      </w:r>
      <w:r>
        <w:rPr>
          <w:rFonts w:eastAsia="Times New Roman" w:cs="Arial"/>
          <w:bCs/>
          <w:sz w:val="20"/>
          <w:szCs w:val="20"/>
          <w:lang w:eastAsia="en-US"/>
        </w:rPr>
        <w:t>24</w:t>
      </w:r>
      <w:r>
        <w:rPr>
          <w:rFonts w:eastAsia="Times New Roman" w:cs="Arial"/>
          <w:bCs/>
          <w:color w:val="70AD47"/>
          <w:sz w:val="20"/>
          <w:szCs w:val="20"/>
          <w:lang w:eastAsia="en-US"/>
        </w:rPr>
        <w:t xml:space="preserve"> </w:t>
      </w:r>
      <w:r>
        <w:rPr>
          <w:rFonts w:eastAsia="Times New Roman" w:cs="Arial"/>
          <w:bCs/>
          <w:color w:val="auto"/>
          <w:sz w:val="20"/>
          <w:szCs w:val="20"/>
          <w:lang w:eastAsia="en-US"/>
        </w:rPr>
        <w:t>měsíců</w:t>
      </w:r>
      <w:r>
        <w:rPr>
          <w:rFonts w:eastAsia="Times New Roman" w:cs="Arial"/>
          <w:bCs/>
          <w:color w:val="70AD47"/>
          <w:sz w:val="20"/>
          <w:szCs w:val="20"/>
          <w:lang w:eastAsia="en-US"/>
        </w:rPr>
        <w:t xml:space="preserve"> </w:t>
      </w:r>
      <w:r>
        <w:rPr>
          <w:rFonts w:eastAsia="Times New Roman" w:cs="Arial"/>
          <w:bCs/>
          <w:sz w:val="20"/>
          <w:szCs w:val="20"/>
          <w:lang w:eastAsia="en-US"/>
        </w:rPr>
        <w:t>od předání díla. Případné vady díla budou písemně reklamovány bez zbytečného odkladu po jejich zjištění. Dodavatel se zavazuje nastoupit k opravě reklamovaných vad do 5 pracovních dnů ode dne uplatnění reklamace odběratelem, pokud se smluvní strany nedohodnou jinak. Dodavatel se zavazuje odstranit reklamované vady do 15 pracovních dnů ode dne uplatnění reklamace odběratelem, pokud se smluvní strany nedohodnou jinak. Pokud dodavatel nenastoupí nejpozději do 5 pracovních dnů ode dne uplatnění reklamace k odstranění reklamovaných vad, je dodavatel povinen zaplatit smluvní pokutu ve výši 1.000 Kč za každý, byť i jen započatý kalendářní den prodlení bez ohledu na počet vad. Pokud dodavatel neodstraní reklamované vady nejpozději do 15 pracovních dnů ode dne uplatnění reklamace, je dodavatel povinen zaplatit smluvní pokutu ve výši 1.000 Kč za každý, byť i jen započatý kalendářní den prodlení bez ohledu na počet vad.</w:t>
      </w:r>
    </w:p>
    <w:p>
      <w:pPr>
        <w:pStyle w:val="Standard"/>
        <w:bidi w:val="0"/>
        <w:spacing w:before="120" w:after="0"/>
        <w:ind w:left="0" w:right="0" w:hanging="0"/>
        <w:jc w:val="both"/>
        <w:rPr>
          <w:rFonts w:ascii="Times New Roman" w:hAnsi="Times New Roman" w:eastAsia="Times New Roman" w:cs="Arial"/>
          <w:bCs/>
          <w:sz w:val="20"/>
          <w:szCs w:val="20"/>
          <w:lang w:eastAsia="en-US"/>
        </w:rPr>
      </w:pPr>
      <w:r>
        <w:rPr>
          <w:rFonts w:eastAsia="Times New Roman" w:cs="Arial"/>
          <w:bCs/>
          <w:sz w:val="20"/>
          <w:szCs w:val="20"/>
          <w:lang w:eastAsia="en-US"/>
        </w:rPr>
        <w:t>Odpovědnost za škodu na provedeném díle nebo na jeho části nese dodavatel v plném rozsahu až do dne předání celého díla. Pokud dodavatel způsobí při provádění díla škodu odběrateli nebo třetím osobám, je povinen ji v plné výši uhradit.</w:t>
      </w:r>
    </w:p>
    <w:p>
      <w:pPr>
        <w:pStyle w:val="Standard"/>
        <w:bidi w:val="0"/>
        <w:spacing w:before="120" w:after="0"/>
        <w:ind w:left="0" w:right="0" w:hanging="0"/>
        <w:jc w:val="both"/>
        <w:rPr>
          <w:rFonts w:ascii="Times New Roman" w:hAnsi="Times New Roman" w:eastAsia="Times New Roman" w:cs="Arial"/>
          <w:bCs/>
          <w:sz w:val="20"/>
          <w:szCs w:val="20"/>
          <w:lang w:eastAsia="en-US"/>
        </w:rPr>
      </w:pPr>
      <w:r>
        <w:rPr>
          <w:rFonts w:eastAsia="Times New Roman" w:cs="Arial"/>
          <w:bCs/>
          <w:sz w:val="20"/>
          <w:szCs w:val="20"/>
          <w:lang w:eastAsia="en-US"/>
        </w:rPr>
        <w:t>Zveřejní-li příslušný správce daně způsobem umožňujícím dálkový přístup skutečnost, že dodavatel je nespolehlivým plátcem, nebo má-li být platba za zdanitelné plnění uskutečněné dodavatelem (plátcem DPH) v tuzemsku poskytnuta zcela nebo zčásti bezhotovostním převodem na účet vedený poskytovatelem platebních služeb mimo tuzemsko, je odběratel oprávněn zadržet z každé fakturované platby za poskytnuté zdanitelné plnění daň z přidané hodnoty a tuto (aniž k tomu bude vyzván jako ručitel) uhradit za dodavatele příslušnému správci daně. Po provedení úhrady daně z přidané hodnoty příslušnému správci daně je úhrada zdanitelného plnění dodavateli bez příslušné daně z přidané hodnoty (tj. pouze základu daně) považována za řádnou úhradu dle této objednávky (tj. základu daně i výše daně z přidané hodnoty), a dodavateli nevzniká žádný nárok na úhradu případných úroků z prodlení, penále, náhrady škody nebo jakýchkoli dalších sankcí vůči odběrateli, a to ani v případě, že by mu podobné sankce byly vyměřeny správcem daně.</w:t>
      </w:r>
    </w:p>
    <w:p>
      <w:pPr>
        <w:pStyle w:val="Standard"/>
        <w:bidi w:val="0"/>
        <w:spacing w:before="120" w:after="0"/>
        <w:ind w:left="0" w:right="0" w:hanging="0"/>
        <w:jc w:val="both"/>
        <w:rPr>
          <w:rFonts w:ascii="Times New Roman" w:hAnsi="Times New Roman"/>
          <w:sz w:val="20"/>
          <w:szCs w:val="20"/>
        </w:rPr>
      </w:pPr>
      <w:r>
        <w:rPr>
          <w:sz w:val="20"/>
          <w:szCs w:val="20"/>
        </w:rPr>
        <w:t>Tato objednávka představuje nabídku na uzavření smlouvy za podmínek uvedených výše a za podmínek zakotvených dále v právním řádu České republiky, zejména v občanském zákoníku, ve znění platném a účinném k datu vyznačenému v úvodu objednávky.</w:t>
      </w:r>
    </w:p>
    <w:p>
      <w:pPr>
        <w:pStyle w:val="Standard"/>
        <w:bidi w:val="0"/>
        <w:spacing w:before="120" w:after="0"/>
        <w:ind w:left="0" w:right="0" w:hanging="0"/>
        <w:jc w:val="both"/>
        <w:rPr>
          <w:rFonts w:ascii="Times New Roman" w:hAnsi="Times New Roman"/>
          <w:sz w:val="20"/>
          <w:szCs w:val="20"/>
        </w:rPr>
      </w:pPr>
      <w:r>
        <w:rPr>
          <w:sz w:val="20"/>
          <w:szCs w:val="20"/>
        </w:rPr>
        <w:t xml:space="preserve">Tato objednávka zůstává v platnosti po dobu </w:t>
      </w:r>
      <w:r>
        <w:rPr>
          <w:color w:val="auto"/>
          <w:sz w:val="20"/>
          <w:szCs w:val="20"/>
        </w:rPr>
        <w:t>14 dnů</w:t>
      </w:r>
      <w:r>
        <w:rPr>
          <w:color w:val="70AD47"/>
          <w:sz w:val="20"/>
          <w:szCs w:val="20"/>
        </w:rPr>
        <w:t xml:space="preserve"> </w:t>
      </w:r>
      <w:r>
        <w:rPr>
          <w:sz w:val="20"/>
          <w:szCs w:val="20"/>
        </w:rPr>
        <w:t>ode dne jejího doručení a během této doby může být ze strany dodavatele akceptována.</w:t>
      </w:r>
    </w:p>
    <w:p>
      <w:pPr>
        <w:pStyle w:val="Standard"/>
        <w:bidi w:val="0"/>
        <w:spacing w:before="120" w:after="0"/>
        <w:ind w:left="0" w:right="0" w:hanging="0"/>
        <w:jc w:val="both"/>
        <w:rPr>
          <w:rFonts w:ascii="Times New Roman" w:hAnsi="Times New Roman"/>
          <w:sz w:val="20"/>
          <w:szCs w:val="20"/>
        </w:rPr>
      </w:pPr>
      <w:r>
        <w:rPr>
          <w:sz w:val="20"/>
          <w:szCs w:val="20"/>
        </w:rPr>
        <w:t>Tato objednávka může být akceptována jedním z následujících způsobů:</w:t>
      </w:r>
    </w:p>
    <w:p>
      <w:pPr>
        <w:pStyle w:val="Standard"/>
        <w:widowControl w:val="false"/>
        <w:suppressAutoHyphens w:val="true"/>
        <w:bidi w:val="0"/>
        <w:ind w:left="113" w:right="0" w:hanging="113"/>
        <w:jc w:val="both"/>
        <w:textAlignment w:val="baseline"/>
        <w:rPr>
          <w:rFonts w:ascii="Times New Roman" w:hAnsi="Times New Roman"/>
          <w:sz w:val="20"/>
          <w:szCs w:val="20"/>
        </w:rPr>
      </w:pPr>
      <w:r>
        <w:rPr>
          <w:sz w:val="20"/>
          <w:szCs w:val="20"/>
        </w:rPr>
        <w:t>- odpovědí na tuto objednávku, za které vyplyne bezvýhradná akceptace objednávky; odpověď musí mít stejnou formu jako objednávka samotná,</w:t>
      </w:r>
    </w:p>
    <w:p>
      <w:pPr>
        <w:pStyle w:val="Standard"/>
        <w:bidi w:val="0"/>
        <w:ind w:left="0" w:right="0" w:hanging="0"/>
        <w:jc w:val="both"/>
        <w:rPr>
          <w:rFonts w:ascii="Times New Roman" w:hAnsi="Times New Roman"/>
          <w:sz w:val="20"/>
          <w:szCs w:val="20"/>
        </w:rPr>
      </w:pPr>
      <w:r>
        <w:rPr>
          <w:sz w:val="20"/>
          <w:szCs w:val="20"/>
        </w:rPr>
        <w:t>- podpisem akceptační doložky na této objednávce v případně osobního předávání objednávky.</w:t>
      </w:r>
    </w:p>
    <w:p>
      <w:pPr>
        <w:pStyle w:val="Standard"/>
        <w:bidi w:val="0"/>
        <w:spacing w:before="120" w:after="0"/>
        <w:ind w:left="0" w:right="0" w:hanging="0"/>
        <w:jc w:val="both"/>
        <w:rPr>
          <w:rFonts w:ascii="Times New Roman" w:hAnsi="Times New Roman"/>
          <w:sz w:val="20"/>
          <w:szCs w:val="20"/>
        </w:rPr>
      </w:pPr>
      <w:r>
        <w:rPr>
          <w:color w:val="auto"/>
          <w:sz w:val="20"/>
          <w:szCs w:val="20"/>
        </w:rPr>
        <w:t>Tato objednávka nabývá účinnosti nejdříve dnem uveřejnění jejího textu (včetně textu její akceptace) prostřednictvím registru smluv. Mě</w:t>
      </w:r>
      <w:r>
        <w:rPr>
          <w:sz w:val="20"/>
          <w:szCs w:val="20"/>
        </w:rPr>
        <w:t>sto Náchod prohlašuje, že uveřejnění prostřednictvím registru smluv zajistí.</w:t>
      </w:r>
    </w:p>
    <w:p>
      <w:pPr>
        <w:pStyle w:val="Standard"/>
        <w:bidi w:val="0"/>
        <w:ind w:left="0" w:right="0" w:hanging="0"/>
        <w:jc w:val="both"/>
        <w:rPr>
          <w:rFonts w:ascii="Times New Roman" w:hAnsi="Times New Roman" w:cs="Arial"/>
          <w:sz w:val="20"/>
          <w:szCs w:val="20"/>
        </w:rPr>
      </w:pPr>
      <w:r>
        <w:rPr>
          <w:rFonts w:cs="Arial"/>
          <w:sz w:val="20"/>
          <w:szCs w:val="20"/>
        </w:rPr>
      </w:r>
    </w:p>
    <w:p>
      <w:pPr>
        <w:pStyle w:val="Standard"/>
        <w:bidi w:val="0"/>
        <w:ind w:left="0" w:right="0" w:hanging="0"/>
        <w:jc w:val="both"/>
        <w:rPr>
          <w:rFonts w:ascii="Times New Roman" w:hAnsi="Times New Roman"/>
          <w:sz w:val="20"/>
          <w:szCs w:val="20"/>
        </w:rPr>
      </w:pPr>
      <w:r>
        <w:rPr>
          <w:sz w:val="20"/>
          <w:szCs w:val="20"/>
        </w:rPr>
        <w:t xml:space="preserve">Město Náchod prohlašuje za účelem provedení finanční kontroly, že financování uvedené dodávky je zajištěno v jeho rozpočtové kapitole </w:t>
      </w:r>
      <w:r>
        <w:rPr>
          <w:sz w:val="20"/>
          <w:szCs w:val="20"/>
        </w:rPr>
        <w:t>12</w:t>
      </w:r>
      <w:r>
        <w:rPr>
          <w:color w:val="70AD47"/>
          <w:sz w:val="20"/>
          <w:szCs w:val="20"/>
        </w:rPr>
        <w:t>.</w:t>
      </w:r>
    </w:p>
    <w:p>
      <w:pPr>
        <w:pStyle w:val="Standard"/>
        <w:bidi w:val="0"/>
        <w:ind w:left="0" w:right="0" w:hanging="0"/>
        <w:jc w:val="both"/>
        <w:rPr>
          <w:rFonts w:ascii="Times New Roman" w:hAnsi="Times New Roman" w:cs="Arial"/>
          <w:color w:val="70AD47"/>
          <w:sz w:val="20"/>
          <w:szCs w:val="20"/>
        </w:rPr>
      </w:pPr>
      <w:r>
        <w:rPr>
          <w:rFonts w:cs="Arial"/>
          <w:color w:val="70AD47"/>
          <w:sz w:val="20"/>
          <w:szCs w:val="20"/>
        </w:rPr>
      </w:r>
    </w:p>
    <w:p>
      <w:pPr>
        <w:pStyle w:val="Standard"/>
        <w:bidi w:val="0"/>
        <w:ind w:left="0" w:right="0" w:hanging="0"/>
        <w:jc w:val="both"/>
        <w:rPr>
          <w:rFonts w:ascii="Times New Roman" w:hAnsi="Times New Roman"/>
          <w:color w:val="auto"/>
          <w:sz w:val="20"/>
          <w:szCs w:val="20"/>
        </w:rPr>
      </w:pPr>
      <w:r>
        <w:rPr>
          <w:color w:val="auto"/>
          <w:sz w:val="20"/>
          <w:szCs w:val="20"/>
        </w:rPr>
        <w:t xml:space="preserve">Město Náchod prohlašuje, že tato objednávka se vystavuje na základě usnesení Rady města Náchoda č. </w:t>
      </w:r>
      <w:r>
        <w:rPr>
          <w:color w:val="auto"/>
          <w:sz w:val="20"/>
          <w:szCs w:val="20"/>
        </w:rPr>
        <w:t xml:space="preserve">83/1761/24 </w:t>
      </w:r>
      <w:r>
        <w:rPr>
          <w:color w:val="auto"/>
          <w:sz w:val="20"/>
          <w:szCs w:val="20"/>
        </w:rPr>
        <w:t xml:space="preserve">ze dne </w:t>
      </w:r>
      <w:r>
        <w:rPr>
          <w:color w:val="auto"/>
          <w:sz w:val="20"/>
          <w:szCs w:val="20"/>
        </w:rPr>
        <w:t>24.6.2024</w:t>
      </w:r>
    </w:p>
    <w:p>
      <w:pPr>
        <w:pStyle w:val="Standard"/>
        <w:bidi w:val="0"/>
        <w:ind w:left="0" w:right="0" w:hanging="0"/>
        <w:jc w:val="both"/>
        <w:rPr>
          <w:rFonts w:ascii="Times New Roman" w:hAnsi="Times New Roman" w:cs="Arial"/>
          <w:sz w:val="20"/>
          <w:szCs w:val="20"/>
        </w:rPr>
      </w:pPr>
      <w:r>
        <w:rPr>
          <w:rFonts w:cs="Arial"/>
          <w:sz w:val="20"/>
          <w:szCs w:val="20"/>
        </w:rPr>
      </w:r>
      <w:bookmarkStart w:id="0" w:name="_Hlk122598208"/>
      <w:bookmarkStart w:id="1" w:name="_Hlk122598208"/>
    </w:p>
    <w:p>
      <w:pPr>
        <w:pStyle w:val="Standard"/>
        <w:bidi w:val="0"/>
        <w:ind w:left="0" w:right="0" w:hanging="0"/>
        <w:jc w:val="both"/>
        <w:rPr>
          <w:rFonts w:ascii="Times New Roman" w:hAnsi="Times New Roman"/>
          <w:b/>
          <w:b/>
          <w:sz w:val="20"/>
          <w:szCs w:val="20"/>
        </w:rPr>
      </w:pPr>
      <w:r>
        <w:rPr>
          <w:b/>
          <w:sz w:val="20"/>
          <w:szCs w:val="20"/>
        </w:rPr>
        <w:t>město Náchod</w:t>
      </w:r>
    </w:p>
    <w:p>
      <w:pPr>
        <w:pStyle w:val="Standard"/>
        <w:bidi w:val="0"/>
        <w:ind w:left="0" w:right="0" w:hanging="0"/>
        <w:jc w:val="both"/>
        <w:rPr>
          <w:rFonts w:ascii="Times New Roman" w:hAnsi="Times New Roman" w:cs="Arial"/>
          <w:color w:val="000000"/>
          <w:sz w:val="20"/>
          <w:szCs w:val="20"/>
        </w:rPr>
      </w:pPr>
      <w:r>
        <w:rPr>
          <w:rFonts w:cs="Arial"/>
          <w:color w:val="000000"/>
          <w:sz w:val="20"/>
          <w:szCs w:val="20"/>
        </w:rPr>
      </w:r>
    </w:p>
    <w:p>
      <w:pPr>
        <w:pStyle w:val="Standard"/>
        <w:bidi w:val="0"/>
        <w:ind w:left="0" w:right="0" w:hanging="0"/>
        <w:jc w:val="both"/>
        <w:rPr>
          <w:rFonts w:ascii="Times New Roman" w:hAnsi="Times New Roman" w:cs="Arial"/>
          <w:color w:val="000000"/>
          <w:sz w:val="20"/>
          <w:szCs w:val="20"/>
        </w:rPr>
      </w:pPr>
      <w:r>
        <w:rPr>
          <w:rFonts w:cs="Arial"/>
          <w:color w:val="000000"/>
          <w:sz w:val="20"/>
          <w:szCs w:val="20"/>
        </w:rPr>
      </w:r>
    </w:p>
    <w:p>
      <w:pPr>
        <w:pStyle w:val="Normal"/>
        <w:widowControl w:val="false"/>
        <w:bidi w:val="0"/>
        <w:ind w:left="0" w:right="0" w:hanging="0"/>
        <w:jc w:val="both"/>
        <w:textAlignment w:val="baseline"/>
        <w:rPr>
          <w:rFonts w:ascii="Times New Roman" w:hAnsi="Times New Roman" w:cs="Times New Roman"/>
          <w:color w:val="000000"/>
          <w:sz w:val="20"/>
          <w:szCs w:val="20"/>
        </w:rPr>
      </w:pPr>
      <w:r>
        <w:rPr>
          <w:rFonts w:cs="Times New Roman"/>
          <w:color w:val="000000"/>
          <w:sz w:val="20"/>
          <w:szCs w:val="20"/>
        </w:rPr>
        <w:t>……………………………………………</w:t>
      </w:r>
      <w:r>
        <w:rPr>
          <w:rFonts w:cs="Times New Roman"/>
          <w:color w:val="000000"/>
          <w:sz w:val="20"/>
          <w:szCs w:val="20"/>
        </w:rPr>
        <w:t>.……….</w:t>
      </w:r>
      <w:bookmarkStart w:id="2" w:name="_Hlk1225982082"/>
    </w:p>
    <w:p>
      <w:pPr>
        <w:pStyle w:val="Normal"/>
        <w:widowControl w:val="false"/>
        <w:bidi w:val="0"/>
        <w:ind w:left="0" w:right="0" w:hanging="0"/>
        <w:jc w:val="both"/>
        <w:textAlignment w:val="baseline"/>
        <w:rPr>
          <w:rFonts w:ascii="Times New Roman" w:hAnsi="Times New Roman" w:cs="Times New Roman"/>
          <w:iCs/>
          <w:color w:val="000000"/>
          <w:sz w:val="20"/>
          <w:szCs w:val="20"/>
        </w:rPr>
      </w:pPr>
      <w:r>
        <w:rPr>
          <w:rFonts w:cs="Times New Roman"/>
          <w:iCs/>
          <w:color w:val="000000"/>
          <w:sz w:val="20"/>
          <w:szCs w:val="20"/>
        </w:rPr>
        <w:tab/>
        <w:tab/>
        <w:tab/>
        <w:t>, místostarosta města</w:t>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t>……………………………</w:t>
      </w:r>
      <w:r>
        <w:rPr>
          <w:rFonts w:cs="Times New Roman"/>
          <w:color w:val="000000"/>
          <w:sz w:val="20"/>
          <w:szCs w:val="20"/>
        </w:rPr>
        <w:t>.……….</w:t>
      </w:r>
    </w:p>
    <w:p>
      <w:pPr>
        <w:pStyle w:val="Normal"/>
        <w:widowControl w:val="false"/>
        <w:bidi w:val="0"/>
        <w:ind w:left="5103" w:right="0" w:hanging="0"/>
        <w:jc w:val="both"/>
        <w:textAlignment w:val="baseline"/>
        <w:rPr>
          <w:rFonts w:ascii="Times New Roman" w:hAnsi="Times New Roman"/>
          <w:sz w:val="20"/>
          <w:szCs w:val="20"/>
        </w:rPr>
      </w:pPr>
      <w:r>
        <w:rPr>
          <w:rFonts w:cs="Times New Roman"/>
          <w:iCs/>
          <w:color w:val="000000"/>
          <w:sz w:val="20"/>
          <w:szCs w:val="20"/>
        </w:rPr>
        <w:tab/>
        <w:tab/>
      </w:r>
      <w:r>
        <w:rPr>
          <w:rFonts w:cs="Times New Roman"/>
          <w:color w:val="000000"/>
          <w:sz w:val="20"/>
          <w:szCs w:val="20"/>
        </w:rPr>
        <w:t>, příkazce operace</w:t>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t>………………………</w:t>
      </w:r>
      <w:r>
        <w:rPr>
          <w:rFonts w:cs="Times New Roman"/>
          <w:color w:val="000000"/>
          <w:sz w:val="20"/>
          <w:szCs w:val="20"/>
        </w:rPr>
        <w:t>..…………….</w:t>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tab/>
        <w:tab/>
        <w:t>, správce rozpočtu</w:t>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r>
    </w:p>
    <w:p>
      <w:pPr>
        <w:pStyle w:val="Standard"/>
        <w:bidi w:val="0"/>
        <w:ind w:left="0" w:right="-567" w:hanging="0"/>
        <w:rPr>
          <w:rFonts w:ascii="Times New Roman" w:hAnsi="Times New Roman"/>
          <w:sz w:val="20"/>
          <w:szCs w:val="20"/>
        </w:rPr>
      </w:pPr>
      <w:bookmarkStart w:id="3" w:name="_Hlk1225982081"/>
      <w:r>
        <w:rPr>
          <w:b/>
          <w:bCs/>
          <w:color w:val="auto"/>
          <w:sz w:val="20"/>
          <w:szCs w:val="20"/>
        </w:rPr>
        <w:t>Příloha:</w:t>
      </w:r>
      <w:r>
        <w:rPr>
          <w:color w:val="auto"/>
          <w:sz w:val="20"/>
          <w:szCs w:val="20"/>
        </w:rPr>
        <w:t xml:space="preserve"> cenová nabídka č.: </w:t>
      </w:r>
      <w:r>
        <w:rPr>
          <w:rFonts w:cs="Arial"/>
          <w:color w:val="auto"/>
          <w:sz w:val="20"/>
          <w:szCs w:val="20"/>
        </w:rPr>
        <w:t>13</w:t>
      </w:r>
      <w:r>
        <w:rPr>
          <w:rFonts w:cs="Arial"/>
          <w:color w:val="auto"/>
          <w:sz w:val="20"/>
          <w:szCs w:val="20"/>
        </w:rPr>
        <w:t>7</w:t>
      </w:r>
      <w:r>
        <w:rPr>
          <w:rFonts w:cs="Arial"/>
          <w:color w:val="auto"/>
          <w:sz w:val="20"/>
          <w:szCs w:val="20"/>
        </w:rPr>
        <w:t>5/</w:t>
      </w:r>
      <w:r>
        <w:rPr>
          <w:rFonts w:cs="Arial"/>
          <w:color w:val="auto"/>
          <w:sz w:val="20"/>
          <w:szCs w:val="20"/>
        </w:rPr>
        <w:t xml:space="preserve">24/Gerboc </w:t>
      </w:r>
      <w:r>
        <w:rPr>
          <w:color w:val="auto"/>
          <w:sz w:val="20"/>
          <w:szCs w:val="20"/>
        </w:rPr>
        <w:t xml:space="preserve">ze dne </w:t>
      </w:r>
      <w:r>
        <w:rPr>
          <w:color w:val="auto"/>
          <w:sz w:val="20"/>
          <w:szCs w:val="20"/>
        </w:rPr>
        <w:t>20.6.2024</w:t>
      </w:r>
    </w:p>
    <w:p>
      <w:pPr>
        <w:pStyle w:val="Standard"/>
        <w:tabs>
          <w:tab w:val="clear" w:pos="708"/>
          <w:tab w:val="left" w:pos="5670"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670"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103" w:leader="none"/>
        </w:tabs>
        <w:bidi w:val="0"/>
        <w:ind w:left="0" w:right="0" w:hanging="0"/>
        <w:jc w:val="both"/>
        <w:rPr>
          <w:rFonts w:ascii="Times New Roman" w:hAnsi="Times New Roman"/>
          <w:sz w:val="20"/>
          <w:szCs w:val="20"/>
        </w:rPr>
      </w:pPr>
      <w:r>
        <w:rPr>
          <w:sz w:val="20"/>
          <w:szCs w:val="20"/>
        </w:rPr>
        <w:t xml:space="preserve">Potvrzuji </w:t>
      </w:r>
      <w:r>
        <w:rPr>
          <w:b/>
          <w:bCs/>
          <w:sz w:val="20"/>
          <w:szCs w:val="20"/>
        </w:rPr>
        <w:t>převzetí</w:t>
      </w:r>
      <w:r>
        <w:rPr>
          <w:sz w:val="20"/>
          <w:szCs w:val="20"/>
        </w:rPr>
        <w:t xml:space="preserve"> objednávky, dne …………… </w:t>
        <w:tab/>
        <w:t>…………………….</w:t>
      </w:r>
    </w:p>
    <w:p>
      <w:pPr>
        <w:pStyle w:val="Standard"/>
        <w:tabs>
          <w:tab w:val="clear" w:pos="708"/>
          <w:tab w:val="left" w:pos="5103" w:leader="none"/>
        </w:tabs>
        <w:bidi w:val="0"/>
        <w:ind w:left="0" w:right="0" w:hanging="0"/>
        <w:jc w:val="both"/>
        <w:rPr>
          <w:rFonts w:ascii="Times New Roman" w:hAnsi="Times New Roman"/>
          <w:sz w:val="20"/>
          <w:szCs w:val="20"/>
        </w:rPr>
      </w:pPr>
      <w:r>
        <w:rPr>
          <w:rFonts w:cs="Arial"/>
          <w:sz w:val="20"/>
          <w:szCs w:val="20"/>
        </w:rPr>
        <w:tab/>
      </w:r>
      <w:r>
        <w:rPr>
          <w:sz w:val="20"/>
          <w:szCs w:val="20"/>
        </w:rPr>
        <w:t>podpis za dodavatele</w:t>
      </w:r>
    </w:p>
    <w:p>
      <w:pPr>
        <w:pStyle w:val="Standard"/>
        <w:tabs>
          <w:tab w:val="clear" w:pos="708"/>
          <w:tab w:val="left" w:pos="5103"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103"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103" w:leader="none"/>
        </w:tabs>
        <w:bidi w:val="0"/>
        <w:ind w:left="0" w:right="0" w:hanging="0"/>
        <w:jc w:val="both"/>
        <w:rPr>
          <w:rFonts w:ascii="Times New Roman" w:hAnsi="Times New Roman"/>
          <w:sz w:val="20"/>
          <w:szCs w:val="20"/>
        </w:rPr>
      </w:pPr>
      <w:r>
        <w:rPr>
          <w:sz w:val="20"/>
          <w:szCs w:val="20"/>
        </w:rPr>
        <w:t xml:space="preserve">Objednávku </w:t>
      </w:r>
      <w:r>
        <w:rPr>
          <w:b/>
          <w:bCs/>
          <w:sz w:val="20"/>
          <w:szCs w:val="20"/>
        </w:rPr>
        <w:t>akceptuji bez výhrad</w:t>
      </w:r>
      <w:r>
        <w:rPr>
          <w:sz w:val="20"/>
          <w:szCs w:val="20"/>
        </w:rPr>
        <w:t>, dne ……………</w:t>
        <w:tab/>
        <w:t>…………………….</w:t>
      </w:r>
    </w:p>
    <w:p>
      <w:pPr>
        <w:pStyle w:val="Standard"/>
        <w:tabs>
          <w:tab w:val="clear" w:pos="708"/>
          <w:tab w:val="left" w:pos="5103" w:leader="none"/>
        </w:tabs>
        <w:bidi w:val="0"/>
        <w:ind w:left="0" w:right="0" w:hanging="0"/>
        <w:jc w:val="both"/>
        <w:rPr>
          <w:rFonts w:ascii="Times New Roman" w:hAnsi="Times New Roman"/>
          <w:sz w:val="20"/>
          <w:szCs w:val="20"/>
        </w:rPr>
      </w:pPr>
      <w:r>
        <w:rPr>
          <w:rFonts w:cs="Arial"/>
          <w:sz w:val="20"/>
          <w:szCs w:val="20"/>
        </w:rPr>
        <w:tab/>
      </w:r>
      <w:r>
        <w:rPr>
          <w:sz w:val="20"/>
          <w:szCs w:val="20"/>
        </w:rPr>
        <w:t>podpis za dodavatele</w:t>
      </w:r>
      <w:bookmarkEnd w:id="1"/>
      <w:bookmarkEnd w:id="2"/>
      <w:bookmarkEnd w:id="3"/>
    </w:p>
    <w:sectPr>
      <w:type w:val="nextPage"/>
      <w:pgSz w:w="11906" w:h="16838"/>
      <w:pgMar w:left="850" w:right="850" w:gutter="0" w:header="0" w:top="850" w:footer="0" w:bottom="85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G Times (W1)">
    <w:charset w:val="ee"/>
    <w:family w:val="roman"/>
    <w:pitch w:val="variable"/>
  </w:font>
  <w:font w:name="Arial">
    <w:charset w:val="ee"/>
    <w:family w:val="swiss"/>
    <w:pitch w:val="variable"/>
  </w:font>
  <w:font w:name="Arial">
    <w:charset w:val="ee"/>
    <w:family w:val="roman"/>
    <w:pitch w:val="variable"/>
  </w:font>
  <w:font w:name="Verdana">
    <w:charset w:val="ee"/>
    <w:family w:val="swiss"/>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
  <w:docVars>
    <w:docVar w:name="objednavkaText"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Lucida Sans"/>
        <w:kern w:val="2"/>
        <w:sz w:val="24"/>
        <w:szCs w:val="24"/>
        <w:lang w:val="cs-CZ"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SimSun" w:cs="Lucida Sans"/>
      <w:color w:val="auto"/>
      <w:kern w:val="2"/>
      <w:sz w:val="24"/>
      <w:szCs w:val="24"/>
      <w:lang w:val="cs-CZ" w:eastAsia="zh-CN" w:bidi="hi-IN"/>
    </w:rPr>
  </w:style>
  <w:style w:type="character" w:styleId="Internetovodkaz">
    <w:name w:val="Internetový odkaz"/>
    <w:rPr>
      <w:color w:val="000080"/>
      <w:u w:val="single"/>
      <w:lang w:val="zxx" w:eastAsia="zxx" w:bidi="zxx"/>
    </w:rPr>
  </w:style>
  <w:style w:type="character" w:styleId="DefaultParagraphFont">
    <w:name w:val="Default Paragraph Font"/>
    <w:qFormat/>
    <w:rPr/>
  </w:style>
  <w:style w:type="character" w:styleId="ZhlavChar">
    <w:name w:val="Záhlaví Char"/>
    <w:basedOn w:val="DefaultParagraphFont"/>
    <w:qFormat/>
    <w:rPr>
      <w:rFonts w:ascii="Times New Roman" w:hAnsi="Times New Roman" w:eastAsia="Times New Roman"/>
    </w:rPr>
  </w:style>
  <w:style w:type="character" w:styleId="ZkladntextChar">
    <w:name w:val="Základní text Char"/>
    <w:basedOn w:val="DefaultParagraphFont"/>
    <w:qFormat/>
    <w:rPr>
      <w:rFonts w:ascii="CG Times (W1)" w:hAnsi="CG Times (W1)" w:eastAsia="Times New Roman"/>
      <w:sz w:val="24"/>
      <w:szCs w:val="24"/>
    </w:rPr>
  </w:style>
  <w:style w:type="character" w:styleId="Annotationreference">
    <w:name w:val="annotation reference"/>
    <w:qFormat/>
    <w:rPr>
      <w:sz w:val="16"/>
    </w:rPr>
  </w:style>
  <w:style w:type="character" w:styleId="TextkomenteChar">
    <w:name w:val="Text komentáře Char"/>
    <w:basedOn w:val="DefaultParagraphFont"/>
    <w:qFormat/>
    <w:rPr>
      <w:rFonts w:ascii="Times New Roman" w:hAnsi="Times New Roman" w:eastAsia="Times New Roman"/>
      <w:sz w:val="24"/>
      <w:szCs w:val="24"/>
    </w:rPr>
  </w:style>
  <w:style w:type="character" w:styleId="StandardChar">
    <w:name w:val="Standard Char"/>
    <w:basedOn w:val="DefaultParagraphFont"/>
    <w:qFormat/>
    <w:rPr/>
  </w:style>
  <w:style w:type="character" w:styleId="TextkomenteChar1">
    <w:name w:val="Text komentáře Char1"/>
    <w:basedOn w:val="StandardChar"/>
    <w:qFormat/>
    <w:rPr>
      <w:sz w:val="20"/>
      <w:szCs w:val="20"/>
    </w:rPr>
  </w:style>
  <w:style w:type="paragraph" w:styleId="Nadpis">
    <w:name w:val="Nadpis"/>
    <w:basedOn w:val="Normal"/>
    <w:next w:val="Tlotextu"/>
    <w:qFormat/>
    <w:pPr>
      <w:keepNext w:val="true"/>
      <w:spacing w:before="240" w:after="120"/>
    </w:pPr>
    <w:rPr>
      <w:rFonts w:ascii="Arial" w:hAnsi="Arial" w:eastAsia="Microsoft YaHei" w:cs="Lucida Sans"/>
      <w:sz w:val="28"/>
      <w:szCs w:val="28"/>
    </w:rPr>
  </w:style>
  <w:style w:type="paragraph" w:styleId="Tlotextu">
    <w:name w:val="Body Text"/>
    <w:basedOn w:val="Normal"/>
    <w:pPr>
      <w:spacing w:before="0" w:after="12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Obsahtabulky">
    <w:name w:val="Obsah tabulky"/>
    <w:basedOn w:val="Normal"/>
    <w:qFormat/>
    <w:pPr>
      <w:suppressLineNumbers/>
    </w:pPr>
    <w:rPr/>
  </w:style>
  <w:style w:type="paragraph" w:styleId="Obsahrmce">
    <w:name w:val="Obsah rámce"/>
    <w:basedOn w:val="Normal"/>
    <w:qFormat/>
    <w:pPr/>
    <w:rPr/>
  </w:style>
  <w:style w:type="paragraph" w:styleId="Nadpistabulky">
    <w:name w:val="Nadpis tabulky"/>
    <w:basedOn w:val="Obsahtabulky"/>
    <w:qFormat/>
    <w:pPr>
      <w:suppressLineNumbers/>
      <w:jc w:val="center"/>
    </w:pPr>
    <w:rPr>
      <w:b/>
      <w:bCs/>
    </w:rPr>
  </w:style>
  <w:style w:type="paragraph" w:styleId="NormalTable">
    <w:name w:val="Normal Table"/>
    <w:qFormat/>
    <w:pPr>
      <w:widowControl/>
      <w:kinsoku w:val="true"/>
      <w:overflowPunct w:val="true"/>
      <w:autoSpaceDE w:val="true"/>
      <w:bidi w:val="0"/>
      <w:jc w:val="left"/>
      <w:textAlignment w:val="auto"/>
    </w:pPr>
    <w:rPr>
      <w:rFonts w:ascii="Arial" w:hAnsi="Arial" w:eastAsia="Calibri" w:cs="Times New Roman"/>
      <w:color w:val="auto"/>
      <w:kern w:val="2"/>
      <w:sz w:val="20"/>
      <w:szCs w:val="20"/>
      <w:lang w:val="cs-CZ" w:eastAsia="cs-CZ" w:bidi="ar-SA"/>
    </w:rPr>
  </w:style>
  <w:style w:type="paragraph" w:styleId="Annotationtext">
    <w:name w:val="annotation text"/>
    <w:basedOn w:val="Normal"/>
    <w:qFormat/>
    <w:pPr/>
    <w:rPr>
      <w:sz w:val="20"/>
      <w:szCs w:val="20"/>
    </w:rPr>
  </w:style>
  <w:style w:type="paragraph" w:styleId="Standard">
    <w:name w:val="Standard"/>
    <w:qFormat/>
    <w:pPr>
      <w:widowControl w:val="false"/>
      <w:suppressAutoHyphens w:val="true"/>
      <w:kinsoku w:val="true"/>
      <w:overflowPunct w:val="true"/>
      <w:autoSpaceDE w:val="true"/>
      <w:bidi w:val="0"/>
      <w:jc w:val="left"/>
      <w:textAlignment w:val="baseline"/>
    </w:pPr>
    <w:rPr>
      <w:rFonts w:ascii="Times New Roman" w:hAnsi="Times New Roman" w:eastAsia="SimSun" w:cs="Times New Roman"/>
      <w:color w:val="auto"/>
      <w:kern w:val="2"/>
      <w:sz w:val="24"/>
      <w:szCs w:val="24"/>
      <w:lang w:val="cs-CZ" w:eastAsia="zh-CN" w:bidi="hi-IN"/>
    </w:rPr>
  </w:style>
  <w:style w:type="paragraph" w:styleId="Textbody">
    <w:name w:val="Text body"/>
    <w:basedOn w:val="Standard"/>
    <w:qFormat/>
    <w:pPr>
      <w:spacing w:before="0" w:after="120"/>
    </w:pPr>
    <w:rPr/>
  </w:style>
  <w:style w:type="paragraph" w:styleId="Default">
    <w:name w:val="Default"/>
    <w:qFormat/>
    <w:pPr>
      <w:widowControl w:val="false"/>
      <w:kinsoku w:val="true"/>
      <w:overflowPunct w:val="true"/>
      <w:autoSpaceDE w:val="true"/>
      <w:bidi w:val="0"/>
      <w:jc w:val="left"/>
    </w:pPr>
    <w:rPr>
      <w:rFonts w:ascii="Arial" w:hAnsi="Arial" w:eastAsia="SimSun" w:cs="Lucida Sans"/>
      <w:color w:val="000000"/>
      <w:kern w:val="2"/>
      <w:sz w:val="24"/>
      <w:szCs w:val="24"/>
      <w:lang w:val="cs-CZ"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zajickova@muj.cz"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730</TotalTime>
  <Application>LibreOffice/7.3.6.2$Windows_X86_64 LibreOffice_project/c28ca90fd6e1a19e189fc16c05f8f8924961e12e</Application>
  <AppVersion>15.0000</AppVersion>
  <Pages>2</Pages>
  <Words>1009</Words>
  <Characters>5519</Characters>
  <CharactersWithSpaces>6405</CharactersWithSpaces>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2024-06-20T12:31:00Z</dcterms:created>
  <dc:creator>martin.gerboc@alurol.com</dc:creator>
  <dc:description/>
  <dc:language>cs-CZ</dc:language>
  <cp:lastModifiedBy/>
  <cp:lastPrinted>2024-06-26T14:20:02Z</cp:lastPrinted>
  <dcterms:modified xsi:type="dcterms:W3CDTF">2024-06-26T14:24:55Z</dcterms:modified>
  <cp:revision>96</cp:revision>
  <dc:subject/>
  <dc:title/>
</cp:coreProperties>
</file>