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15E23197" w:rsidR="006C60B6" w:rsidRPr="00E2661C" w:rsidRDefault="00C8780B" w:rsidP="006C60B6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06327A">
        <w:rPr>
          <w:rFonts w:ascii="Arial" w:hAnsi="Arial" w:cs="Arial"/>
          <w:sz w:val="36"/>
          <w:szCs w:val="36"/>
          <w:lang w:val="cs-CZ"/>
        </w:rPr>
        <w:t>3</w:t>
      </w:r>
    </w:p>
    <w:p w14:paraId="45C865B6" w14:textId="144FE2A9" w:rsidR="006C60B6" w:rsidRPr="00B7411C" w:rsidRDefault="00FF2B3B" w:rsidP="00C8780B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8F4C2A">
        <w:rPr>
          <w:rFonts w:ascii="Arial" w:eastAsia="Calibri" w:hAnsi="Arial" w:cs="Arial"/>
          <w:color w:val="auto"/>
          <w:spacing w:val="0"/>
          <w:lang w:val="cs-CZ" w:eastAsia="en-US"/>
        </w:rPr>
        <w:t>1019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D861A9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DC117E">
        <w:rPr>
          <w:rFonts w:ascii="Arial" w:eastAsia="Calibri" w:hAnsi="Arial" w:cs="Arial"/>
          <w:color w:val="auto"/>
          <w:spacing w:val="0"/>
          <w:lang w:val="cs-CZ" w:eastAsia="en-US"/>
        </w:rPr>
        <w:t>25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7B64F3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7B64F3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77777777" w:rsidR="00BD72F3" w:rsidRPr="00500BF7" w:rsidRDefault="00BD72F3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szCs w:val="22"/>
        </w:rPr>
      </w:pPr>
      <w:r w:rsidRPr="00500BF7">
        <w:rPr>
          <w:rFonts w:ascii="Arial" w:hAnsi="Arial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583580">
        <w:rPr>
          <w:rFonts w:ascii="Arial" w:hAnsi="Arial" w:cs="Arial"/>
          <w:snapToGrid w:val="0"/>
        </w:rPr>
        <w:t> 727 937</w:t>
      </w:r>
      <w:r w:rsidR="00301E10">
        <w:rPr>
          <w:rFonts w:ascii="Arial" w:hAnsi="Arial" w:cs="Arial"/>
          <w:snapToGrid w:val="0"/>
        </w:rPr>
        <w:t> </w:t>
      </w:r>
      <w:r w:rsidR="00583580">
        <w:rPr>
          <w:rFonts w:ascii="Arial" w:hAnsi="Arial" w:cs="Arial"/>
          <w:snapToGrid w:val="0"/>
        </w:rPr>
        <w:t>172</w:t>
      </w:r>
      <w:r w:rsidR="00301E10">
        <w:rPr>
          <w:rFonts w:ascii="Arial" w:hAnsi="Arial" w:cs="Arial"/>
          <w:snapToGrid w:val="0"/>
        </w:rPr>
        <w:t>, +420</w:t>
      </w:r>
      <w:r w:rsidR="00B2094A">
        <w:rPr>
          <w:rFonts w:ascii="Arial" w:hAnsi="Arial" w:cs="Arial"/>
          <w:snapToGrid w:val="0"/>
        </w:rPr>
        <w:t> 606 689 085</w:t>
      </w:r>
    </w:p>
    <w:p w14:paraId="18B4B3DB" w14:textId="3B4F038E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>E-mail:</w:t>
      </w:r>
      <w:r w:rsidRPr="00500BF7">
        <w:rPr>
          <w:rFonts w:ascii="Arial" w:hAnsi="Arial" w:cs="Arial"/>
          <w:snapToGrid w:val="0"/>
        </w:rPr>
        <w:t xml:space="preserve"> </w:t>
      </w:r>
      <w:hyperlink r:id="rId7" w:history="1">
        <w:r w:rsidRPr="0054097D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>
        <w:rPr>
          <w:rFonts w:ascii="Arial" w:hAnsi="Arial" w:cs="Arial"/>
          <w:snapToGrid w:val="0"/>
        </w:rPr>
        <w:t xml:space="preserve">, </w:t>
      </w:r>
      <w:hyperlink r:id="rId8" w:history="1">
        <w:r w:rsidR="00583580" w:rsidRPr="00583580">
          <w:rPr>
            <w:rStyle w:val="Hypertextovodkaz"/>
            <w:rFonts w:ascii="Arial" w:hAnsi="Arial" w:cs="Arial"/>
          </w:rPr>
          <w:t>trutnov.pk@spucr.cz</w:t>
        </w:r>
      </w:hyperlink>
      <w:r w:rsidR="00583580">
        <w:t xml:space="preserve"> </w:t>
      </w:r>
    </w:p>
    <w:p w14:paraId="67648A4F" w14:textId="77777777" w:rsidR="00BD72F3" w:rsidRPr="00500BF7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171AE9EB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  <w:b/>
        </w:rPr>
        <w:t>Bankovní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b/>
        </w:rPr>
        <w:t>spojení</w:t>
      </w:r>
      <w:r w:rsidRPr="00500BF7">
        <w:rPr>
          <w:rFonts w:ascii="Arial" w:hAnsi="Arial" w:cs="Arial"/>
        </w:rPr>
        <w:t>: Česká národní banka</w:t>
      </w:r>
    </w:p>
    <w:p w14:paraId="7E8CA174" w14:textId="77777777" w:rsidR="00BD72F3" w:rsidRPr="00500BF7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Číslo účtu: 3723001/0710</w:t>
      </w:r>
    </w:p>
    <w:p w14:paraId="741ACB1C" w14:textId="77777777" w:rsidR="00BD72F3" w:rsidRPr="00500BF7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500BF7">
        <w:rPr>
          <w:rFonts w:ascii="Arial" w:hAnsi="Arial" w:cs="Arial"/>
        </w:rPr>
        <w:t>DIČ: CZ01312774 (</w:t>
      </w:r>
      <w:r w:rsidRPr="00500BF7">
        <w:rPr>
          <w:rFonts w:ascii="Arial" w:hAnsi="Arial" w:cs="Arial"/>
          <w:i/>
          <w:iCs/>
        </w:rPr>
        <w:t>není plátce DPH</w:t>
      </w:r>
      <w:r w:rsidRPr="00500BF7">
        <w:rPr>
          <w:rFonts w:ascii="Arial" w:hAnsi="Arial" w:cs="Arial"/>
        </w:rPr>
        <w:t>)</w:t>
      </w:r>
    </w:p>
    <w:p w14:paraId="42EEE7A2" w14:textId="77777777" w:rsidR="00BD72F3" w:rsidRPr="00ED6435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239126F" w14:textId="77777777" w:rsidR="00BD72F3" w:rsidRPr="00ED6435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850B55" w14:textId="77777777" w:rsidR="00BD72F3" w:rsidRPr="00F72705" w:rsidRDefault="00BD72F3" w:rsidP="00BD72F3">
      <w:pPr>
        <w:numPr>
          <w:ilvl w:val="0"/>
          <w:numId w:val="22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0510A203" w14:textId="2D9BDF83" w:rsidR="00BD72F3" w:rsidRPr="00F72705" w:rsidRDefault="00BD72F3" w:rsidP="00BD72F3">
      <w:pPr>
        <w:spacing w:after="12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</w:t>
      </w:r>
      <w:r w:rsidR="00550AC1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</w:t>
      </w:r>
      <w:r w:rsidR="00550AC1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 Plzni, oddíl C, vložka 1442.</w:t>
      </w:r>
    </w:p>
    <w:p w14:paraId="6A23F04E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FC6C868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08034974" w14:textId="5F22202C" w:rsidR="00BD72F3" w:rsidRPr="00F72705" w:rsidRDefault="00BD72F3" w:rsidP="00BD72F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207818">
        <w:rPr>
          <w:rFonts w:ascii="Arial" w:hAnsi="Arial" w:cs="Arial"/>
        </w:rPr>
        <w:t>xxxxxxxxxxxxxxxx</w:t>
      </w:r>
      <w:r w:rsidR="00207818" w:rsidRPr="00F72705">
        <w:rPr>
          <w:rFonts w:ascii="Arial" w:hAnsi="Arial" w:cs="Arial"/>
          <w:snapToGrid w:val="0"/>
        </w:rPr>
        <w:t xml:space="preserve"> </w:t>
      </w:r>
    </w:p>
    <w:p w14:paraId="01258A70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83C8D02" w14:textId="2EF9F80A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207818">
        <w:rPr>
          <w:rFonts w:ascii="Arial" w:hAnsi="Arial" w:cs="Arial"/>
        </w:rPr>
        <w:t>xxxxxxxxxxxxxxxx</w:t>
      </w:r>
    </w:p>
    <w:p w14:paraId="65FA408B" w14:textId="4756F1F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207818">
        <w:rPr>
          <w:rFonts w:ascii="Arial" w:hAnsi="Arial" w:cs="Arial"/>
        </w:rPr>
        <w:t>xxxxxxxxxxxxxxxx</w:t>
      </w:r>
      <w:r w:rsidR="00207818">
        <w:t xml:space="preserve"> </w:t>
      </w:r>
    </w:p>
    <w:p w14:paraId="4C8B1064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E00A01A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490ABBC5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3BD2427E" w14:textId="77777777" w:rsidR="00BD72F3" w:rsidRPr="00ED6435" w:rsidRDefault="00BD72F3" w:rsidP="00266857">
      <w:pPr>
        <w:tabs>
          <w:tab w:val="left" w:pos="4536"/>
        </w:tabs>
        <w:spacing w:after="8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0C4DB205" w14:textId="77777777" w:rsidR="00BD72F3" w:rsidRPr="00ED6435" w:rsidRDefault="00BD72F3" w:rsidP="00BD72F3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Pr="00FA07DC" w:rsidRDefault="00BD72F3" w:rsidP="00FA07DC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96E6B7" w14:textId="77777777" w:rsidR="008F24B4" w:rsidRPr="00BF554C" w:rsidRDefault="008F24B4" w:rsidP="008F24B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352A438" w14:textId="712C8B8C" w:rsidR="00A30EDD" w:rsidRPr="00CE535E" w:rsidRDefault="00CB1562" w:rsidP="00CE535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</w:t>
      </w:r>
      <w:r w:rsidR="00955F0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Dodatku č. </w:t>
      </w:r>
      <w:r w:rsidR="0006327A">
        <w:rPr>
          <w:rFonts w:ascii="Arial" w:hAnsi="Arial" w:cs="Arial"/>
          <w:b w:val="0"/>
          <w:bCs w:val="0"/>
          <w:caps w:val="0"/>
          <w:szCs w:val="22"/>
        </w:rPr>
        <w:t>3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4A07DCAD" w14:textId="099766F9" w:rsidR="00303BF3" w:rsidRPr="00636B4E" w:rsidRDefault="004439E9" w:rsidP="00303BF3">
      <w:pPr>
        <w:pStyle w:val="Odstavecseseznamem"/>
        <w:numPr>
          <w:ilvl w:val="0"/>
          <w:numId w:val="23"/>
        </w:numPr>
        <w:rPr>
          <w:rFonts w:ascii="Arial" w:hAnsi="Arial" w:cs="Arial"/>
          <w:color w:val="000000" w:themeColor="text1"/>
          <w:lang w:val="cs-CZ" w:eastAsia="en-US"/>
        </w:rPr>
      </w:pPr>
      <w:r w:rsidRPr="00636B4E">
        <w:rPr>
          <w:rFonts w:ascii="Arial" w:hAnsi="Arial" w:cs="Arial"/>
          <w:color w:val="000000" w:themeColor="text1"/>
          <w:lang w:val="cs-CZ" w:eastAsia="en-US"/>
        </w:rPr>
        <w:t>Z</w:t>
      </w:r>
      <w:r w:rsidR="009D5AC0" w:rsidRPr="00636B4E">
        <w:rPr>
          <w:rFonts w:ascii="Arial" w:hAnsi="Arial" w:cs="Arial"/>
          <w:color w:val="000000" w:themeColor="text1"/>
          <w:lang w:val="cs-CZ" w:eastAsia="en-US"/>
        </w:rPr>
        <w:t>měna v předávání faktur</w:t>
      </w:r>
      <w:r w:rsidR="00303BF3" w:rsidRPr="00636B4E">
        <w:rPr>
          <w:rFonts w:ascii="Arial" w:hAnsi="Arial" w:cs="Arial"/>
          <w:color w:val="000000" w:themeColor="text1"/>
          <w:lang w:val="cs-CZ" w:eastAsia="en-US"/>
        </w:rPr>
        <w:t>.</w:t>
      </w:r>
    </w:p>
    <w:p w14:paraId="4FF81B22" w14:textId="77777777" w:rsidR="00303BF3" w:rsidRPr="00636B4E" w:rsidRDefault="00303BF3" w:rsidP="00303BF3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lang w:val="cs-CZ" w:eastAsia="en-US"/>
        </w:rPr>
      </w:pPr>
    </w:p>
    <w:p w14:paraId="75B23D43" w14:textId="0D0E2C22" w:rsidR="00C440AC" w:rsidRPr="00C440AC" w:rsidRDefault="006C3E9E" w:rsidP="0033494E">
      <w:pPr>
        <w:pStyle w:val="Odstavecseseznamem"/>
        <w:numPr>
          <w:ilvl w:val="0"/>
          <w:numId w:val="23"/>
        </w:numPr>
        <w:spacing w:line="480" w:lineRule="auto"/>
        <w:rPr>
          <w:rFonts w:ascii="Arial" w:hAnsi="Arial" w:cs="Arial"/>
          <w:color w:val="000000" w:themeColor="text1"/>
          <w:lang w:val="cs-CZ" w:eastAsia="en-US"/>
        </w:rPr>
      </w:pPr>
      <w:r w:rsidRPr="00636B4E">
        <w:rPr>
          <w:rFonts w:ascii="Arial" w:hAnsi="Arial" w:cs="Arial"/>
          <w:color w:val="000000" w:themeColor="text1"/>
          <w:lang w:val="cs-CZ" w:eastAsia="en-US"/>
        </w:rPr>
        <w:t>Změna způsobu předávání digitálních dat</w:t>
      </w:r>
      <w:r w:rsidR="00303BF3" w:rsidRPr="00636B4E">
        <w:rPr>
          <w:rFonts w:ascii="Arial" w:hAnsi="Arial" w:cs="Arial"/>
          <w:color w:val="000000" w:themeColor="text1"/>
          <w:lang w:val="cs-CZ" w:eastAsia="en-US"/>
        </w:rPr>
        <w:t>.</w:t>
      </w:r>
    </w:p>
    <w:p w14:paraId="172EA65F" w14:textId="40CB913A" w:rsidR="00C440AC" w:rsidRPr="00C440AC" w:rsidRDefault="00C440AC" w:rsidP="0033494E">
      <w:pPr>
        <w:pStyle w:val="Odstavecseseznamem"/>
        <w:numPr>
          <w:ilvl w:val="0"/>
          <w:numId w:val="23"/>
        </w:numPr>
        <w:spacing w:line="240" w:lineRule="auto"/>
        <w:ind w:left="714" w:hanging="357"/>
        <w:rPr>
          <w:rFonts w:ascii="Arial" w:hAnsi="Arial" w:cs="Arial"/>
          <w:color w:val="000000" w:themeColor="text1"/>
          <w:lang w:val="cs-CZ" w:eastAsia="en-US"/>
        </w:rPr>
      </w:pPr>
      <w:r w:rsidRPr="00C440AC">
        <w:rPr>
          <w:rFonts w:ascii="Arial" w:hAnsi="Arial" w:cs="Arial"/>
          <w:color w:val="000000" w:themeColor="text1"/>
          <w:lang w:val="cs-CZ" w:eastAsia="en-US"/>
        </w:rPr>
        <w:t>nepodstatné změny závazků v počtu skutečně provedených měrných jednotek u dílčích fakturačních částí 6.2.</w:t>
      </w:r>
      <w:r w:rsidR="00B14847">
        <w:rPr>
          <w:rFonts w:ascii="Arial" w:hAnsi="Arial" w:cs="Arial"/>
          <w:color w:val="000000" w:themeColor="text1"/>
          <w:lang w:val="cs-CZ" w:eastAsia="en-US"/>
        </w:rPr>
        <w:t>2</w:t>
      </w:r>
      <w:r w:rsidRPr="00C440AC">
        <w:rPr>
          <w:rFonts w:ascii="Arial" w:hAnsi="Arial" w:cs="Arial"/>
          <w:color w:val="000000" w:themeColor="text1"/>
          <w:lang w:val="cs-CZ" w:eastAsia="en-US"/>
        </w:rPr>
        <w:t>., 6.2.</w:t>
      </w:r>
      <w:r w:rsidR="00B14847">
        <w:rPr>
          <w:rFonts w:ascii="Arial" w:hAnsi="Arial" w:cs="Arial"/>
          <w:color w:val="000000" w:themeColor="text1"/>
          <w:lang w:val="cs-CZ" w:eastAsia="en-US"/>
        </w:rPr>
        <w:t>3</w:t>
      </w:r>
      <w:r w:rsidRPr="00C440AC">
        <w:rPr>
          <w:rFonts w:ascii="Arial" w:hAnsi="Arial" w:cs="Arial"/>
          <w:color w:val="000000" w:themeColor="text1"/>
          <w:lang w:val="cs-CZ" w:eastAsia="en-US"/>
        </w:rPr>
        <w:t>., 6.2.</w:t>
      </w:r>
      <w:r w:rsidR="00B14847">
        <w:rPr>
          <w:rFonts w:ascii="Arial" w:hAnsi="Arial" w:cs="Arial"/>
          <w:color w:val="000000" w:themeColor="text1"/>
          <w:lang w:val="cs-CZ" w:eastAsia="en-US"/>
        </w:rPr>
        <w:t>6</w:t>
      </w:r>
      <w:r w:rsidRPr="00C440AC">
        <w:rPr>
          <w:rFonts w:ascii="Arial" w:hAnsi="Arial" w:cs="Arial"/>
          <w:color w:val="000000" w:themeColor="text1"/>
          <w:lang w:val="cs-CZ" w:eastAsia="en-US"/>
        </w:rPr>
        <w:t>., 6.</w:t>
      </w:r>
      <w:r w:rsidR="00693369">
        <w:rPr>
          <w:rFonts w:ascii="Arial" w:hAnsi="Arial" w:cs="Arial"/>
          <w:color w:val="000000" w:themeColor="text1"/>
          <w:lang w:val="cs-CZ" w:eastAsia="en-US"/>
        </w:rPr>
        <w:t>2</w:t>
      </w:r>
      <w:r w:rsidRPr="00C440AC">
        <w:rPr>
          <w:rFonts w:ascii="Arial" w:hAnsi="Arial" w:cs="Arial"/>
          <w:color w:val="000000" w:themeColor="text1"/>
          <w:lang w:val="cs-CZ" w:eastAsia="en-US"/>
        </w:rPr>
        <w:t>.</w:t>
      </w:r>
      <w:r w:rsidR="00693369">
        <w:rPr>
          <w:rFonts w:ascii="Arial" w:hAnsi="Arial" w:cs="Arial"/>
          <w:color w:val="000000" w:themeColor="text1"/>
          <w:lang w:val="cs-CZ" w:eastAsia="en-US"/>
        </w:rPr>
        <w:t>7</w:t>
      </w:r>
      <w:r w:rsidRPr="00C440AC">
        <w:rPr>
          <w:rFonts w:ascii="Arial" w:hAnsi="Arial" w:cs="Arial"/>
          <w:color w:val="000000" w:themeColor="text1"/>
          <w:lang w:val="cs-CZ" w:eastAsia="en-US"/>
        </w:rPr>
        <w:t>., 6.</w:t>
      </w:r>
      <w:r w:rsidR="00693369">
        <w:rPr>
          <w:rFonts w:ascii="Arial" w:hAnsi="Arial" w:cs="Arial"/>
          <w:color w:val="000000" w:themeColor="text1"/>
          <w:lang w:val="cs-CZ" w:eastAsia="en-US"/>
        </w:rPr>
        <w:t>2</w:t>
      </w:r>
      <w:r w:rsidRPr="00C440AC">
        <w:rPr>
          <w:rFonts w:ascii="Arial" w:hAnsi="Arial" w:cs="Arial"/>
          <w:color w:val="000000" w:themeColor="text1"/>
          <w:lang w:val="cs-CZ" w:eastAsia="en-US"/>
        </w:rPr>
        <w:t>.</w:t>
      </w:r>
      <w:r w:rsidR="00693369">
        <w:rPr>
          <w:rFonts w:ascii="Arial" w:hAnsi="Arial" w:cs="Arial"/>
          <w:color w:val="000000" w:themeColor="text1"/>
          <w:lang w:val="cs-CZ" w:eastAsia="en-US"/>
        </w:rPr>
        <w:t>8</w:t>
      </w:r>
      <w:r w:rsidRPr="00C440AC">
        <w:rPr>
          <w:rFonts w:ascii="Arial" w:hAnsi="Arial" w:cs="Arial"/>
          <w:color w:val="000000" w:themeColor="text1"/>
          <w:lang w:val="cs-CZ" w:eastAsia="en-US"/>
        </w:rPr>
        <w:t>., 6.</w:t>
      </w:r>
      <w:r w:rsidR="00F8685B">
        <w:rPr>
          <w:rFonts w:ascii="Arial" w:hAnsi="Arial" w:cs="Arial"/>
          <w:color w:val="000000" w:themeColor="text1"/>
          <w:lang w:val="cs-CZ" w:eastAsia="en-US"/>
        </w:rPr>
        <w:t>3.1., 6.3.2</w:t>
      </w:r>
      <w:r w:rsidRPr="00C440AC">
        <w:rPr>
          <w:rFonts w:ascii="Arial" w:hAnsi="Arial" w:cs="Arial"/>
          <w:color w:val="000000" w:themeColor="text1"/>
          <w:lang w:val="cs-CZ" w:eastAsia="en-US"/>
        </w:rPr>
        <w:t>.</w:t>
      </w:r>
      <w:r w:rsidR="00242C87">
        <w:rPr>
          <w:rFonts w:ascii="Arial" w:hAnsi="Arial" w:cs="Arial"/>
          <w:color w:val="000000" w:themeColor="text1"/>
          <w:lang w:val="cs-CZ" w:eastAsia="en-US"/>
        </w:rPr>
        <w:t>, 6.4.</w:t>
      </w:r>
      <w:r w:rsidRPr="00C440AC">
        <w:rPr>
          <w:rFonts w:ascii="Arial" w:hAnsi="Arial" w:cs="Arial"/>
          <w:color w:val="000000" w:themeColor="text1"/>
          <w:lang w:val="cs-CZ" w:eastAsia="en-US"/>
        </w:rPr>
        <w:t xml:space="preserve"> - změna rozsahu prací</w:t>
      </w:r>
    </w:p>
    <w:p w14:paraId="4529F53F" w14:textId="77777777" w:rsidR="00C440AC" w:rsidRPr="000B5ACE" w:rsidRDefault="00C440AC" w:rsidP="00C440AC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lang w:val="cs-CZ" w:eastAsia="en-US"/>
        </w:rPr>
      </w:pPr>
    </w:p>
    <w:p w14:paraId="2B1A9B31" w14:textId="6B0DE125" w:rsidR="007F6352" w:rsidRPr="00C6442C" w:rsidRDefault="008F24B4" w:rsidP="00C6442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5E102C3" w14:textId="52BE066A" w:rsidR="007F6352" w:rsidRPr="00F357D3" w:rsidRDefault="0013485A" w:rsidP="008F24B4">
      <w:pPr>
        <w:pStyle w:val="Level2"/>
        <w:spacing w:after="240"/>
        <w:rPr>
          <w:rFonts w:ascii="Arial" w:hAnsi="Arial" w:cs="Arial"/>
          <w:b/>
          <w:bCs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Cs w:val="22"/>
          <w:u w:val="single"/>
        </w:rPr>
        <w:t xml:space="preserve">ad A) </w:t>
      </w:r>
      <w:r w:rsidR="003B0F07" w:rsidRPr="00F357D3">
        <w:rPr>
          <w:rFonts w:ascii="Arial" w:hAnsi="Arial" w:cs="Arial"/>
          <w:b/>
          <w:bCs/>
          <w:color w:val="000000" w:themeColor="text1"/>
          <w:szCs w:val="22"/>
          <w:u w:val="single"/>
        </w:rPr>
        <w:t xml:space="preserve">Způsob </w:t>
      </w:r>
      <w:r w:rsidR="00BB2FC5" w:rsidRPr="00F357D3">
        <w:rPr>
          <w:rFonts w:ascii="Arial" w:hAnsi="Arial" w:cs="Arial"/>
          <w:b/>
          <w:bCs/>
          <w:color w:val="000000" w:themeColor="text1"/>
          <w:szCs w:val="22"/>
          <w:u w:val="single"/>
        </w:rPr>
        <w:t>předávání faktur</w:t>
      </w:r>
    </w:p>
    <w:p w14:paraId="71FE66C9" w14:textId="77777777" w:rsidR="0028326B" w:rsidRPr="00E27EBB" w:rsidRDefault="0028326B" w:rsidP="0028326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</w:pP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Další změna se týká předávání faktur podle čl. </w:t>
      </w:r>
      <w:r w:rsidRPr="00E27EBB">
        <w:rPr>
          <w:rFonts w:ascii="Arial" w:hAnsi="Arial" w:cs="Arial"/>
          <w:caps w:val="0"/>
          <w:color w:val="000000" w:themeColor="text1"/>
          <w:szCs w:val="22"/>
        </w:rPr>
        <w:t>4.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 xml:space="preserve">Platební a fakturační podmínky.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Nově podle čl. 4.3 mezi náležitosti Faktury nepatří kopie Akceptačního protokolu.</w:t>
      </w:r>
    </w:p>
    <w:p w14:paraId="26CB8141" w14:textId="77777777" w:rsidR="00417D84" w:rsidRPr="00E27EBB" w:rsidRDefault="00417D84" w:rsidP="00417D84">
      <w:pPr>
        <w:pStyle w:val="Level2"/>
        <w:numPr>
          <w:ilvl w:val="0"/>
          <w:numId w:val="0"/>
        </w:numPr>
        <w:tabs>
          <w:tab w:val="num" w:pos="1248"/>
        </w:tabs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V čl. 4.3 se mění věta třetí takto:</w:t>
      </w:r>
    </w:p>
    <w:p w14:paraId="682A726D" w14:textId="77777777" w:rsidR="00417D84" w:rsidRPr="00E27EBB" w:rsidRDefault="00417D84" w:rsidP="00417D8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E27EBB">
        <w:rPr>
          <w:rFonts w:ascii="Arial" w:hAnsi="Arial" w:cs="Arial"/>
          <w:i/>
          <w:iCs/>
          <w:color w:val="000000" w:themeColor="text1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7C7DCB1C" w14:textId="77777777" w:rsidR="007E5A47" w:rsidRPr="00E27EBB" w:rsidRDefault="007E5A47" w:rsidP="007E5A47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4AE26314" w14:textId="54D3A41F" w:rsidR="00435B15" w:rsidRPr="00F357D3" w:rsidRDefault="0013485A" w:rsidP="00093241">
      <w:pPr>
        <w:pStyle w:val="Level2"/>
        <w:tabs>
          <w:tab w:val="clear" w:pos="1247"/>
        </w:tabs>
        <w:spacing w:after="240"/>
        <w:rPr>
          <w:rFonts w:ascii="Arial" w:hAnsi="Arial" w:cs="Arial"/>
          <w:b/>
          <w:bCs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Cs w:val="22"/>
          <w:u w:val="single"/>
        </w:rPr>
        <w:t xml:space="preserve">ad B) </w:t>
      </w:r>
      <w:r w:rsidR="00D44CD3" w:rsidRPr="00F357D3">
        <w:rPr>
          <w:rFonts w:ascii="Arial" w:hAnsi="Arial" w:cs="Arial"/>
          <w:b/>
          <w:bCs/>
          <w:color w:val="000000" w:themeColor="text1"/>
          <w:szCs w:val="22"/>
          <w:u w:val="single"/>
        </w:rPr>
        <w:t>Způsob</w:t>
      </w:r>
      <w:r w:rsidR="00C43971" w:rsidRPr="00F357D3">
        <w:rPr>
          <w:rFonts w:ascii="Arial" w:hAnsi="Arial" w:cs="Arial"/>
          <w:b/>
          <w:bCs/>
          <w:color w:val="000000" w:themeColor="text1"/>
          <w:szCs w:val="22"/>
          <w:u w:val="single"/>
        </w:rPr>
        <w:t xml:space="preserve"> předávání digitálních dat</w:t>
      </w:r>
    </w:p>
    <w:p w14:paraId="19D19F8F" w14:textId="7BBB43EC" w:rsidR="00074318" w:rsidRPr="00E27EBB" w:rsidRDefault="00074318" w:rsidP="00074318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olor w:val="000000" w:themeColor="text1"/>
          <w:szCs w:val="22"/>
        </w:rPr>
      </w:pP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olor w:val="000000" w:themeColor="text1"/>
          <w:szCs w:val="22"/>
        </w:rPr>
        <w:t>2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ke Smlouvě je i změna způsobu předávání digitálních částí Díla. Na</w:t>
      </w:r>
      <w:r w:rsidR="00A5563A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 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Portálu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>Státního pozemkového úřadu (</w:t>
      </w:r>
      <w:r w:rsidRPr="00E27EBB">
        <w:rPr>
          <w:rFonts w:ascii="Arial" w:hAnsi="Arial" w:cs="Arial"/>
          <w:caps w:val="0"/>
          <w:color w:val="000000" w:themeColor="text1"/>
          <w:szCs w:val="22"/>
          <w:shd w:val="clear" w:color="auto" w:fill="FFFFFF"/>
        </w:rPr>
        <w:t>„SPÚ“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) bylo spuštěno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V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Předávání dat mezi oběma Smluvními stranami bude od data podpisu tohoto Dodatku č. 1 prováděno výhradně cestou Výměnného úložiště SPÚ, které je iniciováno a zpřístupněno ze strany SPÚ. V důsledku této změny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>se mění čl.</w:t>
      </w:r>
      <w:r w:rsidR="00A5563A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> </w:t>
      </w:r>
      <w:r w:rsidRPr="00E27EBB">
        <w:rPr>
          <w:rFonts w:ascii="Arial" w:hAnsi="Arial" w:cs="Arial"/>
          <w:color w:val="000000" w:themeColor="text1"/>
          <w:szCs w:val="22"/>
          <w:shd w:val="clear" w:color="auto" w:fill="FFFFFF"/>
        </w:rPr>
        <w:t>7.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  <w:shd w:val="clear" w:color="auto" w:fill="FFFFFF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>Technické požadavky na provedení díla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. </w:t>
      </w:r>
    </w:p>
    <w:p w14:paraId="19E2FFC7" w14:textId="77777777" w:rsidR="00074318" w:rsidRPr="00E27EBB" w:rsidRDefault="00074318" w:rsidP="00074318">
      <w:pPr>
        <w:rPr>
          <w:rFonts w:ascii="Arial" w:hAnsi="Arial" w:cs="Arial"/>
          <w:b/>
          <w:bCs/>
          <w:color w:val="000000" w:themeColor="text1"/>
          <w:lang w:val="cs-CZ" w:eastAsia="en-US"/>
        </w:rPr>
      </w:pPr>
      <w:r w:rsidRPr="00E27EBB">
        <w:rPr>
          <w:rFonts w:ascii="Arial" w:hAnsi="Arial" w:cs="Arial"/>
          <w:b/>
          <w:bCs/>
          <w:color w:val="000000" w:themeColor="text1"/>
          <w:lang w:val="cs-CZ" w:eastAsia="en-US"/>
        </w:rPr>
        <w:t xml:space="preserve">V čl. 7.1 se mění druhá věta takto: </w:t>
      </w:r>
    </w:p>
    <w:p w14:paraId="347B2C11" w14:textId="6086237D" w:rsidR="00074318" w:rsidRPr="00E27EBB" w:rsidRDefault="00074318" w:rsidP="00074318">
      <w:pPr>
        <w:rPr>
          <w:rFonts w:ascii="Arial" w:hAnsi="Arial" w:cs="Arial"/>
          <w:i/>
          <w:iCs/>
          <w:color w:val="000000" w:themeColor="text1"/>
          <w:lang w:val="cs-CZ" w:eastAsia="en-US"/>
        </w:rPr>
      </w:pPr>
      <w:r w:rsidRPr="00E27EBB">
        <w:rPr>
          <w:rFonts w:ascii="Arial" w:hAnsi="Arial" w:cs="Arial"/>
          <w:i/>
          <w:iCs/>
          <w:color w:val="000000" w:themeColor="text1"/>
          <w:lang w:val="cs-CZ" w:eastAsia="en-US"/>
        </w:rPr>
        <w:t>Dále budou dílčí části Hlavních celků a Hlavní celek 3 předány rovněž v digitální podobě ve</w:t>
      </w:r>
      <w:r w:rsidR="00A5563A">
        <w:rPr>
          <w:rFonts w:ascii="Arial" w:hAnsi="Arial" w:cs="Arial"/>
          <w:i/>
          <w:iCs/>
          <w:color w:val="000000" w:themeColor="text1"/>
          <w:lang w:val="cs-CZ" w:eastAsia="en-US"/>
        </w:rPr>
        <w:t> </w:t>
      </w:r>
      <w:r w:rsidRPr="00E27EBB">
        <w:rPr>
          <w:rFonts w:ascii="Arial" w:hAnsi="Arial" w:cs="Arial"/>
          <w:i/>
          <w:iCs/>
          <w:color w:val="000000" w:themeColor="text1"/>
          <w:lang w:val="cs-CZ" w:eastAsia="en-US"/>
        </w:rPr>
        <w:t>formátu VFP, společně s údaji Informačního systému katastru nemovitostí ve formátu VFK, v souladu s platným relevantním metodickým pokynem SPÚ, na výměnné úložiště SPÚ a</w:t>
      </w:r>
      <w:r w:rsidR="00A5563A">
        <w:rPr>
          <w:rFonts w:ascii="Arial" w:hAnsi="Arial" w:cs="Arial"/>
          <w:i/>
          <w:iCs/>
          <w:color w:val="000000" w:themeColor="text1"/>
          <w:lang w:val="cs-CZ" w:eastAsia="en-US"/>
        </w:rPr>
        <w:t> </w:t>
      </w:r>
      <w:r w:rsidRPr="00E27EBB">
        <w:rPr>
          <w:rFonts w:ascii="Arial" w:hAnsi="Arial" w:cs="Arial"/>
          <w:i/>
          <w:iCs/>
          <w:color w:val="000000" w:themeColor="text1"/>
          <w:lang w:val="cs-CZ" w:eastAsia="en-US"/>
        </w:rPr>
        <w:t>současně bude předána textová část ve formátu doc(x) nebo jiném formátu kompatibilním s</w:t>
      </w:r>
      <w:r w:rsidR="00A5563A">
        <w:rPr>
          <w:rFonts w:ascii="Arial" w:hAnsi="Arial" w:cs="Arial"/>
          <w:i/>
          <w:iCs/>
          <w:color w:val="000000" w:themeColor="text1"/>
          <w:lang w:val="cs-CZ" w:eastAsia="en-US"/>
        </w:rPr>
        <w:t> </w:t>
      </w:r>
      <w:r w:rsidRPr="00E27EBB">
        <w:rPr>
          <w:rFonts w:ascii="Arial" w:hAnsi="Arial" w:cs="Arial"/>
          <w:i/>
          <w:iCs/>
          <w:color w:val="000000" w:themeColor="text1"/>
          <w:lang w:val="cs-CZ" w:eastAsia="en-US"/>
        </w:rPr>
        <w:t>textovým editorem Microsoft Word, tabulková část ve formátu xls(x) nebo jiném formátu kompatibilním s programem Microsoft Excel.</w:t>
      </w:r>
    </w:p>
    <w:p w14:paraId="7456598C" w14:textId="77777777" w:rsidR="00074318" w:rsidRPr="00E27EBB" w:rsidRDefault="00074318" w:rsidP="00074318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Čl. 7.2 se mění takto:</w:t>
      </w:r>
    </w:p>
    <w:p w14:paraId="2FB633BD" w14:textId="16850604" w:rsidR="00074318" w:rsidRPr="00E27EBB" w:rsidRDefault="00074318" w:rsidP="00074318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i/>
          <w:iCs/>
          <w:color w:val="000000" w:themeColor="text1"/>
          <w:szCs w:val="22"/>
        </w:rPr>
      </w:pPr>
      <w:bookmarkStart w:id="1" w:name="_Ref61943163"/>
      <w:r w:rsidRPr="00E27EBB">
        <w:rPr>
          <w:rFonts w:ascii="Arial" w:hAnsi="Arial" w:cs="Arial"/>
          <w:i/>
          <w:iCs/>
          <w:color w:val="000000" w:themeColor="text1"/>
          <w:szCs w:val="22"/>
        </w:rPr>
        <w:t>Ukončené dílčí části Hlavních celků a Hlavní celek 3 Zhotovitel předá Objednateli s</w:t>
      </w:r>
      <w:r w:rsidR="00A5563A">
        <w:rPr>
          <w:rFonts w:ascii="Arial" w:hAnsi="Arial" w:cs="Arial"/>
          <w:i/>
          <w:iCs/>
          <w:color w:val="000000" w:themeColor="text1"/>
          <w:szCs w:val="22"/>
        </w:rPr>
        <w:t> </w:t>
      </w:r>
      <w:r w:rsidRPr="00E27EBB">
        <w:rPr>
          <w:rFonts w:ascii="Arial" w:hAnsi="Arial" w:cs="Arial"/>
          <w:i/>
          <w:iCs/>
          <w:color w:val="000000" w:themeColor="text1"/>
          <w:szCs w:val="22"/>
        </w:rPr>
        <w:t>náležitostmi podle čl. 7.1 v následujícím počtu vyhotovení, formě a příslušným osobám:</w:t>
      </w:r>
      <w:bookmarkEnd w:id="1"/>
    </w:p>
    <w:p w14:paraId="7BEBB871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Revize a doplnění stávajícího bodového pole – digitální vyhotovení určené Objednateli;</w:t>
      </w:r>
    </w:p>
    <w:p w14:paraId="1D0FBEA4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lastRenderedPageBreak/>
        <w:t>Podrobné měření polohopisu v obvodu KoPÚ – digitální vyhotovení určené Objednateli;</w:t>
      </w:r>
    </w:p>
    <w:p w14:paraId="00114929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Vektorizace vlastnické mapy – digitální vyhotovení určené Objednateli;</w:t>
      </w:r>
    </w:p>
    <w:p w14:paraId="32306A7C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Zjišťování průběhu hranic obvodu KoPÚ – 1x listinné a digitální vyhotovení určené Objednateli; geometrické plány budou odevzdány jen v digitálním vyhotovení;</w:t>
      </w:r>
    </w:p>
    <w:p w14:paraId="0671E08F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59C06FF7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 xml:space="preserve">Šetření průběhu vlastnických hranic řešených pozemků s porosty pro účely návrhu KoPÚ – 1x listinné a digitální vyhotovení určené Objednateli; </w:t>
      </w:r>
    </w:p>
    <w:p w14:paraId="46944267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Rozbor současného stavu – 1x listinné a digitální vyhotovení určené Objednateli;</w:t>
      </w:r>
    </w:p>
    <w:p w14:paraId="40C443EE" w14:textId="6063F7E4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Dokumentace nároků vlastníků – 4x listinné vyhotovení určené – 1x Objednateli, 1x</w:t>
      </w:r>
      <w:r w:rsidR="00FB091E"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příslušné obci k vyložení a 2x k rozeslání účastníkům řízení; digitální vyhotovení a 1x listinné vyhotovení</w:t>
      </w:r>
      <w:r w:rsidRPr="00E27EBB" w:rsidDel="00395278">
        <w:rPr>
          <w:rFonts w:ascii="Arial" w:hAnsi="Arial" w:cs="Arial"/>
          <w:i/>
          <w:iCs/>
          <w:color w:val="000000" w:themeColor="text1"/>
        </w:rPr>
        <w:t xml:space="preserve"> </w:t>
      </w:r>
      <w:r w:rsidRPr="00E27EBB">
        <w:rPr>
          <w:rFonts w:ascii="Arial" w:hAnsi="Arial" w:cs="Arial"/>
          <w:i/>
          <w:iCs/>
          <w:color w:val="000000" w:themeColor="text1"/>
        </w:rPr>
        <w:t>mapy vlastnických vztahů určené Objednateli;</w:t>
      </w:r>
    </w:p>
    <w:p w14:paraId="446EEB7C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PSZ:</w:t>
      </w:r>
    </w:p>
    <w:p w14:paraId="6E4CCEB5" w14:textId="77777777" w:rsidR="00074318" w:rsidRPr="00E27EBB" w:rsidRDefault="00074318" w:rsidP="00074318">
      <w:pPr>
        <w:pStyle w:val="Claneki"/>
        <w:keepNext w:val="0"/>
        <w:numPr>
          <w:ilvl w:val="3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dokumentace PSZ – 2x listinné vyhotovení určené – 1x Objednateli a 1x příslušné obci; digitální vyhotovení určené Objednateli;</w:t>
      </w:r>
    </w:p>
    <w:p w14:paraId="13A2EDB8" w14:textId="77777777" w:rsidR="00074318" w:rsidRPr="00E27EBB" w:rsidRDefault="00074318" w:rsidP="00074318">
      <w:pPr>
        <w:pStyle w:val="Claneki"/>
        <w:keepNext w:val="0"/>
        <w:numPr>
          <w:ilvl w:val="3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dokumentace technického řešení – 1x listinné a digitální vyhotovení určené Objednateli;</w:t>
      </w:r>
    </w:p>
    <w:p w14:paraId="6C8657F9" w14:textId="77777777" w:rsidR="00074318" w:rsidRPr="00E27EBB" w:rsidRDefault="00074318" w:rsidP="00074318">
      <w:pPr>
        <w:pStyle w:val="Claneki"/>
        <w:keepNext w:val="0"/>
        <w:numPr>
          <w:ilvl w:val="3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 xml:space="preserve">Vypracování aktualizace PSZ – 2x listinné vyhotovení určené – 1x Objednateli a 1x příslušné obci; digitální vyhotovení určené Objednateli; </w:t>
      </w:r>
    </w:p>
    <w:p w14:paraId="78E9EB22" w14:textId="77777777" w:rsidR="00074318" w:rsidRPr="00E27EBB" w:rsidRDefault="00074318" w:rsidP="00074318">
      <w:pPr>
        <w:pStyle w:val="Claneki"/>
        <w:keepNext w:val="0"/>
        <w:numPr>
          <w:ilvl w:val="3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kompletní digitální podoby dokumentace PSZ – digitální vyhotovení a 1x listinné vyhotovení mapy určené Objednateli;</w:t>
      </w:r>
    </w:p>
    <w:p w14:paraId="40EE64F9" w14:textId="77777777" w:rsidR="00074318" w:rsidRPr="00E27EBB" w:rsidRDefault="00074318" w:rsidP="00074318">
      <w:pPr>
        <w:pStyle w:val="Claneki"/>
        <w:keepNext w:val="0"/>
        <w:numPr>
          <w:ilvl w:val="3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Výškopisné zaměření zájmového území – digitální vyhotovení určené Objednateli;</w:t>
      </w:r>
    </w:p>
    <w:p w14:paraId="14A47469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04128C5B" w14:textId="3AD2E61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2" w:name="_Ref51580601"/>
      <w:r w:rsidRPr="00E27EBB">
        <w:rPr>
          <w:rFonts w:ascii="Arial" w:hAnsi="Arial" w:cs="Arial"/>
          <w:i/>
          <w:iCs/>
          <w:color w:val="000000" w:themeColor="text1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</w:t>
      </w:r>
      <w:r w:rsidR="00FB091E"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schválení návrhu určené – 1x Objednateli, 1x k rozeslání účastníkům řízení, 1x</w:t>
      </w:r>
      <w:r w:rsidR="00FB091E"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příslušné obci k veřejnému nahlédnutí; digitální vyhotovení určené Objednateli;</w:t>
      </w:r>
      <w:bookmarkEnd w:id="2"/>
    </w:p>
    <w:p w14:paraId="569F38FA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3" w:name="_Ref135050419"/>
      <w:r w:rsidRPr="00E27EBB">
        <w:rPr>
          <w:rFonts w:ascii="Arial" w:hAnsi="Arial" w:cs="Arial"/>
          <w:i/>
          <w:iCs/>
          <w:color w:val="000000" w:themeColor="text1"/>
        </w:rPr>
        <w:t>Vypracování podkladů pro změnu katastrální hranice – 1x listinné a digitální vyhotovení určené Objednateli, 1x listinné vyhotovení podkladů pro každou dotčenou obec;</w:t>
      </w:r>
      <w:bookmarkEnd w:id="3"/>
    </w:p>
    <w:p w14:paraId="3559B852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aktualizace návrhu – přiměřeně se použijí předchozí články Smlouvy;</w:t>
      </w:r>
    </w:p>
    <w:p w14:paraId="4E00F209" w14:textId="77777777" w:rsidR="00074318" w:rsidRPr="00E27EBB" w:rsidRDefault="00074318" w:rsidP="00074318">
      <w:pPr>
        <w:pStyle w:val="Claneka"/>
        <w:keepLines w:val="0"/>
        <w:widowControl/>
        <w:numPr>
          <w:ilvl w:val="2"/>
          <w:numId w:val="18"/>
        </w:numPr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Zpracování mapového díla – digitální vyhotovení určené Objednateli; a</w:t>
      </w:r>
    </w:p>
    <w:p w14:paraId="6791A0B3" w14:textId="7BC10E88" w:rsidR="00074318" w:rsidRPr="00F357D3" w:rsidRDefault="00074318" w:rsidP="00F357D3">
      <w:pPr>
        <w:pStyle w:val="Claneka"/>
        <w:keepLines w:val="0"/>
        <w:widowControl/>
        <w:numPr>
          <w:ilvl w:val="2"/>
          <w:numId w:val="18"/>
        </w:numPr>
        <w:spacing w:after="24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4" w:name="_Ref135050122"/>
      <w:r w:rsidRPr="00E27EBB">
        <w:rPr>
          <w:rFonts w:ascii="Arial" w:hAnsi="Arial" w:cs="Arial"/>
          <w:i/>
          <w:iCs/>
          <w:color w:val="000000" w:themeColor="text1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4"/>
    </w:p>
    <w:p w14:paraId="1523957D" w14:textId="5D601C92" w:rsidR="009B1EE6" w:rsidRPr="00A57D77" w:rsidRDefault="0013485A" w:rsidP="00093241">
      <w:pPr>
        <w:pStyle w:val="Level2"/>
        <w:tabs>
          <w:tab w:val="clear" w:pos="1247"/>
        </w:tabs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ad C) </w:t>
      </w:r>
      <w:r w:rsidR="00074318" w:rsidRPr="008273B9">
        <w:rPr>
          <w:rFonts w:ascii="Arial" w:hAnsi="Arial" w:cs="Arial"/>
          <w:b/>
          <w:bCs/>
          <w:u w:val="single"/>
        </w:rPr>
        <w:t>Nepodstatné změny závazků v počtu skutečně provedených měrných jednotek u dílčích fakturačních částí:</w:t>
      </w:r>
    </w:p>
    <w:p w14:paraId="71334215" w14:textId="618EAFD1" w:rsidR="00A57D77" w:rsidRPr="00D01C8D" w:rsidRDefault="00A57D77" w:rsidP="00A57D77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 w:rsidRPr="00D01C8D">
        <w:rPr>
          <w:rFonts w:ascii="Arial" w:hAnsi="Arial" w:cs="Arial"/>
          <w:b/>
          <w:bCs/>
        </w:rPr>
        <w:t xml:space="preserve">6.2.2. </w:t>
      </w:r>
      <w:r w:rsidR="007231EC" w:rsidRPr="00D01C8D">
        <w:rPr>
          <w:rFonts w:ascii="Arial" w:hAnsi="Arial" w:cs="Arial"/>
        </w:rPr>
        <w:t>Podrobné měření polohopisu v obvodu KoPÚ mimo trvalé porosty</w:t>
      </w:r>
      <w:r w:rsidR="00E751CB" w:rsidRPr="00D01C8D">
        <w:rPr>
          <w:rFonts w:ascii="Arial" w:hAnsi="Arial" w:cs="Arial"/>
        </w:rPr>
        <w:t xml:space="preserve"> </w:t>
      </w:r>
      <w:r w:rsidR="00B84913" w:rsidRPr="00D01C8D">
        <w:rPr>
          <w:rFonts w:ascii="Arial" w:hAnsi="Arial" w:cs="Arial"/>
        </w:rPr>
        <w:t>–</w:t>
      </w:r>
      <w:r w:rsidR="00E751CB" w:rsidRPr="00D01C8D">
        <w:rPr>
          <w:rFonts w:ascii="Arial" w:hAnsi="Arial" w:cs="Arial"/>
        </w:rPr>
        <w:t xml:space="preserve"> </w:t>
      </w:r>
      <w:bookmarkStart w:id="5" w:name="_Hlk168302501"/>
      <w:r w:rsidR="00B84913" w:rsidRPr="00D01C8D">
        <w:rPr>
          <w:rFonts w:ascii="Arial" w:hAnsi="Arial" w:cs="Arial"/>
          <w:u w:val="single"/>
        </w:rPr>
        <w:t>zvýšení</w:t>
      </w:r>
      <w:r w:rsidR="00B84913" w:rsidRPr="00D01C8D">
        <w:rPr>
          <w:rFonts w:ascii="Arial" w:hAnsi="Arial" w:cs="Arial"/>
        </w:rPr>
        <w:t xml:space="preserve"> z původního smluvního rozsahu</w:t>
      </w:r>
      <w:r w:rsidR="002412A6" w:rsidRPr="00D01C8D">
        <w:rPr>
          <w:rFonts w:ascii="Arial" w:hAnsi="Arial" w:cs="Arial"/>
        </w:rPr>
        <w:t xml:space="preserve"> 229 MJ na skutečný rozsah </w:t>
      </w:r>
      <w:r w:rsidR="00215C54" w:rsidRPr="00D01C8D">
        <w:rPr>
          <w:rFonts w:ascii="Arial" w:hAnsi="Arial" w:cs="Arial"/>
        </w:rPr>
        <w:t xml:space="preserve">provedených 231 MJ </w:t>
      </w:r>
      <w:bookmarkEnd w:id="5"/>
    </w:p>
    <w:p w14:paraId="11DCF1F1" w14:textId="7ADE3730" w:rsidR="009D46F9" w:rsidRPr="00D01C8D" w:rsidRDefault="009D46F9" w:rsidP="00A57D77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 w:rsidRPr="00D01C8D">
        <w:rPr>
          <w:rFonts w:ascii="Arial" w:hAnsi="Arial" w:cs="Arial"/>
          <w:b/>
          <w:bCs/>
        </w:rPr>
        <w:t xml:space="preserve">6.2.3. </w:t>
      </w:r>
      <w:r w:rsidRPr="00D01C8D">
        <w:rPr>
          <w:rFonts w:ascii="Arial" w:hAnsi="Arial" w:cs="Arial"/>
        </w:rPr>
        <w:t xml:space="preserve">Vektorizace vlastnické </w:t>
      </w:r>
      <w:r w:rsidR="003924AC" w:rsidRPr="00D01C8D">
        <w:rPr>
          <w:rFonts w:ascii="Arial" w:hAnsi="Arial" w:cs="Arial"/>
        </w:rPr>
        <w:t>mapy – snížení</w:t>
      </w:r>
      <w:r w:rsidR="003924AC" w:rsidRPr="00D01C8D">
        <w:rPr>
          <w:rFonts w:ascii="Arial" w:hAnsi="Arial" w:cs="Arial"/>
          <w:szCs w:val="22"/>
        </w:rPr>
        <w:t xml:space="preserve"> z původního smluvního rozsahu 5 MJ na skutečný rozsah provedených 4 MJ</w:t>
      </w:r>
    </w:p>
    <w:p w14:paraId="6B5840D0" w14:textId="5C7A02EA" w:rsidR="00847838" w:rsidRPr="00D01C8D" w:rsidRDefault="00847838" w:rsidP="00A57D77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  <w:r w:rsidRPr="00D01C8D">
        <w:rPr>
          <w:rFonts w:ascii="Arial" w:hAnsi="Arial" w:cs="Arial"/>
          <w:b/>
          <w:bCs/>
        </w:rPr>
        <w:t xml:space="preserve">6.2.6. </w:t>
      </w:r>
      <w:r w:rsidRPr="00D01C8D">
        <w:rPr>
          <w:rFonts w:ascii="Arial" w:hAnsi="Arial" w:cs="Arial"/>
        </w:rPr>
        <w:t>Šetření průběhu vlastnických hranic řešených pozemků s porosty pro účely návrhu</w:t>
      </w:r>
      <w:r w:rsidR="008D2BE3" w:rsidRPr="00D01C8D">
        <w:rPr>
          <w:rFonts w:ascii="Arial" w:hAnsi="Arial" w:cs="Arial"/>
        </w:rPr>
        <w:t xml:space="preserve"> KoPÚ, včetně označení lomových </w:t>
      </w:r>
      <w:r w:rsidR="00F62067" w:rsidRPr="00D01C8D">
        <w:rPr>
          <w:rFonts w:ascii="Arial" w:hAnsi="Arial" w:cs="Arial"/>
        </w:rPr>
        <w:t xml:space="preserve">bodů – </w:t>
      </w:r>
      <w:r w:rsidR="00F62067" w:rsidRPr="00D01C8D">
        <w:rPr>
          <w:rFonts w:ascii="Arial" w:hAnsi="Arial" w:cs="Arial"/>
          <w:u w:val="single"/>
        </w:rPr>
        <w:t>zvýšení</w:t>
      </w:r>
      <w:r w:rsidR="00650C09" w:rsidRPr="00D01C8D">
        <w:rPr>
          <w:rFonts w:ascii="Arial" w:hAnsi="Arial" w:cs="Arial"/>
        </w:rPr>
        <w:t xml:space="preserve"> z původního smluvního rozsahu 16 MJ na skutečný rozsah provedených 19 MJ</w:t>
      </w:r>
    </w:p>
    <w:p w14:paraId="5405523E" w14:textId="05F42016" w:rsidR="00525487" w:rsidRPr="00D01C8D" w:rsidRDefault="00525487" w:rsidP="00525487">
      <w:pPr>
        <w:pStyle w:val="Level2"/>
        <w:numPr>
          <w:ilvl w:val="0"/>
          <w:numId w:val="0"/>
        </w:numPr>
        <w:spacing w:after="240"/>
        <w:outlineLvl w:val="9"/>
        <w:rPr>
          <w:rFonts w:ascii="Arial" w:hAnsi="Arial" w:cs="Arial"/>
        </w:rPr>
      </w:pPr>
      <w:r w:rsidRPr="00D01C8D">
        <w:rPr>
          <w:rFonts w:ascii="Arial" w:hAnsi="Arial" w:cs="Arial"/>
          <w:b/>
          <w:bCs/>
          <w:szCs w:val="22"/>
        </w:rPr>
        <w:t xml:space="preserve">6.2.7. </w:t>
      </w:r>
      <w:r w:rsidRPr="00D01C8D">
        <w:rPr>
          <w:rFonts w:ascii="Arial" w:hAnsi="Arial" w:cs="Arial"/>
          <w:szCs w:val="22"/>
        </w:rPr>
        <w:t xml:space="preserve">Rozbor současného stavu – </w:t>
      </w:r>
      <w:bookmarkStart w:id="6" w:name="_Hlk168302457"/>
      <w:r w:rsidR="00650C09" w:rsidRPr="00D01C8D">
        <w:rPr>
          <w:rFonts w:ascii="Arial" w:hAnsi="Arial" w:cs="Arial"/>
          <w:szCs w:val="22"/>
          <w:u w:val="single"/>
        </w:rPr>
        <w:t>zvýšení</w:t>
      </w:r>
      <w:r w:rsidRPr="00D01C8D">
        <w:rPr>
          <w:rFonts w:ascii="Arial" w:hAnsi="Arial" w:cs="Arial"/>
          <w:szCs w:val="22"/>
        </w:rPr>
        <w:t xml:space="preserve"> z původního smluvního rozsahu </w:t>
      </w:r>
      <w:r w:rsidR="0097152B" w:rsidRPr="00D01C8D">
        <w:rPr>
          <w:rFonts w:ascii="Arial" w:hAnsi="Arial" w:cs="Arial"/>
          <w:szCs w:val="22"/>
        </w:rPr>
        <w:t>279</w:t>
      </w:r>
      <w:r w:rsidRPr="00D01C8D">
        <w:rPr>
          <w:rFonts w:ascii="Arial" w:hAnsi="Arial" w:cs="Arial"/>
          <w:szCs w:val="22"/>
        </w:rPr>
        <w:t xml:space="preserve"> MJ na skutečný rozsah provedených </w:t>
      </w:r>
      <w:r w:rsidR="0097152B" w:rsidRPr="00D01C8D">
        <w:rPr>
          <w:rFonts w:ascii="Arial" w:hAnsi="Arial" w:cs="Arial"/>
          <w:szCs w:val="22"/>
        </w:rPr>
        <w:t>281</w:t>
      </w:r>
      <w:r w:rsidRPr="00D01C8D">
        <w:rPr>
          <w:rFonts w:ascii="Arial" w:hAnsi="Arial" w:cs="Arial"/>
          <w:szCs w:val="22"/>
        </w:rPr>
        <w:t xml:space="preserve"> MJ</w:t>
      </w:r>
      <w:bookmarkEnd w:id="6"/>
    </w:p>
    <w:p w14:paraId="6B31061D" w14:textId="5CE7871B" w:rsidR="00525487" w:rsidRPr="00D01C8D" w:rsidRDefault="00525487" w:rsidP="00525487">
      <w:pPr>
        <w:pStyle w:val="Level2"/>
        <w:numPr>
          <w:ilvl w:val="0"/>
          <w:numId w:val="0"/>
        </w:numPr>
        <w:spacing w:after="240"/>
        <w:outlineLvl w:val="9"/>
        <w:rPr>
          <w:rFonts w:ascii="Arial" w:hAnsi="Arial" w:cs="Arial"/>
          <w:szCs w:val="22"/>
        </w:rPr>
      </w:pPr>
      <w:r w:rsidRPr="00D01C8D">
        <w:rPr>
          <w:rFonts w:ascii="Arial" w:hAnsi="Arial" w:cs="Arial"/>
          <w:b/>
          <w:bCs/>
          <w:szCs w:val="22"/>
        </w:rPr>
        <w:t xml:space="preserve">6.2.8. </w:t>
      </w:r>
      <w:r w:rsidRPr="00D01C8D">
        <w:rPr>
          <w:rFonts w:ascii="Arial" w:hAnsi="Arial" w:cs="Arial"/>
          <w:szCs w:val="22"/>
        </w:rPr>
        <w:t xml:space="preserve">Dokumentace k soupisu nároků vlastníků pozemků – </w:t>
      </w:r>
      <w:r w:rsidR="0097152B" w:rsidRPr="00D01C8D">
        <w:rPr>
          <w:rFonts w:ascii="Arial" w:hAnsi="Arial" w:cs="Arial"/>
          <w:szCs w:val="22"/>
          <w:u w:val="single"/>
        </w:rPr>
        <w:t>zvýšení</w:t>
      </w:r>
      <w:r w:rsidRPr="00D01C8D">
        <w:rPr>
          <w:rFonts w:ascii="Arial" w:hAnsi="Arial" w:cs="Arial"/>
          <w:szCs w:val="22"/>
        </w:rPr>
        <w:t xml:space="preserve"> z původního smluvního rozsahu </w:t>
      </w:r>
      <w:r w:rsidR="00363265" w:rsidRPr="00D01C8D">
        <w:rPr>
          <w:rFonts w:ascii="Arial" w:hAnsi="Arial" w:cs="Arial"/>
          <w:szCs w:val="22"/>
        </w:rPr>
        <w:t>279</w:t>
      </w:r>
      <w:r w:rsidRPr="00D01C8D">
        <w:rPr>
          <w:rFonts w:ascii="Arial" w:hAnsi="Arial" w:cs="Arial"/>
          <w:szCs w:val="22"/>
        </w:rPr>
        <w:t xml:space="preserve"> MJ na skutečný rozsah provedených </w:t>
      </w:r>
      <w:r w:rsidR="00906FBB" w:rsidRPr="00D01C8D">
        <w:rPr>
          <w:rFonts w:ascii="Arial" w:hAnsi="Arial" w:cs="Arial"/>
          <w:szCs w:val="22"/>
        </w:rPr>
        <w:t>281</w:t>
      </w:r>
      <w:r w:rsidRPr="00D01C8D">
        <w:rPr>
          <w:rFonts w:ascii="Arial" w:hAnsi="Arial" w:cs="Arial"/>
          <w:szCs w:val="22"/>
        </w:rPr>
        <w:t xml:space="preserve"> MJ</w:t>
      </w:r>
    </w:p>
    <w:p w14:paraId="685424E5" w14:textId="79EC8E84" w:rsidR="0057295D" w:rsidRPr="00D01C8D" w:rsidRDefault="0057295D" w:rsidP="0057295D">
      <w:pPr>
        <w:pStyle w:val="Level2"/>
        <w:numPr>
          <w:ilvl w:val="0"/>
          <w:numId w:val="0"/>
        </w:numPr>
        <w:spacing w:after="240"/>
        <w:outlineLvl w:val="9"/>
        <w:rPr>
          <w:rFonts w:ascii="Arial" w:hAnsi="Arial" w:cs="Arial"/>
        </w:rPr>
      </w:pPr>
      <w:r w:rsidRPr="00D01C8D">
        <w:rPr>
          <w:rFonts w:ascii="Arial" w:hAnsi="Arial" w:cs="Arial"/>
          <w:b/>
          <w:bCs/>
        </w:rPr>
        <w:t>6.3.1</w:t>
      </w:r>
      <w:r w:rsidRPr="00D01C8D">
        <w:rPr>
          <w:rFonts w:ascii="Arial" w:hAnsi="Arial" w:cs="Arial"/>
        </w:rPr>
        <w:t xml:space="preserve">. Vypracování plánu společných zařízení ("PSZ") – </w:t>
      </w:r>
      <w:bookmarkStart w:id="7" w:name="_Hlk168303364"/>
      <w:r w:rsidR="00906FBB" w:rsidRPr="00D01C8D">
        <w:rPr>
          <w:rFonts w:ascii="Arial" w:hAnsi="Arial" w:cs="Arial"/>
          <w:u w:val="single"/>
        </w:rPr>
        <w:t>zvýšení</w:t>
      </w:r>
      <w:bookmarkEnd w:id="7"/>
      <w:r w:rsidRPr="00D01C8D">
        <w:rPr>
          <w:rFonts w:ascii="Arial" w:hAnsi="Arial" w:cs="Arial"/>
        </w:rPr>
        <w:t xml:space="preserve"> z původního smluvního rozsahu </w:t>
      </w:r>
      <w:r w:rsidR="009C10E2" w:rsidRPr="00D01C8D">
        <w:rPr>
          <w:rFonts w:ascii="Arial" w:hAnsi="Arial" w:cs="Arial"/>
        </w:rPr>
        <w:t>27</w:t>
      </w:r>
      <w:r w:rsidR="00605F26" w:rsidRPr="00D01C8D">
        <w:rPr>
          <w:rFonts w:ascii="Arial" w:hAnsi="Arial" w:cs="Arial"/>
        </w:rPr>
        <w:t>2</w:t>
      </w:r>
      <w:r w:rsidRPr="00D01C8D">
        <w:rPr>
          <w:rFonts w:ascii="Arial" w:hAnsi="Arial" w:cs="Arial"/>
        </w:rPr>
        <w:t xml:space="preserve"> MJ na skutečný rozsah provedených </w:t>
      </w:r>
      <w:r w:rsidR="00605F26" w:rsidRPr="00D01C8D">
        <w:rPr>
          <w:rFonts w:ascii="Arial" w:hAnsi="Arial" w:cs="Arial"/>
        </w:rPr>
        <w:t>274</w:t>
      </w:r>
      <w:r w:rsidRPr="00D01C8D">
        <w:rPr>
          <w:rFonts w:ascii="Arial" w:hAnsi="Arial" w:cs="Arial"/>
        </w:rPr>
        <w:t xml:space="preserve"> MJ</w:t>
      </w:r>
    </w:p>
    <w:p w14:paraId="7F184DCA" w14:textId="2AE03F96" w:rsidR="0057295D" w:rsidRPr="00D01C8D" w:rsidRDefault="0057295D" w:rsidP="0057295D">
      <w:pPr>
        <w:spacing w:after="0" w:line="240" w:lineRule="auto"/>
        <w:rPr>
          <w:rFonts w:ascii="Arial" w:hAnsi="Arial" w:cs="Arial"/>
          <w:snapToGrid w:val="0"/>
        </w:rPr>
      </w:pPr>
      <w:r w:rsidRPr="00D01C8D">
        <w:rPr>
          <w:rFonts w:ascii="Arial" w:hAnsi="Arial" w:cs="Arial"/>
          <w:b/>
          <w:bCs/>
        </w:rPr>
        <w:t xml:space="preserve">6.3.2. </w:t>
      </w:r>
      <w:r w:rsidRPr="00D01C8D">
        <w:rPr>
          <w:rFonts w:ascii="Arial" w:hAnsi="Arial" w:cs="Arial"/>
          <w:snapToGrid w:val="0"/>
        </w:rPr>
        <w:t xml:space="preserve">Vypracování návrhu nového uspořádání pozemků k vystavení dle § 11 odst. 1 zákona –  </w:t>
      </w:r>
      <w:r w:rsidR="002F369A" w:rsidRPr="00D01C8D">
        <w:rPr>
          <w:rFonts w:ascii="Arial" w:hAnsi="Arial" w:cs="Arial"/>
          <w:u w:val="single"/>
        </w:rPr>
        <w:t>zvýšení</w:t>
      </w:r>
      <w:r w:rsidRPr="00D01C8D">
        <w:rPr>
          <w:rFonts w:ascii="Arial" w:hAnsi="Arial" w:cs="Arial"/>
          <w:snapToGrid w:val="0"/>
        </w:rPr>
        <w:t xml:space="preserve"> z původního smluvního rozsahu </w:t>
      </w:r>
      <w:r w:rsidR="00605F26" w:rsidRPr="00D01C8D">
        <w:rPr>
          <w:rFonts w:ascii="Arial" w:hAnsi="Arial" w:cs="Arial"/>
          <w:snapToGrid w:val="0"/>
        </w:rPr>
        <w:t>272</w:t>
      </w:r>
      <w:r w:rsidRPr="00D01C8D">
        <w:rPr>
          <w:rFonts w:ascii="Arial" w:hAnsi="Arial" w:cs="Arial"/>
          <w:snapToGrid w:val="0"/>
        </w:rPr>
        <w:t xml:space="preserve"> MJ na skutečný rozsah provedených </w:t>
      </w:r>
      <w:r w:rsidR="00605F26" w:rsidRPr="00D01C8D">
        <w:rPr>
          <w:rFonts w:ascii="Arial" w:hAnsi="Arial" w:cs="Arial"/>
          <w:snapToGrid w:val="0"/>
        </w:rPr>
        <w:t>274</w:t>
      </w:r>
      <w:r w:rsidRPr="00D01C8D">
        <w:rPr>
          <w:rFonts w:ascii="Arial" w:hAnsi="Arial" w:cs="Arial"/>
          <w:snapToGrid w:val="0"/>
        </w:rPr>
        <w:t xml:space="preserve"> MJ</w:t>
      </w:r>
    </w:p>
    <w:p w14:paraId="626D2E19" w14:textId="77777777" w:rsidR="0057295D" w:rsidRPr="00D01C8D" w:rsidRDefault="0057295D" w:rsidP="0057295D">
      <w:pPr>
        <w:spacing w:after="0" w:line="240" w:lineRule="auto"/>
        <w:rPr>
          <w:rFonts w:ascii="Arial" w:hAnsi="Arial" w:cs="Arial"/>
          <w:snapToGrid w:val="0"/>
        </w:rPr>
      </w:pPr>
    </w:p>
    <w:p w14:paraId="118E6EB2" w14:textId="6CCE8E5D" w:rsidR="0057295D" w:rsidRPr="00D01C8D" w:rsidRDefault="0057295D" w:rsidP="0057295D">
      <w:pPr>
        <w:spacing w:after="0" w:line="240" w:lineRule="auto"/>
        <w:rPr>
          <w:rFonts w:ascii="Arial" w:hAnsi="Arial" w:cs="Arial"/>
          <w:snapToGrid w:val="0"/>
        </w:rPr>
      </w:pPr>
      <w:r w:rsidRPr="00D01C8D">
        <w:rPr>
          <w:rFonts w:ascii="Arial" w:hAnsi="Arial" w:cs="Arial"/>
          <w:b/>
          <w:bCs/>
        </w:rPr>
        <w:t xml:space="preserve">6.4. </w:t>
      </w:r>
      <w:r w:rsidRPr="00D01C8D">
        <w:rPr>
          <w:rFonts w:ascii="Arial" w:hAnsi="Arial" w:cs="Arial"/>
          <w:snapToGrid w:val="0"/>
        </w:rPr>
        <w:t xml:space="preserve">Mapové dílo - </w:t>
      </w:r>
      <w:r w:rsidR="002F369A" w:rsidRPr="00D01C8D">
        <w:rPr>
          <w:rFonts w:ascii="Arial" w:hAnsi="Arial" w:cs="Arial"/>
          <w:u w:val="single"/>
        </w:rPr>
        <w:t>zvýšení</w:t>
      </w:r>
      <w:r w:rsidRPr="00D01C8D">
        <w:rPr>
          <w:rFonts w:ascii="Arial" w:hAnsi="Arial" w:cs="Arial"/>
          <w:snapToGrid w:val="0"/>
        </w:rPr>
        <w:t xml:space="preserve"> z původního smluvního rozsahu </w:t>
      </w:r>
      <w:r w:rsidR="008214E2" w:rsidRPr="00D01C8D">
        <w:rPr>
          <w:rFonts w:ascii="Arial" w:hAnsi="Arial" w:cs="Arial"/>
          <w:snapToGrid w:val="0"/>
        </w:rPr>
        <w:t>279</w:t>
      </w:r>
      <w:r w:rsidRPr="00D01C8D">
        <w:rPr>
          <w:rFonts w:ascii="Arial" w:hAnsi="Arial" w:cs="Arial"/>
          <w:snapToGrid w:val="0"/>
        </w:rPr>
        <w:t xml:space="preserve"> MJ na skutečný rozsah            provedených </w:t>
      </w:r>
      <w:r w:rsidR="008214E2" w:rsidRPr="00D01C8D">
        <w:rPr>
          <w:rFonts w:ascii="Arial" w:hAnsi="Arial" w:cs="Arial"/>
          <w:snapToGrid w:val="0"/>
        </w:rPr>
        <w:t>281</w:t>
      </w:r>
      <w:r w:rsidRPr="00D01C8D">
        <w:rPr>
          <w:rFonts w:ascii="Arial" w:hAnsi="Arial" w:cs="Arial"/>
          <w:snapToGrid w:val="0"/>
        </w:rPr>
        <w:t xml:space="preserve"> MJ</w:t>
      </w:r>
    </w:p>
    <w:p w14:paraId="1AC19D73" w14:textId="77777777" w:rsidR="00B809AE" w:rsidRPr="00D01C8D" w:rsidRDefault="00B809AE" w:rsidP="0057295D">
      <w:pPr>
        <w:spacing w:after="0" w:line="240" w:lineRule="auto"/>
        <w:rPr>
          <w:rFonts w:ascii="Arial" w:hAnsi="Arial" w:cs="Arial"/>
          <w:snapToGrid w:val="0"/>
        </w:rPr>
      </w:pPr>
    </w:p>
    <w:p w14:paraId="7CCAE25E" w14:textId="77777777" w:rsidR="00B809AE" w:rsidRPr="00D01C8D" w:rsidRDefault="00B809AE" w:rsidP="0057295D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D01C8D" w:rsidRPr="00D01C8D" w14:paraId="3DE0DD84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FAA9" w14:textId="5BB15A1F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Fakturační celek 6.2.2.: </w:t>
            </w:r>
            <w:r w:rsidRPr="00D01C8D">
              <w:rPr>
                <w:rFonts w:ascii="Arial" w:hAnsi="Arial" w:cs="Arial"/>
                <w:b/>
              </w:rPr>
              <w:t>Podrobné měření polohopisu v obvodu KoPÚ mimo trvalé porosty</w:t>
            </w:r>
          </w:p>
        </w:tc>
      </w:tr>
      <w:tr w:rsidR="00D01C8D" w:rsidRPr="00D01C8D" w14:paraId="2B3B814D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ECAA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1C2F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1C9A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1E82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D8B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FCE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01C8D" w:rsidRPr="00D01C8D" w14:paraId="20D090AB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3B0B" w14:textId="38233D44" w:rsidR="00B809AE" w:rsidRPr="00D01C8D" w:rsidRDefault="00DF0122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E732" w14:textId="0BBE6A7B" w:rsidR="00B809AE" w:rsidRPr="00D01C8D" w:rsidRDefault="00DF0122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231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269B" w14:textId="4C942ACA" w:rsidR="00B809AE" w:rsidRPr="00D01C8D" w:rsidRDefault="00742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1 815</w:t>
            </w:r>
            <w:r w:rsidR="00B809AE" w:rsidRPr="00D01C8D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E00D" w14:textId="4F79A43D" w:rsidR="00B809AE" w:rsidRPr="00D01C8D" w:rsidRDefault="00742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415 635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2119" w14:textId="2A3D0D83" w:rsidR="00B809AE" w:rsidRPr="00D01C8D" w:rsidRDefault="00D03AE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419 265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5C5" w14:textId="059002E0" w:rsidR="00B809AE" w:rsidRPr="00D01C8D" w:rsidRDefault="00885F8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 + </w:t>
            </w:r>
            <w:r w:rsidR="00F91A13" w:rsidRPr="00D01C8D">
              <w:rPr>
                <w:rFonts w:ascii="Arial" w:eastAsia="Arial" w:hAnsi="Arial" w:cs="Arial"/>
                <w:b/>
                <w:snapToGrid w:val="0"/>
              </w:rPr>
              <w:t xml:space="preserve">3 </w:t>
            </w:r>
            <w:r w:rsidR="00A51B55" w:rsidRPr="00D01C8D">
              <w:rPr>
                <w:rFonts w:ascii="Arial" w:eastAsia="Arial" w:hAnsi="Arial" w:cs="Arial"/>
                <w:b/>
                <w:snapToGrid w:val="0"/>
              </w:rPr>
              <w:t>630</w:t>
            </w:r>
          </w:p>
        </w:tc>
      </w:tr>
      <w:tr w:rsidR="00D01C8D" w:rsidRPr="00D01C8D" w14:paraId="5FF8F9C8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B63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8CE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01C8D" w:rsidRPr="00D01C8D" w14:paraId="2B3AD985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742" w14:textId="3D1772AE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Fakturační celek 6.2.3.: </w:t>
            </w:r>
            <w:r w:rsidRPr="00D01C8D">
              <w:rPr>
                <w:rFonts w:ascii="Arial" w:hAnsi="Arial" w:cs="Arial"/>
                <w:b/>
                <w:bCs/>
              </w:rPr>
              <w:t>Vektorizace vlastnické mapy</w:t>
            </w:r>
          </w:p>
        </w:tc>
      </w:tr>
      <w:tr w:rsidR="00D01C8D" w:rsidRPr="00D01C8D" w14:paraId="723D3597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79D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22C7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D5F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E60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30D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C09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01C8D" w:rsidRPr="00D01C8D" w14:paraId="350F7860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745" w14:textId="6D2CE83F" w:rsidR="00B809AE" w:rsidRPr="00D01C8D" w:rsidRDefault="00885F8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DD2" w14:textId="3B291FE7" w:rsidR="00B809AE" w:rsidRPr="00D01C8D" w:rsidRDefault="00885F8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6D45" w14:textId="27D43F3B" w:rsidR="00B809AE" w:rsidRPr="00D01C8D" w:rsidRDefault="00885F8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6 050</w:t>
            </w:r>
            <w:r w:rsidR="00B809AE" w:rsidRPr="00D01C8D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AA96" w14:textId="1DD7E054" w:rsidR="00B809AE" w:rsidRPr="00D01C8D" w:rsidRDefault="00F06765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30 250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1103" w14:textId="7045484F" w:rsidR="00B809AE" w:rsidRPr="00D01C8D" w:rsidRDefault="00F06765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24</w:t>
            </w:r>
            <w:r w:rsidR="002103EF" w:rsidRPr="00D01C8D">
              <w:rPr>
                <w:rFonts w:ascii="Arial" w:eastAsia="Arial" w:hAnsi="Arial" w:cs="Arial"/>
                <w:b/>
                <w:snapToGrid w:val="0"/>
              </w:rPr>
              <w:t> </w:t>
            </w:r>
            <w:r w:rsidRPr="00D01C8D">
              <w:rPr>
                <w:rFonts w:ascii="Arial" w:eastAsia="Arial" w:hAnsi="Arial" w:cs="Arial"/>
                <w:b/>
                <w:snapToGrid w:val="0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75BC" w14:textId="6412E2B0" w:rsidR="00B809AE" w:rsidRPr="00D01C8D" w:rsidRDefault="002103EF" w:rsidP="002103EF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- 6 050</w:t>
            </w:r>
          </w:p>
        </w:tc>
      </w:tr>
      <w:tr w:rsidR="00D01C8D" w:rsidRPr="00D01C8D" w14:paraId="7D2D7F56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4DE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1E5" w14:textId="77777777" w:rsidR="00B809AE" w:rsidRPr="00D01C8D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01C8D" w:rsidRPr="00D01C8D" w14:paraId="75C51363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DA93" w14:textId="04DCCFC3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B809AE" w:rsidRPr="00D01C8D">
              <w:rPr>
                <w:rFonts w:ascii="Arial" w:eastAsia="Arial" w:hAnsi="Arial" w:cs="Arial"/>
                <w:b/>
                <w:snapToGrid w:val="0"/>
              </w:rPr>
              <w:t>6</w:t>
            </w: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.: </w:t>
            </w:r>
            <w:r w:rsidR="00FE65F2" w:rsidRPr="00D01C8D">
              <w:rPr>
                <w:rFonts w:ascii="Arial" w:hAnsi="Arial" w:cs="Arial"/>
                <w:b/>
                <w:bCs/>
              </w:rPr>
              <w:t>Šetření průběhu vlastnických hranic řešených pozemků s porosty pro účely návrhu KoPÚ, včetně označení lomových bodů</w:t>
            </w:r>
          </w:p>
        </w:tc>
      </w:tr>
      <w:tr w:rsidR="00D01C8D" w:rsidRPr="00D01C8D" w14:paraId="772A3D56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2F0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256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C37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A50D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D338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C99C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01C8D" w:rsidRPr="00D01C8D" w14:paraId="7F9CA8CC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104" w14:textId="75946AA0" w:rsidR="00756060" w:rsidRPr="00D01C8D" w:rsidRDefault="002103E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9B33" w14:textId="1A370885" w:rsidR="00756060" w:rsidRPr="00D01C8D" w:rsidRDefault="002103E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B7B7" w14:textId="5FAB6688" w:rsidR="00756060" w:rsidRPr="00D01C8D" w:rsidRDefault="002103E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2 420</w:t>
            </w:r>
            <w:r w:rsidR="00756060" w:rsidRPr="00D01C8D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A633" w14:textId="07774B3D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3</w:t>
            </w:r>
            <w:r w:rsidR="002103EF" w:rsidRPr="00D01C8D">
              <w:rPr>
                <w:rFonts w:ascii="Arial" w:eastAsia="Arial" w:hAnsi="Arial" w:cs="Arial"/>
                <w:b/>
                <w:snapToGrid w:val="0"/>
              </w:rPr>
              <w:t>8</w:t>
            </w: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2103EF" w:rsidRPr="00D01C8D">
              <w:rPr>
                <w:rFonts w:ascii="Arial" w:eastAsia="Arial" w:hAnsi="Arial" w:cs="Arial"/>
                <w:b/>
                <w:snapToGrid w:val="0"/>
              </w:rPr>
              <w:t>720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A746" w14:textId="1F6C008C" w:rsidR="00756060" w:rsidRPr="00D01C8D" w:rsidRDefault="002103E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45 980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23D6" w14:textId="0BE799EB" w:rsidR="00756060" w:rsidRPr="00D01C8D" w:rsidRDefault="002103E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+ 7 260</w:t>
            </w:r>
          </w:p>
        </w:tc>
      </w:tr>
      <w:tr w:rsidR="00D01C8D" w:rsidRPr="00D01C8D" w14:paraId="41D0B136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511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9DD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01C8D" w:rsidRPr="00D01C8D" w14:paraId="716297B9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6A4A" w14:textId="77777777" w:rsidR="00FE65F2" w:rsidRPr="00D01C8D" w:rsidRDefault="00FE65F2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83A9" w14:textId="77777777" w:rsidR="00FE65F2" w:rsidRPr="00D01C8D" w:rsidRDefault="00FE65F2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756060" w:rsidRPr="00406B0B" w14:paraId="5B7DE662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3ADB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lastRenderedPageBreak/>
              <w:t>Fakturační celek 6.2.7.: Rozbor současného stavu</w:t>
            </w:r>
          </w:p>
        </w:tc>
      </w:tr>
      <w:tr w:rsidR="00756060" w:rsidRPr="00406B0B" w14:paraId="0DA77E3A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1D24" w14:textId="77777777" w:rsidR="00756060" w:rsidRPr="00406B0B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91E4" w14:textId="77777777" w:rsidR="00756060" w:rsidRPr="00406B0B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Počet MJ </w:t>
            </w:r>
            <w:r>
              <w:rPr>
                <w:rFonts w:ascii="Arial" w:eastAsia="Arial" w:hAnsi="Arial" w:cs="Arial"/>
                <w:b/>
                <w:snapToGrid w:val="0"/>
              </w:rPr>
              <w:t>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D14A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84C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B8DE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B65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756060" w:rsidRPr="00DE6FB1" w14:paraId="450A492C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2659" w14:textId="52CF947C" w:rsidR="00756060" w:rsidRPr="00D01C8D" w:rsidRDefault="003D6A88" w:rsidP="008C24D0">
            <w:pPr>
              <w:tabs>
                <w:tab w:val="left" w:pos="705"/>
              </w:tabs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15C7" w14:textId="5F5764D1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2711" w14:textId="064CE6B2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726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A4BA" w14:textId="41730C8B" w:rsidR="00756060" w:rsidRPr="00D01C8D" w:rsidRDefault="006211B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202 554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21A8" w14:textId="1B760176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204 006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D258" w14:textId="2AF4E4B7" w:rsidR="00756060" w:rsidRPr="00D01C8D" w:rsidRDefault="008C549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+ 1</w:t>
            </w:r>
            <w:r w:rsidR="00EE378A" w:rsidRPr="00D01C8D">
              <w:rPr>
                <w:rFonts w:ascii="Arial" w:eastAsia="Arial" w:hAnsi="Arial" w:cs="Arial"/>
                <w:b/>
                <w:snapToGrid w:val="0"/>
              </w:rPr>
              <w:t xml:space="preserve"> 452</w:t>
            </w:r>
          </w:p>
        </w:tc>
      </w:tr>
      <w:tr w:rsidR="00756060" w:rsidRPr="00406B0B" w14:paraId="72941648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73D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93A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756060" w:rsidRPr="00406B0B" w14:paraId="2D52B936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BB8C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Fakturační celek 6.2.8.: Dokumentace k soupisu nároků vlastníků pozemků</w:t>
            </w:r>
          </w:p>
        </w:tc>
      </w:tr>
      <w:tr w:rsidR="00D01C8D" w:rsidRPr="00D01C8D" w14:paraId="140BE6EF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0DCE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72BA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09B6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512C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FED1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7F1A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01C8D" w:rsidRPr="00D01C8D" w14:paraId="2D0A25A1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142D" w14:textId="3A9B804D" w:rsidR="00756060" w:rsidRPr="00D01C8D" w:rsidRDefault="003D6A88" w:rsidP="008C24D0">
            <w:pPr>
              <w:tabs>
                <w:tab w:val="left" w:pos="705"/>
              </w:tabs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C269" w14:textId="4C9BB528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1B99" w14:textId="4DC14174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726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942D" w14:textId="715EFC15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202 554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42CA" w14:textId="7F5DB83C" w:rsidR="00756060" w:rsidRPr="00D01C8D" w:rsidRDefault="003D6A8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204 006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FAF3" w14:textId="0E096374" w:rsidR="00756060" w:rsidRPr="00D01C8D" w:rsidRDefault="00EE378A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+ 1 452</w:t>
            </w:r>
          </w:p>
        </w:tc>
      </w:tr>
      <w:tr w:rsidR="00D01C8D" w:rsidRPr="00D01C8D" w14:paraId="6615F428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3CC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FCB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01C8D" w:rsidRPr="00D01C8D" w14:paraId="2904906A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9492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Fakturační celek 6.3.1.: </w:t>
            </w:r>
            <w:r w:rsidRPr="00D01C8D">
              <w:rPr>
                <w:rFonts w:ascii="Arial" w:hAnsi="Arial" w:cs="Arial"/>
                <w:b/>
                <w:snapToGrid w:val="0"/>
              </w:rPr>
              <w:t>Vypracování plánu společných zařízení ("PSZ")</w:t>
            </w:r>
          </w:p>
        </w:tc>
      </w:tr>
      <w:tr w:rsidR="00D01C8D" w:rsidRPr="00D01C8D" w14:paraId="2B5ED506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139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F2D2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3755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97EF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A6C8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2344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01C8D" w:rsidRPr="00D01C8D" w14:paraId="74C8BA62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218A" w14:textId="4167EEF1" w:rsidR="00756060" w:rsidRPr="00D01C8D" w:rsidRDefault="00DB7CC9" w:rsidP="008C24D0">
            <w:pPr>
              <w:tabs>
                <w:tab w:val="left" w:pos="705"/>
              </w:tabs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AD94" w14:textId="328A0869" w:rsidR="00756060" w:rsidRPr="00D01C8D" w:rsidRDefault="00DB7CC9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101D" w14:textId="35B421D6" w:rsidR="00756060" w:rsidRPr="00D01C8D" w:rsidRDefault="00C9216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1 694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DA10" w14:textId="448564F2" w:rsidR="00756060" w:rsidRPr="00D01C8D" w:rsidRDefault="003B463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460 768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741F" w14:textId="18638162" w:rsidR="00756060" w:rsidRPr="00D01C8D" w:rsidRDefault="003B463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464 156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113" w14:textId="41E368CE" w:rsidR="00756060" w:rsidRPr="00D01C8D" w:rsidRDefault="007B209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+</w:t>
            </w:r>
            <w:r w:rsidR="00756060" w:rsidRPr="00D01C8D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Pr="00D01C8D">
              <w:rPr>
                <w:rFonts w:ascii="Arial" w:eastAsia="Arial" w:hAnsi="Arial" w:cs="Arial"/>
                <w:b/>
                <w:snapToGrid w:val="0"/>
              </w:rPr>
              <w:t>3 388</w:t>
            </w:r>
          </w:p>
        </w:tc>
      </w:tr>
      <w:tr w:rsidR="00D01C8D" w:rsidRPr="00D01C8D" w14:paraId="760D5064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28D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C4A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01C8D" w:rsidRPr="00D01C8D" w14:paraId="4E6BA3D8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008A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Fakturační celek 6.3.2.: </w:t>
            </w:r>
            <w:r w:rsidRPr="00D01C8D">
              <w:rPr>
                <w:rFonts w:ascii="Arial" w:hAnsi="Arial" w:cs="Arial"/>
                <w:b/>
                <w:snapToGrid w:val="0"/>
              </w:rPr>
              <w:t>Vypracování návrhu nového uspořádání pozemků</w:t>
            </w:r>
          </w:p>
        </w:tc>
      </w:tr>
      <w:tr w:rsidR="00D01C8D" w:rsidRPr="00D01C8D" w14:paraId="63143361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7D19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E393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0C8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573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C317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1BED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01C8D" w:rsidRPr="00D01C8D" w14:paraId="42034E3E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F9BD" w14:textId="01CEE2CB" w:rsidR="00756060" w:rsidRPr="00D01C8D" w:rsidRDefault="00DB7CC9" w:rsidP="008C24D0">
            <w:pPr>
              <w:tabs>
                <w:tab w:val="left" w:pos="705"/>
              </w:tabs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97E8" w14:textId="60F411FB" w:rsidR="00756060" w:rsidRPr="00D01C8D" w:rsidRDefault="00DB7CC9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8DB9" w14:textId="5869C16B" w:rsidR="00756060" w:rsidRPr="00D01C8D" w:rsidRDefault="00C9216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2 178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E85E" w14:textId="64872E6A" w:rsidR="00756060" w:rsidRPr="00D01C8D" w:rsidRDefault="006A19CB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592 416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939" w14:textId="4B636E53" w:rsidR="00756060" w:rsidRPr="00D01C8D" w:rsidRDefault="0089379B" w:rsidP="008C24D0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596 772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8EA" w14:textId="30598B40" w:rsidR="00756060" w:rsidRPr="00D01C8D" w:rsidRDefault="007B209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+</w:t>
            </w:r>
            <w:r w:rsidR="00756060" w:rsidRPr="00D01C8D">
              <w:rPr>
                <w:rFonts w:ascii="Arial" w:eastAsia="Arial" w:hAnsi="Arial" w:cs="Arial"/>
                <w:b/>
                <w:snapToGrid w:val="0"/>
              </w:rPr>
              <w:t xml:space="preserve"> 4 </w:t>
            </w:r>
            <w:r w:rsidR="000223DD" w:rsidRPr="00D01C8D">
              <w:rPr>
                <w:rFonts w:ascii="Arial" w:eastAsia="Arial" w:hAnsi="Arial" w:cs="Arial"/>
                <w:b/>
                <w:snapToGrid w:val="0"/>
              </w:rPr>
              <w:t>356</w:t>
            </w:r>
          </w:p>
        </w:tc>
      </w:tr>
      <w:tr w:rsidR="00D01C8D" w:rsidRPr="00D01C8D" w14:paraId="31BA9E52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412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01C8D" w:rsidRPr="00D01C8D" w14:paraId="62B5F662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8A13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Fakturační celek  6.4.: Mapové dílo</w:t>
            </w:r>
          </w:p>
        </w:tc>
      </w:tr>
      <w:tr w:rsidR="00D01C8D" w:rsidRPr="00D01C8D" w14:paraId="138D8C7C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F4A0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94F5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7E80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EC4F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7D8B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3E72" w14:textId="77777777" w:rsidR="00756060" w:rsidRPr="00D01C8D" w:rsidRDefault="0075606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756060" w:rsidRPr="00D01C8D" w14:paraId="0A3540E7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2832" w14:textId="28B351E7" w:rsidR="00756060" w:rsidRPr="00D01C8D" w:rsidRDefault="00EA4A68" w:rsidP="008C24D0">
            <w:pPr>
              <w:tabs>
                <w:tab w:val="left" w:pos="705"/>
              </w:tabs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D403" w14:textId="3257E414" w:rsidR="00756060" w:rsidRPr="00D01C8D" w:rsidRDefault="00E2302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6CBA" w14:textId="42B49730" w:rsidR="00756060" w:rsidRPr="00D01C8D" w:rsidRDefault="00B720F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726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FC27" w14:textId="1163F55C" w:rsidR="00756060" w:rsidRPr="00D01C8D" w:rsidRDefault="00B720F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202 554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432E" w14:textId="0CD92347" w:rsidR="00756060" w:rsidRPr="00D01C8D" w:rsidRDefault="00B720F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204 006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B7A" w14:textId="60CE5735" w:rsidR="00756060" w:rsidRPr="00D01C8D" w:rsidRDefault="00B720F8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D01C8D">
              <w:rPr>
                <w:rFonts w:ascii="Arial" w:eastAsia="Arial" w:hAnsi="Arial" w:cs="Arial"/>
                <w:b/>
                <w:snapToGrid w:val="0"/>
              </w:rPr>
              <w:t>+ 1 452</w:t>
            </w:r>
          </w:p>
        </w:tc>
      </w:tr>
    </w:tbl>
    <w:p w14:paraId="5B7B00DB" w14:textId="77777777" w:rsidR="00756060" w:rsidRPr="00D01C8D" w:rsidRDefault="00756060" w:rsidP="0057295D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D01C8D" w:rsidRPr="00D01C8D" w14:paraId="38CA08EF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771" w14:textId="77777777" w:rsidR="00B33115" w:rsidRPr="00D01C8D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01C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2353" w14:textId="330914A8" w:rsidR="00B33115" w:rsidRPr="00D01C8D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01C8D">
              <w:rPr>
                <w:rFonts w:ascii="Arial" w:hAnsi="Arial" w:cs="Arial"/>
              </w:rPr>
              <w:t>2 261 127,00 Kč</w:t>
            </w:r>
          </w:p>
        </w:tc>
      </w:tr>
      <w:tr w:rsidR="00D01C8D" w:rsidRPr="00D01C8D" w14:paraId="59D8E60E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943D" w14:textId="77777777" w:rsidR="00B33115" w:rsidRPr="00D01C8D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01C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B2B6" w14:textId="13D556F4" w:rsidR="00B33115" w:rsidRPr="00D01C8D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01C8D">
              <w:rPr>
                <w:rFonts w:ascii="Arial" w:hAnsi="Arial" w:cs="Arial"/>
              </w:rPr>
              <w:t>1 466 520,00 K</w:t>
            </w:r>
            <w:r w:rsidR="00342A8D" w:rsidRPr="00D01C8D">
              <w:rPr>
                <w:rFonts w:ascii="Arial" w:hAnsi="Arial" w:cs="Arial"/>
              </w:rPr>
              <w:t>č</w:t>
            </w:r>
          </w:p>
        </w:tc>
      </w:tr>
      <w:tr w:rsidR="00D01C8D" w:rsidRPr="00D01C8D" w14:paraId="1775E55B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7D53" w14:textId="77777777" w:rsidR="00B33115" w:rsidRPr="00D01C8D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01C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BFA" w14:textId="24CEA384" w:rsidR="00B33115" w:rsidRPr="00D01C8D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01C8D">
              <w:rPr>
                <w:rFonts w:ascii="Arial" w:hAnsi="Arial" w:cs="Arial"/>
              </w:rPr>
              <w:t>204 006,00</w:t>
            </w:r>
            <w:r w:rsidR="00342A8D" w:rsidRPr="00D01C8D">
              <w:rPr>
                <w:rFonts w:ascii="Arial" w:hAnsi="Arial" w:cs="Arial"/>
              </w:rPr>
              <w:t xml:space="preserve"> Kč</w:t>
            </w:r>
          </w:p>
        </w:tc>
      </w:tr>
      <w:tr w:rsidR="00D01C8D" w:rsidRPr="00D01C8D" w14:paraId="0F6FDB35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E51" w14:textId="77777777" w:rsidR="00B33115" w:rsidRPr="00D01C8D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01C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3D21" w14:textId="71DAA91D" w:rsidR="00B33115" w:rsidRPr="00D01C8D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01C8D">
              <w:rPr>
                <w:rFonts w:ascii="Arial" w:hAnsi="Arial" w:cs="Arial"/>
                <w:b/>
                <w:bCs/>
              </w:rPr>
              <w:t>3 931 653,00</w:t>
            </w:r>
            <w:r w:rsidR="00342A8D" w:rsidRPr="00D01C8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01C8D" w:rsidRPr="00D01C8D" w14:paraId="6D6B7E64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26EB" w14:textId="77777777" w:rsidR="00B33115" w:rsidRPr="00D01C8D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01C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D4B9" w14:textId="1E11B774" w:rsidR="00B33115" w:rsidRPr="00D01C8D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01C8D">
              <w:rPr>
                <w:rFonts w:ascii="Arial" w:hAnsi="Arial" w:cs="Arial"/>
              </w:rPr>
              <w:t>825 647,13</w:t>
            </w:r>
            <w:r w:rsidR="00342A8D" w:rsidRPr="00D01C8D">
              <w:rPr>
                <w:rFonts w:ascii="Arial" w:hAnsi="Arial" w:cs="Arial"/>
              </w:rPr>
              <w:t xml:space="preserve"> Kč</w:t>
            </w:r>
          </w:p>
        </w:tc>
      </w:tr>
      <w:tr w:rsidR="00D01C8D" w:rsidRPr="00D01C8D" w14:paraId="591C5BFE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394" w14:textId="77777777" w:rsidR="00B33115" w:rsidRPr="00D01C8D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01C8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B57" w14:textId="02A362FC" w:rsidR="00B33115" w:rsidRPr="00D01C8D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01C8D">
              <w:rPr>
                <w:rFonts w:ascii="Arial" w:hAnsi="Arial" w:cs="Arial"/>
                <w:b/>
                <w:bCs/>
              </w:rPr>
              <w:t>4 757 300,13</w:t>
            </w:r>
            <w:r w:rsidR="00342A8D" w:rsidRPr="00D01C8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83A8215" w14:textId="77777777" w:rsidR="005E41A0" w:rsidRDefault="005E41A0" w:rsidP="005E41A0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053F4E9D" w14:textId="71361EF6" w:rsidR="00E25CF3" w:rsidRDefault="00E25CF3" w:rsidP="00E26B63">
      <w:pPr>
        <w:spacing w:after="240"/>
        <w:rPr>
          <w:rFonts w:ascii="Arial" w:hAnsi="Arial" w:cs="Arial"/>
          <w:color w:val="000000" w:themeColor="text1"/>
        </w:rPr>
      </w:pPr>
      <w:r w:rsidRPr="009F49CA">
        <w:rPr>
          <w:rFonts w:ascii="Arial" w:hAnsi="Arial" w:cs="Arial"/>
          <w:u w:val="single"/>
        </w:rPr>
        <w:t>ODŮVODNĚNÍ:</w:t>
      </w:r>
      <w:r w:rsidRPr="00B033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Zhotovitel dne </w:t>
      </w:r>
      <w:r w:rsidR="00025169">
        <w:rPr>
          <w:rFonts w:ascii="Arial" w:hAnsi="Arial" w:cs="Arial"/>
        </w:rPr>
        <w:t>30</w:t>
      </w:r>
      <w:r w:rsidRPr="000D55F4">
        <w:rPr>
          <w:rFonts w:ascii="Arial" w:hAnsi="Arial" w:cs="Arial"/>
        </w:rPr>
        <w:t>.</w:t>
      </w:r>
      <w:r w:rsidR="00025169">
        <w:rPr>
          <w:rFonts w:ascii="Arial" w:hAnsi="Arial" w:cs="Arial"/>
        </w:rPr>
        <w:t>05</w:t>
      </w:r>
      <w:r w:rsidRPr="000D55F4">
        <w:rPr>
          <w:rFonts w:ascii="Arial" w:hAnsi="Arial" w:cs="Arial"/>
        </w:rPr>
        <w:t>.202</w:t>
      </w:r>
      <w:r w:rsidR="00025169">
        <w:rPr>
          <w:rFonts w:ascii="Arial" w:hAnsi="Arial" w:cs="Arial"/>
        </w:rPr>
        <w:t>4</w:t>
      </w:r>
      <w:r w:rsidRPr="000D55F4">
        <w:rPr>
          <w:rFonts w:ascii="Arial" w:hAnsi="Arial" w:cs="Arial"/>
        </w:rPr>
        <w:t xml:space="preserve"> </w:t>
      </w:r>
      <w:r w:rsidRPr="006C23C3">
        <w:rPr>
          <w:rFonts w:ascii="Arial" w:hAnsi="Arial" w:cs="Arial"/>
          <w:color w:val="000000" w:themeColor="text1"/>
        </w:rPr>
        <w:t xml:space="preserve">podal žádost </w:t>
      </w:r>
      <w:r>
        <w:rPr>
          <w:rFonts w:ascii="Arial" w:hAnsi="Arial" w:cs="Arial"/>
          <w:color w:val="000000" w:themeColor="text1"/>
        </w:rPr>
        <w:t xml:space="preserve">o vyhotovení dodatku, kde uvedl odchylky měrných jednotek stanovených ve smlouvě od měrných jednotek skutečně realizovaných. Na základě této žádosti provedl objednatel změny ve fakturačních celcích </w:t>
      </w:r>
      <w:r w:rsidR="0012767E">
        <w:rPr>
          <w:rFonts w:ascii="Arial" w:hAnsi="Arial" w:cs="Arial"/>
          <w:color w:val="000000" w:themeColor="text1"/>
        </w:rPr>
        <w:t xml:space="preserve">6.2.2., 6.2.3., </w:t>
      </w:r>
      <w:r>
        <w:rPr>
          <w:rFonts w:ascii="Arial" w:hAnsi="Arial" w:cs="Arial"/>
          <w:color w:val="000000" w:themeColor="text1"/>
        </w:rPr>
        <w:t>6.2.</w:t>
      </w:r>
      <w:r w:rsidR="00A467FF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., 6.2.7., 6.2.8.,</w:t>
      </w:r>
      <w:r w:rsidR="0012767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6.3.1., 6.3.2., 6.4..</w:t>
      </w:r>
    </w:p>
    <w:p w14:paraId="7540B17D" w14:textId="7DF768F3" w:rsidR="00B22FF8" w:rsidRDefault="003E4E76" w:rsidP="00E26B63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základě </w:t>
      </w:r>
      <w:r w:rsidR="00BD4506">
        <w:rPr>
          <w:rFonts w:ascii="Arial" w:hAnsi="Arial" w:cs="Arial"/>
          <w:color w:val="000000" w:themeColor="text1"/>
        </w:rPr>
        <w:t>jednání o obvodu před zjišťováním průběhu hranic pozemků ke Komplexním pozemkovým úpravám Arnultovice a v navazující části k.ú. Čermná v Krkonoších dne 31.1.2024</w:t>
      </w:r>
      <w:r w:rsidR="00E3249C">
        <w:rPr>
          <w:rFonts w:ascii="Arial" w:hAnsi="Arial" w:cs="Arial"/>
          <w:color w:val="000000" w:themeColor="text1"/>
        </w:rPr>
        <w:t xml:space="preserve"> došlo </w:t>
      </w:r>
      <w:r w:rsidR="00105F26">
        <w:rPr>
          <w:rFonts w:ascii="Arial" w:hAnsi="Arial" w:cs="Arial"/>
          <w:color w:val="000000" w:themeColor="text1"/>
        </w:rPr>
        <w:t>ke změně předpokládaného obvodu</w:t>
      </w:r>
      <w:r w:rsidR="00B843D5">
        <w:rPr>
          <w:rFonts w:ascii="Arial" w:hAnsi="Arial" w:cs="Arial"/>
          <w:color w:val="000000" w:themeColor="text1"/>
        </w:rPr>
        <w:t xml:space="preserve">. Obvod byl změněn po vzájemné dohodě </w:t>
      </w:r>
      <w:r w:rsidR="007E0717">
        <w:rPr>
          <w:rFonts w:ascii="Arial" w:hAnsi="Arial" w:cs="Arial"/>
          <w:color w:val="000000" w:themeColor="text1"/>
        </w:rPr>
        <w:lastRenderedPageBreak/>
        <w:t>zpracovatele, Pobočky Trutnov, Katastrálního pracoviště Trutnov, obce Rudník</w:t>
      </w:r>
      <w:r w:rsidR="00996B17">
        <w:rPr>
          <w:rFonts w:ascii="Arial" w:hAnsi="Arial" w:cs="Arial"/>
          <w:color w:val="000000" w:themeColor="text1"/>
        </w:rPr>
        <w:t>.</w:t>
      </w:r>
      <w:r w:rsidR="00530728">
        <w:rPr>
          <w:rFonts w:ascii="Arial" w:hAnsi="Arial" w:cs="Arial"/>
          <w:color w:val="000000" w:themeColor="text1"/>
        </w:rPr>
        <w:t xml:space="preserve"> Z tohoto jednání byl pořízen zápis ze dne 9.2.2024</w:t>
      </w:r>
      <w:r w:rsidR="00BC1F68">
        <w:rPr>
          <w:rFonts w:ascii="Arial" w:hAnsi="Arial" w:cs="Arial"/>
          <w:color w:val="000000" w:themeColor="text1"/>
        </w:rPr>
        <w:t xml:space="preserve">, č.j. SPU 047408/2024. </w:t>
      </w:r>
      <w:r w:rsidR="00E562C3">
        <w:rPr>
          <w:rFonts w:ascii="Arial" w:hAnsi="Arial" w:cs="Arial"/>
          <w:color w:val="000000" w:themeColor="text1"/>
        </w:rPr>
        <w:t xml:space="preserve">Tato změna se promítla do </w:t>
      </w:r>
      <w:r w:rsidR="004C4500">
        <w:rPr>
          <w:rFonts w:ascii="Arial" w:hAnsi="Arial" w:cs="Arial"/>
          <w:color w:val="000000" w:themeColor="text1"/>
        </w:rPr>
        <w:t xml:space="preserve">fakturačních celků </w:t>
      </w:r>
      <w:r w:rsidR="004C4500" w:rsidRPr="00CF10AE">
        <w:rPr>
          <w:rFonts w:ascii="Arial" w:hAnsi="Arial" w:cs="Arial"/>
          <w:color w:val="000000" w:themeColor="text1"/>
          <w:u w:val="single"/>
        </w:rPr>
        <w:t>6.2.2.</w:t>
      </w:r>
      <w:r w:rsidR="00CF10AE" w:rsidRPr="00CF10AE">
        <w:rPr>
          <w:rFonts w:ascii="Arial" w:hAnsi="Arial" w:cs="Arial"/>
          <w:b/>
          <w:u w:val="single"/>
        </w:rPr>
        <w:t xml:space="preserve"> </w:t>
      </w:r>
      <w:r w:rsidR="00CF10AE" w:rsidRPr="00CF10AE">
        <w:rPr>
          <w:rFonts w:ascii="Arial" w:hAnsi="Arial" w:cs="Arial"/>
          <w:bCs/>
          <w:color w:val="000000" w:themeColor="text1"/>
          <w:u w:val="single"/>
        </w:rPr>
        <w:t>Podrobné měření polohopisu v obvodu KoPÚ mimo trvalé porosty</w:t>
      </w:r>
      <w:r w:rsidR="004C4500" w:rsidRPr="00CF10AE">
        <w:rPr>
          <w:rFonts w:ascii="Arial" w:hAnsi="Arial" w:cs="Arial"/>
          <w:bCs/>
          <w:color w:val="000000" w:themeColor="text1"/>
          <w:u w:val="single"/>
        </w:rPr>
        <w:t xml:space="preserve">, </w:t>
      </w:r>
      <w:r w:rsidR="0051269D" w:rsidRPr="00CF10AE">
        <w:rPr>
          <w:rFonts w:ascii="Arial" w:hAnsi="Arial" w:cs="Arial"/>
          <w:bCs/>
          <w:color w:val="000000" w:themeColor="text1"/>
          <w:u w:val="single"/>
        </w:rPr>
        <w:t>6.2.7.</w:t>
      </w:r>
      <w:r w:rsidR="00611360" w:rsidRPr="00CF10AE">
        <w:rPr>
          <w:bCs/>
          <w:snapToGrid w:val="0"/>
          <w:kern w:val="2"/>
          <w:u w:val="single"/>
          <w:lang w:val="cs-CZ" w:eastAsia="en-US"/>
          <w14:ligatures w14:val="standardContextual"/>
        </w:rPr>
        <w:t xml:space="preserve"> </w:t>
      </w:r>
      <w:r w:rsidR="00611360" w:rsidRPr="00CF10AE">
        <w:rPr>
          <w:rFonts w:ascii="Arial" w:hAnsi="Arial" w:cs="Arial"/>
          <w:bCs/>
          <w:color w:val="000000" w:themeColor="text1"/>
          <w:u w:val="single"/>
          <w:lang w:val="cs-CZ"/>
        </w:rPr>
        <w:t>Rozbor souča</w:t>
      </w:r>
      <w:r w:rsidR="00611360" w:rsidRPr="00CF10AE">
        <w:rPr>
          <w:rFonts w:ascii="Arial" w:hAnsi="Arial" w:cs="Arial"/>
          <w:color w:val="000000" w:themeColor="text1"/>
          <w:u w:val="single"/>
          <w:lang w:val="cs-CZ"/>
        </w:rPr>
        <w:t xml:space="preserve">sného </w:t>
      </w:r>
      <w:r w:rsidR="00281B96" w:rsidRPr="00CF10AE">
        <w:rPr>
          <w:rFonts w:ascii="Arial" w:hAnsi="Arial" w:cs="Arial"/>
          <w:color w:val="000000" w:themeColor="text1"/>
          <w:u w:val="single"/>
          <w:lang w:val="cs-CZ"/>
        </w:rPr>
        <w:t>stavu</w:t>
      </w:r>
      <w:r w:rsidR="00281B96" w:rsidRPr="00CF10AE">
        <w:rPr>
          <w:rFonts w:ascii="Arial" w:hAnsi="Arial" w:cs="Arial"/>
          <w:color w:val="000000" w:themeColor="text1"/>
          <w:u w:val="single"/>
        </w:rPr>
        <w:t>,</w:t>
      </w:r>
      <w:r w:rsidR="0051269D" w:rsidRPr="00CF10AE">
        <w:rPr>
          <w:rFonts w:ascii="Arial" w:hAnsi="Arial" w:cs="Arial"/>
          <w:color w:val="000000" w:themeColor="text1"/>
          <w:u w:val="single"/>
        </w:rPr>
        <w:t xml:space="preserve"> 6.2.8.</w:t>
      </w:r>
      <w:r w:rsidR="00281B96" w:rsidRPr="00CF10AE">
        <w:rPr>
          <w:rFonts w:ascii="Arial" w:hAnsi="Arial" w:cs="Arial"/>
          <w:color w:val="000000" w:themeColor="text1"/>
          <w:u w:val="single"/>
        </w:rPr>
        <w:t xml:space="preserve"> Dokumentace k soupisu nároků vlastníků pozemků</w:t>
      </w:r>
      <w:r w:rsidR="0051269D" w:rsidRPr="00CF10AE">
        <w:rPr>
          <w:rFonts w:ascii="Arial" w:hAnsi="Arial" w:cs="Arial"/>
          <w:color w:val="000000" w:themeColor="text1"/>
          <w:u w:val="single"/>
        </w:rPr>
        <w:t>, 6.3.1.</w:t>
      </w:r>
      <w:r w:rsidR="00BA1DA7" w:rsidRPr="00CF10AE">
        <w:rPr>
          <w:snapToGrid w:val="0"/>
          <w:kern w:val="2"/>
          <w:u w:val="single"/>
          <w:lang w:eastAsia="en-US"/>
          <w14:ligatures w14:val="standardContextual"/>
        </w:rPr>
        <w:t xml:space="preserve"> </w:t>
      </w:r>
      <w:r w:rsidR="00BA1DA7" w:rsidRPr="00CF10AE">
        <w:rPr>
          <w:rFonts w:ascii="Arial" w:hAnsi="Arial" w:cs="Arial"/>
          <w:color w:val="000000" w:themeColor="text1"/>
          <w:u w:val="single"/>
        </w:rPr>
        <w:t>Vypracování plánu společných zařízení</w:t>
      </w:r>
      <w:r w:rsidR="0051269D" w:rsidRPr="00CF10AE">
        <w:rPr>
          <w:rFonts w:ascii="Arial" w:hAnsi="Arial" w:cs="Arial"/>
          <w:color w:val="000000" w:themeColor="text1"/>
          <w:u w:val="single"/>
        </w:rPr>
        <w:t>, 6.3.2</w:t>
      </w:r>
      <w:r w:rsidR="009001C9" w:rsidRPr="00CF10AE">
        <w:rPr>
          <w:rFonts w:ascii="Arial" w:hAnsi="Arial" w:cs="Arial"/>
          <w:color w:val="000000" w:themeColor="text1"/>
          <w:u w:val="single"/>
        </w:rPr>
        <w:t>.</w:t>
      </w:r>
      <w:r w:rsidR="005B6216" w:rsidRPr="00CF10AE">
        <w:rPr>
          <w:snapToGrid w:val="0"/>
          <w:kern w:val="2"/>
          <w:u w:val="single"/>
          <w:lang w:eastAsia="en-US"/>
          <w14:ligatures w14:val="standardContextual"/>
        </w:rPr>
        <w:t xml:space="preserve"> </w:t>
      </w:r>
      <w:r w:rsidR="005B6216" w:rsidRPr="00CF10AE">
        <w:rPr>
          <w:rFonts w:ascii="Arial" w:hAnsi="Arial" w:cs="Arial"/>
          <w:color w:val="000000" w:themeColor="text1"/>
          <w:u w:val="single"/>
        </w:rPr>
        <w:t>Vypracování návrhu nového uspořádání pozemků k jeho vystavení dle § 11 odst. 1 zákona</w:t>
      </w:r>
      <w:r w:rsidR="0051269D" w:rsidRPr="00CF10AE">
        <w:rPr>
          <w:rFonts w:ascii="Arial" w:hAnsi="Arial" w:cs="Arial"/>
          <w:color w:val="000000" w:themeColor="text1"/>
          <w:u w:val="single"/>
        </w:rPr>
        <w:t>, 6.4.</w:t>
      </w:r>
      <w:r w:rsidR="00752751" w:rsidRPr="00CF10AE">
        <w:rPr>
          <w:bCs/>
          <w:snapToGrid w:val="0"/>
          <w:kern w:val="2"/>
          <w:u w:val="single"/>
          <w:lang w:eastAsia="en-US"/>
          <w14:ligatures w14:val="standardContextual"/>
        </w:rPr>
        <w:t xml:space="preserve"> </w:t>
      </w:r>
      <w:r w:rsidR="00752751" w:rsidRPr="00CF10AE">
        <w:rPr>
          <w:rFonts w:ascii="Arial" w:hAnsi="Arial" w:cs="Arial"/>
          <w:bCs/>
          <w:color w:val="000000" w:themeColor="text1"/>
          <w:u w:val="single"/>
        </w:rPr>
        <w:t>Mapové dílo</w:t>
      </w:r>
      <w:r w:rsidR="001C40A8">
        <w:rPr>
          <w:rFonts w:ascii="Arial" w:hAnsi="Arial" w:cs="Arial"/>
          <w:color w:val="000000" w:themeColor="text1"/>
        </w:rPr>
        <w:t xml:space="preserve">, kde </w:t>
      </w:r>
      <w:r w:rsidR="00747AB1">
        <w:rPr>
          <w:rFonts w:ascii="Arial" w:hAnsi="Arial" w:cs="Arial"/>
          <w:color w:val="000000" w:themeColor="text1"/>
        </w:rPr>
        <w:t xml:space="preserve">u každé položky </w:t>
      </w:r>
      <w:r w:rsidR="00C97588">
        <w:rPr>
          <w:rFonts w:ascii="Arial" w:hAnsi="Arial" w:cs="Arial"/>
          <w:color w:val="000000" w:themeColor="text1"/>
        </w:rPr>
        <w:t xml:space="preserve">došlo k navýšení </w:t>
      </w:r>
      <w:r w:rsidR="00747AB1">
        <w:rPr>
          <w:rFonts w:ascii="Arial" w:hAnsi="Arial" w:cs="Arial"/>
          <w:color w:val="000000" w:themeColor="text1"/>
        </w:rPr>
        <w:t>o 2 MJ.</w:t>
      </w:r>
      <w:r w:rsidR="00737D91">
        <w:rPr>
          <w:rFonts w:ascii="Arial" w:hAnsi="Arial" w:cs="Arial"/>
          <w:color w:val="000000" w:themeColor="text1"/>
        </w:rPr>
        <w:t xml:space="preserve"> </w:t>
      </w:r>
    </w:p>
    <w:p w14:paraId="788C4590" w14:textId="39D9BC22" w:rsidR="00946C92" w:rsidRDefault="0038181F" w:rsidP="00E26B63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fakturačního celku </w:t>
      </w:r>
      <w:r w:rsidRPr="004A023E">
        <w:rPr>
          <w:rFonts w:ascii="Arial" w:hAnsi="Arial" w:cs="Arial"/>
          <w:color w:val="000000" w:themeColor="text1"/>
          <w:u w:val="single"/>
        </w:rPr>
        <w:t>6.2.3.</w:t>
      </w:r>
      <w:r w:rsidR="00752751" w:rsidRPr="004A023E">
        <w:rPr>
          <w:rFonts w:ascii="Arial" w:hAnsi="Arial" w:cs="Arial"/>
          <w:color w:val="000000" w:themeColor="text1"/>
          <w:u w:val="single"/>
        </w:rPr>
        <w:t xml:space="preserve"> </w:t>
      </w:r>
      <w:r w:rsidR="00031216" w:rsidRPr="004A023E">
        <w:rPr>
          <w:rFonts w:ascii="Arial" w:hAnsi="Arial" w:cs="Arial"/>
          <w:color w:val="000000" w:themeColor="text1"/>
          <w:u w:val="single"/>
        </w:rPr>
        <w:t>Vektorizace vlastnické mapy</w:t>
      </w:r>
      <w:r>
        <w:rPr>
          <w:rFonts w:ascii="Arial" w:hAnsi="Arial" w:cs="Arial"/>
          <w:color w:val="000000" w:themeColor="text1"/>
        </w:rPr>
        <w:t xml:space="preserve"> došlo </w:t>
      </w:r>
      <w:r w:rsidR="009E089F">
        <w:rPr>
          <w:rFonts w:ascii="Arial" w:hAnsi="Arial" w:cs="Arial"/>
          <w:color w:val="000000" w:themeColor="text1"/>
        </w:rPr>
        <w:t>ke snížení o 1 MJ</w:t>
      </w:r>
      <w:r w:rsidR="00B25DB9">
        <w:rPr>
          <w:rFonts w:ascii="Arial" w:hAnsi="Arial" w:cs="Arial"/>
          <w:color w:val="000000" w:themeColor="text1"/>
        </w:rPr>
        <w:t xml:space="preserve"> na základě informace podané od zpracovatele.</w:t>
      </w:r>
    </w:p>
    <w:p w14:paraId="70A4100B" w14:textId="6DC4725C" w:rsidR="00B25DB9" w:rsidRDefault="00F52DF4" w:rsidP="00E34D3C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Fakturační celek </w:t>
      </w:r>
      <w:r w:rsidRPr="004A023E">
        <w:rPr>
          <w:rFonts w:ascii="Arial" w:hAnsi="Arial" w:cs="Arial"/>
          <w:color w:val="000000" w:themeColor="text1"/>
          <w:u w:val="single"/>
        </w:rPr>
        <w:t xml:space="preserve">6.2.6. </w:t>
      </w:r>
      <w:r w:rsidR="004A023E" w:rsidRPr="004A023E">
        <w:rPr>
          <w:rFonts w:ascii="Arial" w:hAnsi="Arial" w:cs="Arial"/>
          <w:color w:val="000000" w:themeColor="text1"/>
          <w:u w:val="single"/>
        </w:rPr>
        <w:t>Šetření průběhu vlastnických hranic řešených pozemků s porosty pro účely návrhu KoPÚ</w:t>
      </w:r>
      <w:r w:rsidR="004A023E" w:rsidRPr="004A023E">
        <w:rPr>
          <w:rFonts w:ascii="Arial" w:hAnsi="Arial" w:cs="Arial"/>
          <w:color w:val="000000" w:themeColor="text1"/>
        </w:rPr>
        <w:t xml:space="preserve">, včetně označení lomových bodů </w:t>
      </w:r>
      <w:r>
        <w:rPr>
          <w:rFonts w:ascii="Arial" w:hAnsi="Arial" w:cs="Arial"/>
          <w:color w:val="000000" w:themeColor="text1"/>
        </w:rPr>
        <w:t xml:space="preserve">byl navýšen o 3 MJ z </w:t>
      </w:r>
      <w:r w:rsidR="00934DF2">
        <w:rPr>
          <w:rFonts w:ascii="Arial" w:hAnsi="Arial" w:cs="Arial"/>
          <w:color w:val="000000" w:themeColor="text1"/>
        </w:rPr>
        <w:t>důvodu rozšíření obvodu o lesní porost a</w:t>
      </w:r>
      <w:r w:rsidR="00EC2F8C">
        <w:rPr>
          <w:rFonts w:ascii="Arial" w:hAnsi="Arial" w:cs="Arial"/>
          <w:color w:val="000000" w:themeColor="text1"/>
        </w:rPr>
        <w:t xml:space="preserve"> </w:t>
      </w:r>
      <w:r w:rsidR="00144E52">
        <w:rPr>
          <w:rFonts w:ascii="Arial" w:hAnsi="Arial" w:cs="Arial"/>
          <w:color w:val="000000" w:themeColor="text1"/>
        </w:rPr>
        <w:t>z důvodu změny v</w:t>
      </w:r>
      <w:r w:rsidR="000F4490">
        <w:rPr>
          <w:rFonts w:ascii="Arial" w:hAnsi="Arial" w:cs="Arial"/>
          <w:color w:val="000000" w:themeColor="text1"/>
        </w:rPr>
        <w:t xml:space="preserve">e vlastnictví pozemku v obvodu </w:t>
      </w:r>
      <w:r w:rsidR="007177B6">
        <w:rPr>
          <w:rFonts w:ascii="Arial" w:hAnsi="Arial" w:cs="Arial"/>
          <w:color w:val="000000" w:themeColor="text1"/>
        </w:rPr>
        <w:t>pozemkových úprav</w:t>
      </w:r>
      <w:r w:rsidR="00D27D63">
        <w:rPr>
          <w:rFonts w:ascii="Arial" w:hAnsi="Arial" w:cs="Arial"/>
          <w:color w:val="000000" w:themeColor="text1"/>
        </w:rPr>
        <w:t xml:space="preserve">, která </w:t>
      </w:r>
      <w:r w:rsidR="00BE3426">
        <w:rPr>
          <w:rFonts w:ascii="Arial" w:hAnsi="Arial" w:cs="Arial"/>
          <w:color w:val="000000" w:themeColor="text1"/>
        </w:rPr>
        <w:t>proběhla</w:t>
      </w:r>
      <w:r w:rsidR="00D27D63">
        <w:rPr>
          <w:rFonts w:ascii="Arial" w:hAnsi="Arial" w:cs="Arial"/>
          <w:color w:val="000000" w:themeColor="text1"/>
        </w:rPr>
        <w:t xml:space="preserve"> po přípravě </w:t>
      </w:r>
      <w:r w:rsidR="00802E02">
        <w:rPr>
          <w:rFonts w:ascii="Arial" w:hAnsi="Arial" w:cs="Arial"/>
          <w:color w:val="000000" w:themeColor="text1"/>
        </w:rPr>
        <w:t>zadávací dokumentace pro Komplexní pozemkové úpravy Arnultovice a v navazující části k.ú. Čermná v Krkonoších.</w:t>
      </w:r>
    </w:p>
    <w:p w14:paraId="2705CFFA" w14:textId="77777777" w:rsidR="00A37F14" w:rsidRDefault="00A37F14" w:rsidP="00E34D3C">
      <w:pPr>
        <w:spacing w:after="240"/>
        <w:rPr>
          <w:rFonts w:ascii="Arial" w:hAnsi="Arial" w:cs="Arial"/>
          <w:color w:val="000000" w:themeColor="text1"/>
        </w:rPr>
      </w:pPr>
    </w:p>
    <w:p w14:paraId="35757F30" w14:textId="4F0F3299" w:rsidR="007D56CD" w:rsidRDefault="004B33D8" w:rsidP="00E34D3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color w:val="000000" w:themeColor="text1"/>
          <w:szCs w:val="22"/>
        </w:rPr>
      </w:pPr>
      <w:r w:rsidRPr="00722617">
        <w:rPr>
          <w:rFonts w:ascii="Arial" w:hAnsi="Arial" w:cs="Arial"/>
          <w:b/>
          <w:bCs/>
        </w:rPr>
        <w:t>Rozsah změn závazků ze smlouvy o dílo</w:t>
      </w:r>
      <w:r>
        <w:rPr>
          <w:rFonts w:ascii="Arial" w:hAnsi="Arial" w:cs="Arial"/>
          <w:b/>
          <w:bCs/>
        </w:rPr>
        <w:t xml:space="preserve"> (vícepráce</w:t>
      </w:r>
      <w:r w:rsidR="00AA54D0">
        <w:rPr>
          <w:rFonts w:ascii="Arial" w:hAnsi="Arial" w:cs="Arial"/>
          <w:b/>
          <w:bCs/>
        </w:rPr>
        <w:t xml:space="preserve"> a méněpráce</w:t>
      </w:r>
      <w:r>
        <w:rPr>
          <w:rFonts w:ascii="Arial" w:hAnsi="Arial" w:cs="Arial"/>
          <w:b/>
          <w:bCs/>
        </w:rPr>
        <w:t>) upravených</w:t>
      </w:r>
      <w:r w:rsidR="00AA54D0">
        <w:rPr>
          <w:rFonts w:ascii="Arial" w:hAnsi="Arial" w:cs="Arial"/>
          <w:b/>
          <w:bCs/>
        </w:rPr>
        <w:t xml:space="preserve"> </w:t>
      </w:r>
      <w:r w:rsidRPr="00722617">
        <w:rPr>
          <w:rFonts w:ascii="Arial" w:hAnsi="Arial" w:cs="Arial"/>
          <w:b/>
          <w:bCs/>
        </w:rPr>
        <w:t>dodatk</w:t>
      </w:r>
      <w:r>
        <w:rPr>
          <w:rFonts w:ascii="Arial" w:hAnsi="Arial" w:cs="Arial"/>
          <w:b/>
          <w:bCs/>
        </w:rPr>
        <w:t>em</w:t>
      </w:r>
      <w:r w:rsidRPr="00722617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3</w:t>
      </w:r>
      <w:r w:rsidRPr="00722617">
        <w:rPr>
          <w:rFonts w:ascii="Arial" w:hAnsi="Arial" w:cs="Arial"/>
          <w:b/>
          <w:bCs/>
        </w:rPr>
        <w:t xml:space="preserve"> činí </w:t>
      </w:r>
      <w:r>
        <w:rPr>
          <w:rFonts w:ascii="Arial" w:hAnsi="Arial" w:cs="Arial"/>
          <w:b/>
          <w:bCs/>
        </w:rPr>
        <w:t>2</w:t>
      </w:r>
      <w:r w:rsidR="0050483C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 </w:t>
      </w:r>
      <w:r w:rsidR="00A03AB2">
        <w:rPr>
          <w:rFonts w:ascii="Arial" w:hAnsi="Arial" w:cs="Arial"/>
          <w:b/>
          <w:bCs/>
        </w:rPr>
        <w:t>040</w:t>
      </w:r>
      <w:r>
        <w:rPr>
          <w:rFonts w:ascii="Arial" w:hAnsi="Arial" w:cs="Arial"/>
          <w:b/>
          <w:bCs/>
        </w:rPr>
        <w:t xml:space="preserve"> </w:t>
      </w:r>
      <w:r w:rsidRPr="00722617">
        <w:rPr>
          <w:rFonts w:ascii="Arial" w:hAnsi="Arial" w:cs="Arial"/>
          <w:b/>
          <w:bCs/>
          <w:color w:val="000000" w:themeColor="text1"/>
        </w:rPr>
        <w:t>bez DPH</w:t>
      </w:r>
      <w:bookmarkStart w:id="8" w:name="1fob9te"/>
      <w:bookmarkStart w:id="9" w:name="_Ref51580600"/>
      <w:bookmarkStart w:id="10" w:name="_Ref50585481"/>
      <w:bookmarkEnd w:id="0"/>
      <w:bookmarkEnd w:id="8"/>
      <w:r w:rsidR="00BC51A5">
        <w:rPr>
          <w:rFonts w:ascii="Arial" w:hAnsi="Arial" w:cs="Arial"/>
          <w:b/>
          <w:bCs/>
          <w:color w:val="000000" w:themeColor="text1"/>
        </w:rPr>
        <w:t>.</w:t>
      </w:r>
    </w:p>
    <w:p w14:paraId="4556A0B4" w14:textId="77777777" w:rsidR="00A37F14" w:rsidRPr="00A37F14" w:rsidRDefault="00A37F14" w:rsidP="00E34D3C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bookmarkEnd w:id="9"/>
    <w:p w14:paraId="640E9690" w14:textId="77777777" w:rsidR="008F24B4" w:rsidRPr="00BF554C" w:rsidRDefault="008F24B4" w:rsidP="008F24B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0"/>
    </w:p>
    <w:p w14:paraId="1EB3088D" w14:textId="1CF2DFE0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</w:t>
      </w:r>
      <w:r w:rsidR="002C2D53">
        <w:rPr>
          <w:rFonts w:ascii="Arial" w:hAnsi="Arial" w:cs="Arial"/>
          <w:szCs w:val="22"/>
        </w:rPr>
        <w:t>ve znění předchozích doda</w:t>
      </w:r>
      <w:r w:rsidR="005F4056">
        <w:rPr>
          <w:rFonts w:ascii="Arial" w:hAnsi="Arial" w:cs="Arial"/>
          <w:szCs w:val="22"/>
        </w:rPr>
        <w:t xml:space="preserve">tků, </w:t>
      </w:r>
      <w:r w:rsidRPr="00BF554C">
        <w:rPr>
          <w:rFonts w:ascii="Arial" w:hAnsi="Arial" w:cs="Arial"/>
          <w:szCs w:val="22"/>
        </w:rPr>
        <w:t xml:space="preserve">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2C2D53">
        <w:rPr>
          <w:rFonts w:ascii="Arial" w:hAnsi="Arial" w:cs="Arial"/>
          <w:szCs w:val="22"/>
        </w:rPr>
        <w:t xml:space="preserve"> č. 3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1"/>
    <w:p w14:paraId="2E8CC1E9" w14:textId="77777777" w:rsidR="00276F34" w:rsidRPr="00276F34" w:rsidRDefault="008F24B4" w:rsidP="00530C0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D3CBC89" w14:textId="6589EC3A" w:rsidR="005632C6" w:rsidRDefault="00CA767C" w:rsidP="005632C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208A8B26" w14:textId="4074466F" w:rsidR="002B21ED" w:rsidRDefault="00400AFE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A56F16">
        <w:rPr>
          <w:rFonts w:ascii="Arial" w:hAnsi="Arial" w:cs="Arial"/>
        </w:rPr>
        <w:t xml:space="preserve">KoPÚ </w:t>
      </w:r>
      <w:r w:rsidR="007F6352" w:rsidRPr="00A56F16">
        <w:rPr>
          <w:rFonts w:ascii="Arial" w:hAnsi="Arial" w:cs="Arial"/>
        </w:rPr>
        <w:t>Arnultovice</w:t>
      </w:r>
      <w:r w:rsidRPr="00A56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Dodatek č.</w:t>
      </w:r>
      <w:r w:rsidR="00DD3E27">
        <w:rPr>
          <w:rFonts w:ascii="Arial" w:hAnsi="Arial" w:cs="Arial"/>
        </w:rPr>
        <w:t xml:space="preserve"> </w:t>
      </w:r>
      <w:r w:rsidR="00873405">
        <w:rPr>
          <w:rFonts w:ascii="Arial" w:hAnsi="Arial" w:cs="Arial"/>
        </w:rPr>
        <w:t>3</w:t>
      </w:r>
    </w:p>
    <w:p w14:paraId="2200AE19" w14:textId="0E7B14F8" w:rsidR="007D50D3" w:rsidRPr="00436520" w:rsidRDefault="007D50D3" w:rsidP="0043652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530C01">
        <w:rPr>
          <w:rFonts w:ascii="Arial" w:hAnsi="Arial" w:cs="Arial"/>
        </w:rPr>
        <w:br w:type="page"/>
      </w:r>
    </w:p>
    <w:p w14:paraId="7555F560" w14:textId="77777777" w:rsidR="007D50D3" w:rsidRPr="00ED6435" w:rsidRDefault="007D50D3" w:rsidP="007D50D3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DB35192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34D3BF5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250211D4" w14:textId="781AEF0C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741D80">
        <w:rPr>
          <w:rFonts w:ascii="Arial" w:eastAsia="Times New Roman" w:hAnsi="Arial" w:cs="Arial"/>
          <w:b/>
        </w:rPr>
        <w:t>GEOREAL</w:t>
      </w:r>
      <w:r w:rsidR="00E0241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s</w:t>
      </w:r>
      <w:r w:rsidR="00E02419">
        <w:rPr>
          <w:rFonts w:ascii="Arial" w:eastAsia="Times New Roman" w:hAnsi="Arial" w:cs="Arial"/>
          <w:b/>
        </w:rPr>
        <w:t>pol</w:t>
      </w:r>
      <w:r>
        <w:rPr>
          <w:rFonts w:ascii="Arial" w:eastAsia="Times New Roman" w:hAnsi="Arial" w:cs="Arial"/>
          <w:b/>
        </w:rPr>
        <w:t>.</w:t>
      </w:r>
      <w:r w:rsidR="00E02419">
        <w:rPr>
          <w:rFonts w:ascii="Arial" w:eastAsia="Times New Roman" w:hAnsi="Arial" w:cs="Arial"/>
          <w:b/>
        </w:rPr>
        <w:t xml:space="preserve"> s </w:t>
      </w:r>
      <w:r>
        <w:rPr>
          <w:rFonts w:ascii="Arial" w:eastAsia="Times New Roman" w:hAnsi="Arial" w:cs="Arial"/>
          <w:b/>
        </w:rPr>
        <w:t xml:space="preserve">r.o.  </w:t>
      </w:r>
    </w:p>
    <w:p w14:paraId="5B72B41A" w14:textId="7FD0CC54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5A742B3A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35AB2B7C" w14:textId="6FF59111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9076BD">
        <w:rPr>
          <w:rFonts w:ascii="Arial" w:eastAsia="Times New Roman" w:hAnsi="Arial" w:cs="Arial"/>
          <w:bCs/>
        </w:rPr>
        <w:t>Plzeň</w:t>
      </w:r>
    </w:p>
    <w:p w14:paraId="02AFFE9B" w14:textId="396EC29A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6C0BA3">
        <w:rPr>
          <w:rFonts w:ascii="Arial" w:eastAsia="Times New Roman" w:hAnsi="Arial" w:cs="Arial"/>
          <w:bCs/>
        </w:rPr>
        <w:t xml:space="preserve"> 10.06.2024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C401F1">
        <w:rPr>
          <w:rFonts w:ascii="Arial" w:eastAsia="Times New Roman" w:hAnsi="Arial" w:cs="Arial"/>
          <w:bCs/>
        </w:rPr>
        <w:t>06.06.2024</w:t>
      </w:r>
    </w:p>
    <w:p w14:paraId="34C72985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90A969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3C006AC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8CCD30B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C92FAD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536E227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47BEEF1C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9076BD">
        <w:rPr>
          <w:rFonts w:ascii="Arial" w:eastAsia="Times New Roman" w:hAnsi="Arial" w:cs="Arial"/>
          <w:bCs/>
        </w:rPr>
        <w:t>Martin Vondráček</w:t>
      </w:r>
    </w:p>
    <w:p w14:paraId="640125C8" w14:textId="7D0B50AA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1B1342D3" w14:textId="466A94A2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  <w:t xml:space="preserve"> </w:t>
      </w:r>
    </w:p>
    <w:p w14:paraId="4CF751F9" w14:textId="6BD3FA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56EEF00F" w14:textId="77777777" w:rsidR="007D50D3" w:rsidRDefault="007D50D3" w:rsidP="007D50D3">
      <w:pPr>
        <w:spacing w:after="0"/>
        <w:rPr>
          <w:rFonts w:ascii="Arial" w:hAnsi="Arial" w:cs="Arial"/>
          <w:lang w:val="cs-CZ"/>
        </w:rPr>
      </w:pPr>
    </w:p>
    <w:sectPr w:rsidR="007D50D3" w:rsidSect="00F911B6"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2AE4" w14:textId="77777777" w:rsidR="00DF70A8" w:rsidRDefault="00DF70A8">
      <w:pPr>
        <w:spacing w:after="0" w:line="240" w:lineRule="auto"/>
      </w:pPr>
      <w:r>
        <w:separator/>
      </w:r>
    </w:p>
  </w:endnote>
  <w:endnote w:type="continuationSeparator" w:id="0">
    <w:p w14:paraId="3466E1C0" w14:textId="77777777" w:rsidR="00DF70A8" w:rsidRDefault="00DF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6C0BA3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F06B" w14:textId="77777777" w:rsidR="00DF70A8" w:rsidRDefault="00DF70A8">
      <w:pPr>
        <w:spacing w:after="0" w:line="240" w:lineRule="auto"/>
      </w:pPr>
      <w:r>
        <w:separator/>
      </w:r>
    </w:p>
  </w:footnote>
  <w:footnote w:type="continuationSeparator" w:id="0">
    <w:p w14:paraId="3CDF34EE" w14:textId="77777777" w:rsidR="00DF70A8" w:rsidRDefault="00DF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14C0E8AA" w:rsidR="00266857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</w:pPr>
    <w:r w:rsidRPr="00692ECD">
      <w:t xml:space="preserve">UID : </w:t>
    </w:r>
    <w:r w:rsidR="00692ECD" w:rsidRPr="00692ECD">
      <w:t>spudms00000014630249</w:t>
    </w:r>
  </w:p>
  <w:p w14:paraId="4CA8ECC6" w14:textId="045F2A91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FE24E3">
      <w:rPr>
        <w:rFonts w:ascii="Arial" w:hAnsi="Arial" w:cs="Arial"/>
        <w:sz w:val="20"/>
        <w:szCs w:val="20"/>
      </w:rPr>
      <w:t>1019</w:t>
    </w:r>
    <w:r w:rsidR="00560C9F">
      <w:rPr>
        <w:rFonts w:ascii="Arial" w:hAnsi="Arial" w:cs="Arial"/>
        <w:sz w:val="20"/>
        <w:szCs w:val="20"/>
      </w:rPr>
      <w:t>-202</w:t>
    </w:r>
    <w:r w:rsidR="00453FFD">
      <w:rPr>
        <w:rFonts w:ascii="Arial" w:hAnsi="Arial" w:cs="Arial"/>
        <w:sz w:val="20"/>
        <w:szCs w:val="20"/>
      </w:rPr>
      <w:t>2</w:t>
    </w:r>
    <w:r w:rsidR="00560C9F">
      <w:rPr>
        <w:rFonts w:ascii="Arial" w:hAnsi="Arial" w:cs="Arial"/>
        <w:sz w:val="20"/>
        <w:szCs w:val="20"/>
      </w:rPr>
      <w:t>-514101</w:t>
    </w:r>
  </w:p>
  <w:p w14:paraId="079050C2" w14:textId="51F0BFBC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FE24E3">
      <w:rPr>
        <w:rFonts w:ascii="Arial" w:hAnsi="Arial" w:cs="Arial"/>
        <w:sz w:val="20"/>
        <w:szCs w:val="20"/>
      </w:rPr>
      <w:t xml:space="preserve">- - - </w:t>
    </w:r>
  </w:p>
  <w:p w14:paraId="4676DA5F" w14:textId="1BF87EF1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Komplexní pozemkové úpravy v k.ú.</w:t>
    </w:r>
    <w:r w:rsidR="00FE24E3">
      <w:rPr>
        <w:rFonts w:ascii="Arial" w:hAnsi="Arial" w:cs="Arial"/>
        <w:sz w:val="20"/>
        <w:szCs w:val="20"/>
      </w:rPr>
      <w:t>Arnultovice a v navazující části Čermná v Krkonoších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5"/>
  </w:num>
  <w:num w:numId="2" w16cid:durableId="1130249286">
    <w:abstractNumId w:val="15"/>
  </w:num>
  <w:num w:numId="3" w16cid:durableId="11080057">
    <w:abstractNumId w:val="6"/>
  </w:num>
  <w:num w:numId="4" w16cid:durableId="760371053">
    <w:abstractNumId w:val="18"/>
  </w:num>
  <w:num w:numId="5" w16cid:durableId="574358692">
    <w:abstractNumId w:val="17"/>
  </w:num>
  <w:num w:numId="6" w16cid:durableId="1501238131">
    <w:abstractNumId w:val="14"/>
  </w:num>
  <w:num w:numId="7" w16cid:durableId="1495605279">
    <w:abstractNumId w:val="4"/>
  </w:num>
  <w:num w:numId="8" w16cid:durableId="305479588">
    <w:abstractNumId w:val="9"/>
  </w:num>
  <w:num w:numId="9" w16cid:durableId="1515608194">
    <w:abstractNumId w:val="5"/>
  </w:num>
  <w:num w:numId="10" w16cid:durableId="1888569915">
    <w:abstractNumId w:val="3"/>
  </w:num>
  <w:num w:numId="11" w16cid:durableId="655961934">
    <w:abstractNumId w:val="7"/>
  </w:num>
  <w:num w:numId="12" w16cid:durableId="49888331">
    <w:abstractNumId w:val="2"/>
  </w:num>
  <w:num w:numId="13" w16cid:durableId="675616148">
    <w:abstractNumId w:val="5"/>
  </w:num>
  <w:num w:numId="14" w16cid:durableId="632296133">
    <w:abstractNumId w:val="5"/>
  </w:num>
  <w:num w:numId="15" w16cid:durableId="816068881">
    <w:abstractNumId w:val="0"/>
  </w:num>
  <w:num w:numId="16" w16cid:durableId="1729180321">
    <w:abstractNumId w:val="16"/>
  </w:num>
  <w:num w:numId="17" w16cid:durableId="45416473">
    <w:abstractNumId w:val="13"/>
  </w:num>
  <w:num w:numId="18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3"/>
  </w:num>
  <w:num w:numId="20" w16cid:durableId="2120759086">
    <w:abstractNumId w:val="8"/>
  </w:num>
  <w:num w:numId="21" w16cid:durableId="1373535447">
    <w:abstractNumId w:val="13"/>
  </w:num>
  <w:num w:numId="22" w16cid:durableId="317925288">
    <w:abstractNumId w:val="10"/>
  </w:num>
  <w:num w:numId="23" w16cid:durableId="252054417">
    <w:abstractNumId w:val="11"/>
  </w:num>
  <w:num w:numId="24" w16cid:durableId="1912812649">
    <w:abstractNumId w:val="13"/>
  </w:num>
  <w:num w:numId="25" w16cid:durableId="2008357885">
    <w:abstractNumId w:val="13"/>
  </w:num>
  <w:num w:numId="26" w16cid:durableId="1328437682">
    <w:abstractNumId w:val="13"/>
  </w:num>
  <w:num w:numId="27" w16cid:durableId="1114329242">
    <w:abstractNumId w:val="13"/>
  </w:num>
  <w:num w:numId="28" w16cid:durableId="1971864460">
    <w:abstractNumId w:val="13"/>
    <w:lvlOverride w:ilvl="0">
      <w:startOverride w:val="17"/>
    </w:lvlOverride>
    <w:lvlOverride w:ilvl="1">
      <w:startOverride w:val="1"/>
    </w:lvlOverride>
  </w:num>
  <w:num w:numId="29" w16cid:durableId="1494417567">
    <w:abstractNumId w:val="13"/>
  </w:num>
  <w:num w:numId="30" w16cid:durableId="1714771796">
    <w:abstractNumId w:val="13"/>
    <w:lvlOverride w:ilvl="0">
      <w:startOverride w:val="17"/>
    </w:lvlOverride>
    <w:lvlOverride w:ilvl="1">
      <w:startOverride w:val="4"/>
    </w:lvlOverride>
  </w:num>
  <w:num w:numId="31" w16cid:durableId="953096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2"/>
  </w:num>
  <w:num w:numId="33" w16cid:durableId="91732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3B7E"/>
    <w:rsid w:val="00006589"/>
    <w:rsid w:val="00011B4B"/>
    <w:rsid w:val="00011BEB"/>
    <w:rsid w:val="000156DA"/>
    <w:rsid w:val="000158C5"/>
    <w:rsid w:val="000223DD"/>
    <w:rsid w:val="00024A4F"/>
    <w:rsid w:val="00025118"/>
    <w:rsid w:val="00025169"/>
    <w:rsid w:val="0002554E"/>
    <w:rsid w:val="00031216"/>
    <w:rsid w:val="00036027"/>
    <w:rsid w:val="00047DFF"/>
    <w:rsid w:val="00050575"/>
    <w:rsid w:val="000535A8"/>
    <w:rsid w:val="0006007C"/>
    <w:rsid w:val="00063178"/>
    <w:rsid w:val="0006327A"/>
    <w:rsid w:val="00071E27"/>
    <w:rsid w:val="00074318"/>
    <w:rsid w:val="00080CD2"/>
    <w:rsid w:val="00082A8B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109F"/>
    <w:rsid w:val="000B5ACE"/>
    <w:rsid w:val="000C599B"/>
    <w:rsid w:val="000C73E8"/>
    <w:rsid w:val="000D25FB"/>
    <w:rsid w:val="000D2D1F"/>
    <w:rsid w:val="000D7AC2"/>
    <w:rsid w:val="000E3DAB"/>
    <w:rsid w:val="000E3F2E"/>
    <w:rsid w:val="000E5DCC"/>
    <w:rsid w:val="000E6791"/>
    <w:rsid w:val="000F4463"/>
    <w:rsid w:val="000F4490"/>
    <w:rsid w:val="000F6048"/>
    <w:rsid w:val="000F6D02"/>
    <w:rsid w:val="001024AF"/>
    <w:rsid w:val="00105F26"/>
    <w:rsid w:val="00112577"/>
    <w:rsid w:val="0011383F"/>
    <w:rsid w:val="00114B10"/>
    <w:rsid w:val="00115AFF"/>
    <w:rsid w:val="00115CBE"/>
    <w:rsid w:val="001206A2"/>
    <w:rsid w:val="0012311D"/>
    <w:rsid w:val="00124DE1"/>
    <w:rsid w:val="0012767E"/>
    <w:rsid w:val="00130B7C"/>
    <w:rsid w:val="0013485A"/>
    <w:rsid w:val="00136137"/>
    <w:rsid w:val="00136B33"/>
    <w:rsid w:val="00144E52"/>
    <w:rsid w:val="0014633E"/>
    <w:rsid w:val="001473C8"/>
    <w:rsid w:val="00152700"/>
    <w:rsid w:val="0015272C"/>
    <w:rsid w:val="00153CF8"/>
    <w:rsid w:val="00157027"/>
    <w:rsid w:val="00163228"/>
    <w:rsid w:val="001636DD"/>
    <w:rsid w:val="00164567"/>
    <w:rsid w:val="00165B2D"/>
    <w:rsid w:val="001706A4"/>
    <w:rsid w:val="00172C69"/>
    <w:rsid w:val="001845D4"/>
    <w:rsid w:val="00190455"/>
    <w:rsid w:val="00190E69"/>
    <w:rsid w:val="00193E4D"/>
    <w:rsid w:val="0019607C"/>
    <w:rsid w:val="001A0CBD"/>
    <w:rsid w:val="001A420C"/>
    <w:rsid w:val="001A4EE1"/>
    <w:rsid w:val="001C2684"/>
    <w:rsid w:val="001C3B4E"/>
    <w:rsid w:val="001C3BF0"/>
    <w:rsid w:val="001C40A8"/>
    <w:rsid w:val="001C5114"/>
    <w:rsid w:val="001C6128"/>
    <w:rsid w:val="001C6DC5"/>
    <w:rsid w:val="001D0721"/>
    <w:rsid w:val="001D1DE9"/>
    <w:rsid w:val="001D45E9"/>
    <w:rsid w:val="001D67CE"/>
    <w:rsid w:val="001E70D0"/>
    <w:rsid w:val="002007F7"/>
    <w:rsid w:val="00203D2B"/>
    <w:rsid w:val="002047FA"/>
    <w:rsid w:val="002056DB"/>
    <w:rsid w:val="00205BEA"/>
    <w:rsid w:val="00207818"/>
    <w:rsid w:val="00210013"/>
    <w:rsid w:val="002103EF"/>
    <w:rsid w:val="00215C54"/>
    <w:rsid w:val="002200EE"/>
    <w:rsid w:val="00220D4E"/>
    <w:rsid w:val="00221992"/>
    <w:rsid w:val="00223820"/>
    <w:rsid w:val="002247A4"/>
    <w:rsid w:val="00237BF8"/>
    <w:rsid w:val="002412A6"/>
    <w:rsid w:val="00242C87"/>
    <w:rsid w:val="00243737"/>
    <w:rsid w:val="00246ADC"/>
    <w:rsid w:val="002501D6"/>
    <w:rsid w:val="00260076"/>
    <w:rsid w:val="0026294E"/>
    <w:rsid w:val="00262C99"/>
    <w:rsid w:val="002630A6"/>
    <w:rsid w:val="00266857"/>
    <w:rsid w:val="0027178C"/>
    <w:rsid w:val="00275B0F"/>
    <w:rsid w:val="00276F34"/>
    <w:rsid w:val="00277F73"/>
    <w:rsid w:val="00281B96"/>
    <w:rsid w:val="0028326B"/>
    <w:rsid w:val="002844AA"/>
    <w:rsid w:val="00286F86"/>
    <w:rsid w:val="002907DB"/>
    <w:rsid w:val="00290BBC"/>
    <w:rsid w:val="0029108B"/>
    <w:rsid w:val="0029422D"/>
    <w:rsid w:val="0029739F"/>
    <w:rsid w:val="002A0601"/>
    <w:rsid w:val="002A5A7C"/>
    <w:rsid w:val="002A69CB"/>
    <w:rsid w:val="002A767D"/>
    <w:rsid w:val="002B21ED"/>
    <w:rsid w:val="002C2D53"/>
    <w:rsid w:val="002C33D4"/>
    <w:rsid w:val="002C4EA3"/>
    <w:rsid w:val="002C5590"/>
    <w:rsid w:val="002C56AA"/>
    <w:rsid w:val="002D0BA3"/>
    <w:rsid w:val="002D37D0"/>
    <w:rsid w:val="002D5499"/>
    <w:rsid w:val="002D63CF"/>
    <w:rsid w:val="002D66B4"/>
    <w:rsid w:val="002D6E7B"/>
    <w:rsid w:val="002D72AF"/>
    <w:rsid w:val="002E0EAC"/>
    <w:rsid w:val="002E39F7"/>
    <w:rsid w:val="002E604B"/>
    <w:rsid w:val="002F17C8"/>
    <w:rsid w:val="002F369A"/>
    <w:rsid w:val="002F5C68"/>
    <w:rsid w:val="002F6E65"/>
    <w:rsid w:val="00301E10"/>
    <w:rsid w:val="00301E13"/>
    <w:rsid w:val="00303BF3"/>
    <w:rsid w:val="0030522F"/>
    <w:rsid w:val="003065E0"/>
    <w:rsid w:val="003216B8"/>
    <w:rsid w:val="003262CD"/>
    <w:rsid w:val="00326749"/>
    <w:rsid w:val="003314D0"/>
    <w:rsid w:val="00332E9A"/>
    <w:rsid w:val="0033494E"/>
    <w:rsid w:val="003403C0"/>
    <w:rsid w:val="00342A8D"/>
    <w:rsid w:val="00353B93"/>
    <w:rsid w:val="00354944"/>
    <w:rsid w:val="00356BE4"/>
    <w:rsid w:val="00361DA2"/>
    <w:rsid w:val="00361E17"/>
    <w:rsid w:val="00362C8B"/>
    <w:rsid w:val="00363265"/>
    <w:rsid w:val="003640D7"/>
    <w:rsid w:val="00364CBD"/>
    <w:rsid w:val="0037080D"/>
    <w:rsid w:val="00370D7D"/>
    <w:rsid w:val="003735BD"/>
    <w:rsid w:val="00374836"/>
    <w:rsid w:val="00374D62"/>
    <w:rsid w:val="003774EA"/>
    <w:rsid w:val="0038181F"/>
    <w:rsid w:val="00387DBE"/>
    <w:rsid w:val="003924AC"/>
    <w:rsid w:val="00395757"/>
    <w:rsid w:val="00397D0E"/>
    <w:rsid w:val="003A1389"/>
    <w:rsid w:val="003A31F2"/>
    <w:rsid w:val="003A3EFB"/>
    <w:rsid w:val="003A4DB9"/>
    <w:rsid w:val="003A6768"/>
    <w:rsid w:val="003A6CE5"/>
    <w:rsid w:val="003B0F07"/>
    <w:rsid w:val="003B463F"/>
    <w:rsid w:val="003B7F60"/>
    <w:rsid w:val="003C5DB6"/>
    <w:rsid w:val="003C6410"/>
    <w:rsid w:val="003D0D25"/>
    <w:rsid w:val="003D1377"/>
    <w:rsid w:val="003D6A88"/>
    <w:rsid w:val="003E4E76"/>
    <w:rsid w:val="003F26E5"/>
    <w:rsid w:val="00400AFE"/>
    <w:rsid w:val="00406864"/>
    <w:rsid w:val="004122EA"/>
    <w:rsid w:val="00417D84"/>
    <w:rsid w:val="00421927"/>
    <w:rsid w:val="00427C2C"/>
    <w:rsid w:val="00427E8E"/>
    <w:rsid w:val="0043005E"/>
    <w:rsid w:val="00433E50"/>
    <w:rsid w:val="00435281"/>
    <w:rsid w:val="00435B15"/>
    <w:rsid w:val="00436520"/>
    <w:rsid w:val="0043673C"/>
    <w:rsid w:val="004439E9"/>
    <w:rsid w:val="00451D2F"/>
    <w:rsid w:val="00453FFD"/>
    <w:rsid w:val="00454A56"/>
    <w:rsid w:val="0045671E"/>
    <w:rsid w:val="00456CA8"/>
    <w:rsid w:val="00460A27"/>
    <w:rsid w:val="00473A32"/>
    <w:rsid w:val="00477140"/>
    <w:rsid w:val="00480E2C"/>
    <w:rsid w:val="00484110"/>
    <w:rsid w:val="00493FC5"/>
    <w:rsid w:val="004A023E"/>
    <w:rsid w:val="004A1A37"/>
    <w:rsid w:val="004A2344"/>
    <w:rsid w:val="004A51AE"/>
    <w:rsid w:val="004A747E"/>
    <w:rsid w:val="004B33D8"/>
    <w:rsid w:val="004B465D"/>
    <w:rsid w:val="004B4AFF"/>
    <w:rsid w:val="004B4EC1"/>
    <w:rsid w:val="004C1430"/>
    <w:rsid w:val="004C2C39"/>
    <w:rsid w:val="004C4500"/>
    <w:rsid w:val="004C54E7"/>
    <w:rsid w:val="004C7EA9"/>
    <w:rsid w:val="004D0910"/>
    <w:rsid w:val="004D12F9"/>
    <w:rsid w:val="004D1763"/>
    <w:rsid w:val="004E1635"/>
    <w:rsid w:val="004E60E0"/>
    <w:rsid w:val="004E6895"/>
    <w:rsid w:val="004E6966"/>
    <w:rsid w:val="004F0749"/>
    <w:rsid w:val="004F2F85"/>
    <w:rsid w:val="004F5DA9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20122"/>
    <w:rsid w:val="0052252D"/>
    <w:rsid w:val="00522C82"/>
    <w:rsid w:val="00525487"/>
    <w:rsid w:val="005258A3"/>
    <w:rsid w:val="00525C30"/>
    <w:rsid w:val="00526782"/>
    <w:rsid w:val="00527381"/>
    <w:rsid w:val="00530728"/>
    <w:rsid w:val="00530C01"/>
    <w:rsid w:val="00530CDC"/>
    <w:rsid w:val="00533CE3"/>
    <w:rsid w:val="00534167"/>
    <w:rsid w:val="00540031"/>
    <w:rsid w:val="00542C70"/>
    <w:rsid w:val="0054358C"/>
    <w:rsid w:val="00544987"/>
    <w:rsid w:val="00546C1C"/>
    <w:rsid w:val="00547689"/>
    <w:rsid w:val="00550AC1"/>
    <w:rsid w:val="005534A7"/>
    <w:rsid w:val="005564C6"/>
    <w:rsid w:val="005565A2"/>
    <w:rsid w:val="00557EA0"/>
    <w:rsid w:val="00560C9F"/>
    <w:rsid w:val="00562403"/>
    <w:rsid w:val="005632C6"/>
    <w:rsid w:val="00565981"/>
    <w:rsid w:val="00565AA1"/>
    <w:rsid w:val="00570DD7"/>
    <w:rsid w:val="00571BAC"/>
    <w:rsid w:val="0057295D"/>
    <w:rsid w:val="00573D7E"/>
    <w:rsid w:val="005741F5"/>
    <w:rsid w:val="00580FE6"/>
    <w:rsid w:val="00583343"/>
    <w:rsid w:val="00583580"/>
    <w:rsid w:val="00583868"/>
    <w:rsid w:val="00584255"/>
    <w:rsid w:val="0059317E"/>
    <w:rsid w:val="005A0FD7"/>
    <w:rsid w:val="005A2DD4"/>
    <w:rsid w:val="005A37B6"/>
    <w:rsid w:val="005A4278"/>
    <w:rsid w:val="005B6216"/>
    <w:rsid w:val="005B6D3A"/>
    <w:rsid w:val="005B7413"/>
    <w:rsid w:val="005C183C"/>
    <w:rsid w:val="005C3A91"/>
    <w:rsid w:val="005C624D"/>
    <w:rsid w:val="005D03E6"/>
    <w:rsid w:val="005D34A0"/>
    <w:rsid w:val="005E1766"/>
    <w:rsid w:val="005E2404"/>
    <w:rsid w:val="005E2667"/>
    <w:rsid w:val="005E28F9"/>
    <w:rsid w:val="005E2999"/>
    <w:rsid w:val="005E361E"/>
    <w:rsid w:val="005E41A0"/>
    <w:rsid w:val="005E7928"/>
    <w:rsid w:val="005F09B4"/>
    <w:rsid w:val="005F0E15"/>
    <w:rsid w:val="005F4056"/>
    <w:rsid w:val="005F452E"/>
    <w:rsid w:val="00600178"/>
    <w:rsid w:val="006003A2"/>
    <w:rsid w:val="0060398E"/>
    <w:rsid w:val="006039A9"/>
    <w:rsid w:val="0060484F"/>
    <w:rsid w:val="00604F98"/>
    <w:rsid w:val="00605F26"/>
    <w:rsid w:val="0060732E"/>
    <w:rsid w:val="00611360"/>
    <w:rsid w:val="0061322A"/>
    <w:rsid w:val="0061643D"/>
    <w:rsid w:val="00616519"/>
    <w:rsid w:val="00617717"/>
    <w:rsid w:val="00620A76"/>
    <w:rsid w:val="006211B3"/>
    <w:rsid w:val="00623952"/>
    <w:rsid w:val="00626B92"/>
    <w:rsid w:val="0062731B"/>
    <w:rsid w:val="0062793E"/>
    <w:rsid w:val="00630879"/>
    <w:rsid w:val="006340DC"/>
    <w:rsid w:val="00636B4E"/>
    <w:rsid w:val="00637D0F"/>
    <w:rsid w:val="00643558"/>
    <w:rsid w:val="00644D21"/>
    <w:rsid w:val="00647367"/>
    <w:rsid w:val="00647B58"/>
    <w:rsid w:val="00650C09"/>
    <w:rsid w:val="00652A90"/>
    <w:rsid w:val="00654AF0"/>
    <w:rsid w:val="00661CE5"/>
    <w:rsid w:val="00664B09"/>
    <w:rsid w:val="00673666"/>
    <w:rsid w:val="00675508"/>
    <w:rsid w:val="00680261"/>
    <w:rsid w:val="00684A21"/>
    <w:rsid w:val="00686130"/>
    <w:rsid w:val="0069192E"/>
    <w:rsid w:val="006928C0"/>
    <w:rsid w:val="00692ECD"/>
    <w:rsid w:val="00693369"/>
    <w:rsid w:val="00696920"/>
    <w:rsid w:val="00697E30"/>
    <w:rsid w:val="006A0435"/>
    <w:rsid w:val="006A19CB"/>
    <w:rsid w:val="006A2FCF"/>
    <w:rsid w:val="006A46C5"/>
    <w:rsid w:val="006A53C6"/>
    <w:rsid w:val="006B0D36"/>
    <w:rsid w:val="006B2290"/>
    <w:rsid w:val="006B445C"/>
    <w:rsid w:val="006B4F8C"/>
    <w:rsid w:val="006C0BA3"/>
    <w:rsid w:val="006C3908"/>
    <w:rsid w:val="006C3E9E"/>
    <w:rsid w:val="006C60B6"/>
    <w:rsid w:val="006D04B0"/>
    <w:rsid w:val="006D37BF"/>
    <w:rsid w:val="006D43D0"/>
    <w:rsid w:val="006D7373"/>
    <w:rsid w:val="006F4EEC"/>
    <w:rsid w:val="006F5C42"/>
    <w:rsid w:val="006F723C"/>
    <w:rsid w:val="006F7B83"/>
    <w:rsid w:val="00702404"/>
    <w:rsid w:val="00705F41"/>
    <w:rsid w:val="007103E7"/>
    <w:rsid w:val="00713F7A"/>
    <w:rsid w:val="007177B6"/>
    <w:rsid w:val="00721BE8"/>
    <w:rsid w:val="00722351"/>
    <w:rsid w:val="00722A8B"/>
    <w:rsid w:val="007231EC"/>
    <w:rsid w:val="00724699"/>
    <w:rsid w:val="0072498E"/>
    <w:rsid w:val="00726A48"/>
    <w:rsid w:val="007278CC"/>
    <w:rsid w:val="00731F46"/>
    <w:rsid w:val="00733246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6060"/>
    <w:rsid w:val="007632F8"/>
    <w:rsid w:val="0076697C"/>
    <w:rsid w:val="00773F54"/>
    <w:rsid w:val="00782B35"/>
    <w:rsid w:val="00785734"/>
    <w:rsid w:val="00790005"/>
    <w:rsid w:val="007926AE"/>
    <w:rsid w:val="00794F42"/>
    <w:rsid w:val="0079688C"/>
    <w:rsid w:val="0079786F"/>
    <w:rsid w:val="007A264F"/>
    <w:rsid w:val="007A471E"/>
    <w:rsid w:val="007A4752"/>
    <w:rsid w:val="007A7074"/>
    <w:rsid w:val="007B2098"/>
    <w:rsid w:val="007B4EF7"/>
    <w:rsid w:val="007B64F3"/>
    <w:rsid w:val="007D2F90"/>
    <w:rsid w:val="007D50D3"/>
    <w:rsid w:val="007D56CD"/>
    <w:rsid w:val="007D688B"/>
    <w:rsid w:val="007E0717"/>
    <w:rsid w:val="007E243B"/>
    <w:rsid w:val="007E4046"/>
    <w:rsid w:val="007E5A47"/>
    <w:rsid w:val="007E5DBC"/>
    <w:rsid w:val="007E636E"/>
    <w:rsid w:val="007F1C40"/>
    <w:rsid w:val="007F2A2B"/>
    <w:rsid w:val="007F2AEA"/>
    <w:rsid w:val="007F53D1"/>
    <w:rsid w:val="007F6352"/>
    <w:rsid w:val="00802E02"/>
    <w:rsid w:val="0080606F"/>
    <w:rsid w:val="0080791A"/>
    <w:rsid w:val="00807BE5"/>
    <w:rsid w:val="008214E2"/>
    <w:rsid w:val="00825ACB"/>
    <w:rsid w:val="0083015F"/>
    <w:rsid w:val="00832D35"/>
    <w:rsid w:val="00836B52"/>
    <w:rsid w:val="00840FDD"/>
    <w:rsid w:val="008434C7"/>
    <w:rsid w:val="00844266"/>
    <w:rsid w:val="00847838"/>
    <w:rsid w:val="008504A6"/>
    <w:rsid w:val="0085126E"/>
    <w:rsid w:val="00853E30"/>
    <w:rsid w:val="008567E0"/>
    <w:rsid w:val="0086328B"/>
    <w:rsid w:val="00863905"/>
    <w:rsid w:val="00863D9B"/>
    <w:rsid w:val="00866660"/>
    <w:rsid w:val="00870D3D"/>
    <w:rsid w:val="00872670"/>
    <w:rsid w:val="00873405"/>
    <w:rsid w:val="008859A0"/>
    <w:rsid w:val="00885A14"/>
    <w:rsid w:val="00885F83"/>
    <w:rsid w:val="0088614E"/>
    <w:rsid w:val="00893272"/>
    <w:rsid w:val="0089379B"/>
    <w:rsid w:val="0089703F"/>
    <w:rsid w:val="008A7E98"/>
    <w:rsid w:val="008B3391"/>
    <w:rsid w:val="008B6574"/>
    <w:rsid w:val="008B7AED"/>
    <w:rsid w:val="008C004A"/>
    <w:rsid w:val="008C0434"/>
    <w:rsid w:val="008C0CE5"/>
    <w:rsid w:val="008C5490"/>
    <w:rsid w:val="008D065E"/>
    <w:rsid w:val="008D2BE3"/>
    <w:rsid w:val="008D459F"/>
    <w:rsid w:val="008E38FC"/>
    <w:rsid w:val="008E665A"/>
    <w:rsid w:val="008F24B4"/>
    <w:rsid w:val="008F4C2A"/>
    <w:rsid w:val="008F4F26"/>
    <w:rsid w:val="009001C9"/>
    <w:rsid w:val="00906FBB"/>
    <w:rsid w:val="009076BD"/>
    <w:rsid w:val="00910C1E"/>
    <w:rsid w:val="00911EA3"/>
    <w:rsid w:val="00912805"/>
    <w:rsid w:val="0091560E"/>
    <w:rsid w:val="00917704"/>
    <w:rsid w:val="00934DF2"/>
    <w:rsid w:val="009431BB"/>
    <w:rsid w:val="00946819"/>
    <w:rsid w:val="00946C92"/>
    <w:rsid w:val="00952258"/>
    <w:rsid w:val="00952CFE"/>
    <w:rsid w:val="00952D48"/>
    <w:rsid w:val="009542DE"/>
    <w:rsid w:val="00955F01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814"/>
    <w:rsid w:val="009878CE"/>
    <w:rsid w:val="00990799"/>
    <w:rsid w:val="00996B17"/>
    <w:rsid w:val="009A0B38"/>
    <w:rsid w:val="009A1536"/>
    <w:rsid w:val="009A1760"/>
    <w:rsid w:val="009A2B29"/>
    <w:rsid w:val="009B02A3"/>
    <w:rsid w:val="009B1EE6"/>
    <w:rsid w:val="009C10E2"/>
    <w:rsid w:val="009C3605"/>
    <w:rsid w:val="009C4BF3"/>
    <w:rsid w:val="009D0F42"/>
    <w:rsid w:val="009D136C"/>
    <w:rsid w:val="009D1A47"/>
    <w:rsid w:val="009D3244"/>
    <w:rsid w:val="009D46F9"/>
    <w:rsid w:val="009D4C5A"/>
    <w:rsid w:val="009D5AC0"/>
    <w:rsid w:val="009D5CE8"/>
    <w:rsid w:val="009E089F"/>
    <w:rsid w:val="009E4A7D"/>
    <w:rsid w:val="009F748A"/>
    <w:rsid w:val="00A03AB2"/>
    <w:rsid w:val="00A05731"/>
    <w:rsid w:val="00A11565"/>
    <w:rsid w:val="00A212BA"/>
    <w:rsid w:val="00A228E9"/>
    <w:rsid w:val="00A2434C"/>
    <w:rsid w:val="00A2489D"/>
    <w:rsid w:val="00A300B8"/>
    <w:rsid w:val="00A30EDD"/>
    <w:rsid w:val="00A35743"/>
    <w:rsid w:val="00A37F14"/>
    <w:rsid w:val="00A467FF"/>
    <w:rsid w:val="00A5038D"/>
    <w:rsid w:val="00A51B55"/>
    <w:rsid w:val="00A51F95"/>
    <w:rsid w:val="00A54907"/>
    <w:rsid w:val="00A5563A"/>
    <w:rsid w:val="00A55B3C"/>
    <w:rsid w:val="00A56F16"/>
    <w:rsid w:val="00A57D77"/>
    <w:rsid w:val="00A6017A"/>
    <w:rsid w:val="00A60245"/>
    <w:rsid w:val="00A61903"/>
    <w:rsid w:val="00A70BE8"/>
    <w:rsid w:val="00A75FC3"/>
    <w:rsid w:val="00A80E35"/>
    <w:rsid w:val="00A82E19"/>
    <w:rsid w:val="00A85F4E"/>
    <w:rsid w:val="00AA045F"/>
    <w:rsid w:val="00AA54D0"/>
    <w:rsid w:val="00AA642D"/>
    <w:rsid w:val="00AB3AFD"/>
    <w:rsid w:val="00AB54E0"/>
    <w:rsid w:val="00AB56F8"/>
    <w:rsid w:val="00AC3ED0"/>
    <w:rsid w:val="00AC614B"/>
    <w:rsid w:val="00AD21B0"/>
    <w:rsid w:val="00AD2612"/>
    <w:rsid w:val="00AD6C51"/>
    <w:rsid w:val="00AD6E9D"/>
    <w:rsid w:val="00AE0010"/>
    <w:rsid w:val="00AE05CF"/>
    <w:rsid w:val="00AE3EE8"/>
    <w:rsid w:val="00AE5310"/>
    <w:rsid w:val="00AE64EC"/>
    <w:rsid w:val="00AE6F10"/>
    <w:rsid w:val="00AE7323"/>
    <w:rsid w:val="00AF0B00"/>
    <w:rsid w:val="00AF4773"/>
    <w:rsid w:val="00AF5126"/>
    <w:rsid w:val="00B052B8"/>
    <w:rsid w:val="00B06A1E"/>
    <w:rsid w:val="00B125ED"/>
    <w:rsid w:val="00B14847"/>
    <w:rsid w:val="00B15146"/>
    <w:rsid w:val="00B2094A"/>
    <w:rsid w:val="00B2117E"/>
    <w:rsid w:val="00B21BA2"/>
    <w:rsid w:val="00B22FF8"/>
    <w:rsid w:val="00B246C7"/>
    <w:rsid w:val="00B25DB9"/>
    <w:rsid w:val="00B261FF"/>
    <w:rsid w:val="00B30049"/>
    <w:rsid w:val="00B33115"/>
    <w:rsid w:val="00B37CEA"/>
    <w:rsid w:val="00B40281"/>
    <w:rsid w:val="00B40872"/>
    <w:rsid w:val="00B5283F"/>
    <w:rsid w:val="00B528C7"/>
    <w:rsid w:val="00B633FB"/>
    <w:rsid w:val="00B64CE1"/>
    <w:rsid w:val="00B6732E"/>
    <w:rsid w:val="00B720F8"/>
    <w:rsid w:val="00B7411C"/>
    <w:rsid w:val="00B77143"/>
    <w:rsid w:val="00B809AE"/>
    <w:rsid w:val="00B843D5"/>
    <w:rsid w:val="00B84913"/>
    <w:rsid w:val="00B925BB"/>
    <w:rsid w:val="00BA1AB0"/>
    <w:rsid w:val="00BA1DA7"/>
    <w:rsid w:val="00BA24A3"/>
    <w:rsid w:val="00BA3B35"/>
    <w:rsid w:val="00BA54A8"/>
    <w:rsid w:val="00BA6E5B"/>
    <w:rsid w:val="00BB00A7"/>
    <w:rsid w:val="00BB2FC5"/>
    <w:rsid w:val="00BB3B35"/>
    <w:rsid w:val="00BB7682"/>
    <w:rsid w:val="00BC1F68"/>
    <w:rsid w:val="00BC3B34"/>
    <w:rsid w:val="00BC51A5"/>
    <w:rsid w:val="00BC5EB6"/>
    <w:rsid w:val="00BC6738"/>
    <w:rsid w:val="00BC7A44"/>
    <w:rsid w:val="00BC7A8F"/>
    <w:rsid w:val="00BD1B8C"/>
    <w:rsid w:val="00BD243E"/>
    <w:rsid w:val="00BD4506"/>
    <w:rsid w:val="00BD72F3"/>
    <w:rsid w:val="00BE06CA"/>
    <w:rsid w:val="00BE1F50"/>
    <w:rsid w:val="00BE3426"/>
    <w:rsid w:val="00BE3861"/>
    <w:rsid w:val="00BE43CE"/>
    <w:rsid w:val="00BE66A4"/>
    <w:rsid w:val="00BF28F1"/>
    <w:rsid w:val="00BF4F37"/>
    <w:rsid w:val="00BF516E"/>
    <w:rsid w:val="00C00668"/>
    <w:rsid w:val="00C0380C"/>
    <w:rsid w:val="00C07106"/>
    <w:rsid w:val="00C10D22"/>
    <w:rsid w:val="00C11646"/>
    <w:rsid w:val="00C15766"/>
    <w:rsid w:val="00C1648A"/>
    <w:rsid w:val="00C23305"/>
    <w:rsid w:val="00C233A5"/>
    <w:rsid w:val="00C2386C"/>
    <w:rsid w:val="00C241EB"/>
    <w:rsid w:val="00C25067"/>
    <w:rsid w:val="00C25B4E"/>
    <w:rsid w:val="00C261AE"/>
    <w:rsid w:val="00C328DC"/>
    <w:rsid w:val="00C33584"/>
    <w:rsid w:val="00C401F1"/>
    <w:rsid w:val="00C431C2"/>
    <w:rsid w:val="00C43971"/>
    <w:rsid w:val="00C440AC"/>
    <w:rsid w:val="00C44F98"/>
    <w:rsid w:val="00C54476"/>
    <w:rsid w:val="00C619BB"/>
    <w:rsid w:val="00C633E4"/>
    <w:rsid w:val="00C6442C"/>
    <w:rsid w:val="00C656C0"/>
    <w:rsid w:val="00C72963"/>
    <w:rsid w:val="00C72DBA"/>
    <w:rsid w:val="00C772B2"/>
    <w:rsid w:val="00C851C1"/>
    <w:rsid w:val="00C8709B"/>
    <w:rsid w:val="00C8780B"/>
    <w:rsid w:val="00C9216F"/>
    <w:rsid w:val="00C97588"/>
    <w:rsid w:val="00CA36F2"/>
    <w:rsid w:val="00CA5160"/>
    <w:rsid w:val="00CA767C"/>
    <w:rsid w:val="00CB1562"/>
    <w:rsid w:val="00CB677A"/>
    <w:rsid w:val="00CB7548"/>
    <w:rsid w:val="00CC568E"/>
    <w:rsid w:val="00CC6ED0"/>
    <w:rsid w:val="00CD14D4"/>
    <w:rsid w:val="00CD59A3"/>
    <w:rsid w:val="00CD64A0"/>
    <w:rsid w:val="00CD7DBA"/>
    <w:rsid w:val="00CE21D9"/>
    <w:rsid w:val="00CE535E"/>
    <w:rsid w:val="00CE73F6"/>
    <w:rsid w:val="00CF0411"/>
    <w:rsid w:val="00CF10AE"/>
    <w:rsid w:val="00CF11E0"/>
    <w:rsid w:val="00D016ED"/>
    <w:rsid w:val="00D01B69"/>
    <w:rsid w:val="00D01C8D"/>
    <w:rsid w:val="00D03AEF"/>
    <w:rsid w:val="00D05C06"/>
    <w:rsid w:val="00D07CA8"/>
    <w:rsid w:val="00D108AC"/>
    <w:rsid w:val="00D10C8E"/>
    <w:rsid w:val="00D11A18"/>
    <w:rsid w:val="00D13F03"/>
    <w:rsid w:val="00D23C49"/>
    <w:rsid w:val="00D277F4"/>
    <w:rsid w:val="00D27D63"/>
    <w:rsid w:val="00D27DBB"/>
    <w:rsid w:val="00D301CB"/>
    <w:rsid w:val="00D3568A"/>
    <w:rsid w:val="00D36334"/>
    <w:rsid w:val="00D44CD3"/>
    <w:rsid w:val="00D45322"/>
    <w:rsid w:val="00D454FA"/>
    <w:rsid w:val="00D46130"/>
    <w:rsid w:val="00D47085"/>
    <w:rsid w:val="00D473DC"/>
    <w:rsid w:val="00D53C83"/>
    <w:rsid w:val="00D5636C"/>
    <w:rsid w:val="00D56E62"/>
    <w:rsid w:val="00D56F79"/>
    <w:rsid w:val="00D57789"/>
    <w:rsid w:val="00D6149B"/>
    <w:rsid w:val="00D62493"/>
    <w:rsid w:val="00D62FFC"/>
    <w:rsid w:val="00D65A89"/>
    <w:rsid w:val="00D67F98"/>
    <w:rsid w:val="00D745C2"/>
    <w:rsid w:val="00D82565"/>
    <w:rsid w:val="00D861A9"/>
    <w:rsid w:val="00D8786A"/>
    <w:rsid w:val="00DA63E4"/>
    <w:rsid w:val="00DB1875"/>
    <w:rsid w:val="00DB40C9"/>
    <w:rsid w:val="00DB7CC9"/>
    <w:rsid w:val="00DC117E"/>
    <w:rsid w:val="00DC1C1A"/>
    <w:rsid w:val="00DC2E5B"/>
    <w:rsid w:val="00DC6FB7"/>
    <w:rsid w:val="00DD1107"/>
    <w:rsid w:val="00DD28EE"/>
    <w:rsid w:val="00DD3E27"/>
    <w:rsid w:val="00DD6422"/>
    <w:rsid w:val="00DD67E0"/>
    <w:rsid w:val="00DE0DBA"/>
    <w:rsid w:val="00DE1291"/>
    <w:rsid w:val="00DE5C36"/>
    <w:rsid w:val="00DF0122"/>
    <w:rsid w:val="00DF6B40"/>
    <w:rsid w:val="00DF70A8"/>
    <w:rsid w:val="00E006B9"/>
    <w:rsid w:val="00E02419"/>
    <w:rsid w:val="00E04435"/>
    <w:rsid w:val="00E04C03"/>
    <w:rsid w:val="00E10D00"/>
    <w:rsid w:val="00E1620F"/>
    <w:rsid w:val="00E21012"/>
    <w:rsid w:val="00E21A95"/>
    <w:rsid w:val="00E23020"/>
    <w:rsid w:val="00E25CF3"/>
    <w:rsid w:val="00E2661C"/>
    <w:rsid w:val="00E26B63"/>
    <w:rsid w:val="00E27EBB"/>
    <w:rsid w:val="00E3249C"/>
    <w:rsid w:val="00E34D3C"/>
    <w:rsid w:val="00E37D8C"/>
    <w:rsid w:val="00E41608"/>
    <w:rsid w:val="00E42694"/>
    <w:rsid w:val="00E51D14"/>
    <w:rsid w:val="00E562C3"/>
    <w:rsid w:val="00E57082"/>
    <w:rsid w:val="00E67DF1"/>
    <w:rsid w:val="00E70B48"/>
    <w:rsid w:val="00E751CB"/>
    <w:rsid w:val="00E7795E"/>
    <w:rsid w:val="00E80985"/>
    <w:rsid w:val="00E8256C"/>
    <w:rsid w:val="00E8355A"/>
    <w:rsid w:val="00E83682"/>
    <w:rsid w:val="00E84E1C"/>
    <w:rsid w:val="00E916B7"/>
    <w:rsid w:val="00EA1C50"/>
    <w:rsid w:val="00EA3ADA"/>
    <w:rsid w:val="00EA4A68"/>
    <w:rsid w:val="00EA76B0"/>
    <w:rsid w:val="00EA77E0"/>
    <w:rsid w:val="00EB047A"/>
    <w:rsid w:val="00EB5ABD"/>
    <w:rsid w:val="00EC2F8C"/>
    <w:rsid w:val="00ED01F5"/>
    <w:rsid w:val="00ED1074"/>
    <w:rsid w:val="00ED38EB"/>
    <w:rsid w:val="00ED589A"/>
    <w:rsid w:val="00EE378A"/>
    <w:rsid w:val="00EE489C"/>
    <w:rsid w:val="00F01FFF"/>
    <w:rsid w:val="00F02819"/>
    <w:rsid w:val="00F04850"/>
    <w:rsid w:val="00F06765"/>
    <w:rsid w:val="00F06D75"/>
    <w:rsid w:val="00F0703B"/>
    <w:rsid w:val="00F14949"/>
    <w:rsid w:val="00F16BA6"/>
    <w:rsid w:val="00F17391"/>
    <w:rsid w:val="00F176CB"/>
    <w:rsid w:val="00F228A2"/>
    <w:rsid w:val="00F26C04"/>
    <w:rsid w:val="00F2722B"/>
    <w:rsid w:val="00F330A8"/>
    <w:rsid w:val="00F357D3"/>
    <w:rsid w:val="00F401D6"/>
    <w:rsid w:val="00F41287"/>
    <w:rsid w:val="00F452A6"/>
    <w:rsid w:val="00F4591A"/>
    <w:rsid w:val="00F52DF4"/>
    <w:rsid w:val="00F54C6F"/>
    <w:rsid w:val="00F5592F"/>
    <w:rsid w:val="00F62067"/>
    <w:rsid w:val="00F660C0"/>
    <w:rsid w:val="00F67FAB"/>
    <w:rsid w:val="00F71483"/>
    <w:rsid w:val="00F82DC9"/>
    <w:rsid w:val="00F857BC"/>
    <w:rsid w:val="00F8685B"/>
    <w:rsid w:val="00F90A08"/>
    <w:rsid w:val="00F91447"/>
    <w:rsid w:val="00F91A13"/>
    <w:rsid w:val="00F968D2"/>
    <w:rsid w:val="00F972E4"/>
    <w:rsid w:val="00FA07DC"/>
    <w:rsid w:val="00FA620B"/>
    <w:rsid w:val="00FA6351"/>
    <w:rsid w:val="00FB091E"/>
    <w:rsid w:val="00FB0D09"/>
    <w:rsid w:val="00FB2423"/>
    <w:rsid w:val="00FB3C58"/>
    <w:rsid w:val="00FB67A6"/>
    <w:rsid w:val="00FC1AE8"/>
    <w:rsid w:val="00FC733A"/>
    <w:rsid w:val="00FD7936"/>
    <w:rsid w:val="00FE0940"/>
    <w:rsid w:val="00FE0A4D"/>
    <w:rsid w:val="00FE24E3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tnov.pk@spu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lovehradecky.kraj@spu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1968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Žáková Petra Ing.</cp:lastModifiedBy>
  <cp:revision>5</cp:revision>
  <cp:lastPrinted>2023-11-09T07:42:00Z</cp:lastPrinted>
  <dcterms:created xsi:type="dcterms:W3CDTF">2024-06-11T11:57:00Z</dcterms:created>
  <dcterms:modified xsi:type="dcterms:W3CDTF">2024-06-11T12:34:00Z</dcterms:modified>
</cp:coreProperties>
</file>