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20C9" w14:textId="74D9EB26" w:rsidR="007A5D0C" w:rsidRPr="007A5D0C" w:rsidRDefault="007A5D0C" w:rsidP="007A5D0C">
      <w:pPr>
        <w:tabs>
          <w:tab w:val="center" w:pos="4536"/>
          <w:tab w:val="right" w:pos="9072"/>
        </w:tabs>
        <w:overflowPunct/>
        <w:autoSpaceDE/>
        <w:autoSpaceDN/>
        <w:adjustRightInd/>
        <w:jc w:val="both"/>
        <w:rPr>
          <w:rFonts w:ascii="Tahoma" w:hAnsi="Tahoma" w:cs="Tahoma"/>
          <w:b/>
          <w:bCs/>
        </w:rPr>
      </w:pPr>
      <w:r w:rsidRPr="007A5D0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630DB2" wp14:editId="3CDAAC5C">
            <wp:simplePos x="0" y="0"/>
            <wp:positionH relativeFrom="column">
              <wp:posOffset>3786205</wp:posOffset>
            </wp:positionH>
            <wp:positionV relativeFrom="paragraph">
              <wp:posOffset>209</wp:posOffset>
            </wp:positionV>
            <wp:extent cx="2289175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390" y="21298"/>
                <wp:lineTo x="21390" y="0"/>
                <wp:lineTo x="0" y="0"/>
              </wp:wrapPolygon>
            </wp:wrapTight>
            <wp:docPr id="160842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D0C">
        <w:rPr>
          <w:rFonts w:ascii="Tahoma" w:hAnsi="Tahoma" w:cs="Tahoma"/>
          <w:b/>
          <w:bCs/>
        </w:rPr>
        <w:t>Centrum sociálních služeb</w:t>
      </w:r>
    </w:p>
    <w:p w14:paraId="11237E90" w14:textId="77777777" w:rsidR="007A5D0C" w:rsidRPr="007A5D0C" w:rsidRDefault="007A5D0C" w:rsidP="007A5D0C">
      <w:pPr>
        <w:tabs>
          <w:tab w:val="center" w:pos="4536"/>
          <w:tab w:val="right" w:pos="9072"/>
        </w:tabs>
        <w:overflowPunct/>
        <w:autoSpaceDE/>
        <w:autoSpaceDN/>
        <w:adjustRightInd/>
        <w:jc w:val="both"/>
        <w:rPr>
          <w:rFonts w:ascii="Tahoma" w:hAnsi="Tahoma" w:cs="Tahoma"/>
          <w:b/>
          <w:bCs/>
        </w:rPr>
      </w:pPr>
      <w:r w:rsidRPr="007A5D0C">
        <w:rPr>
          <w:rFonts w:ascii="Tahoma" w:hAnsi="Tahoma" w:cs="Tahoma"/>
          <w:b/>
          <w:bCs/>
        </w:rPr>
        <w:t>pro osoby se zrakovým postižením v Brně – Chrlicích</w:t>
      </w:r>
    </w:p>
    <w:p w14:paraId="383ACDFC" w14:textId="77777777" w:rsidR="007A5D0C" w:rsidRPr="007A5D0C" w:rsidRDefault="007A5D0C" w:rsidP="007A5D0C">
      <w:pPr>
        <w:tabs>
          <w:tab w:val="center" w:pos="4536"/>
          <w:tab w:val="right" w:pos="9072"/>
        </w:tabs>
        <w:overflowPunct/>
        <w:autoSpaceDE/>
        <w:autoSpaceDN/>
        <w:adjustRightInd/>
        <w:jc w:val="both"/>
        <w:rPr>
          <w:rFonts w:ascii="Tahoma" w:hAnsi="Tahoma" w:cs="Tahoma"/>
        </w:rPr>
      </w:pPr>
    </w:p>
    <w:p w14:paraId="42FD20BA" w14:textId="77777777" w:rsidR="007A5D0C" w:rsidRPr="007A5D0C" w:rsidRDefault="007A5D0C" w:rsidP="007A5D0C">
      <w:pPr>
        <w:pBdr>
          <w:bottom w:val="single" w:sz="6" w:space="0" w:color="auto"/>
        </w:pBdr>
        <w:tabs>
          <w:tab w:val="center" w:pos="4536"/>
          <w:tab w:val="right" w:pos="9072"/>
        </w:tabs>
        <w:overflowPunct/>
        <w:autoSpaceDE/>
        <w:autoSpaceDN/>
        <w:adjustRightInd/>
        <w:ind w:left="-1134" w:right="-1134" w:firstLine="454"/>
        <w:jc w:val="both"/>
        <w:rPr>
          <w:sz w:val="22"/>
        </w:rPr>
      </w:pPr>
      <w:r w:rsidRPr="007A5D0C">
        <w:rPr>
          <w:rFonts w:ascii="Tahoma" w:hAnsi="Tahoma" w:cs="Tahoma"/>
          <w:sz w:val="26"/>
          <w:szCs w:val="26"/>
        </w:rPr>
        <w:t xml:space="preserve">                            </w:t>
      </w:r>
      <w:r w:rsidRPr="007A5D0C">
        <w:rPr>
          <w:sz w:val="28"/>
        </w:rPr>
        <w:t xml:space="preserve">     </w:t>
      </w:r>
    </w:p>
    <w:p w14:paraId="5E53026F" w14:textId="77777777" w:rsidR="00765E75" w:rsidRDefault="00765E75" w:rsidP="00765E75">
      <w:pPr>
        <w:rPr>
          <w:rFonts w:ascii="Tahoma" w:hAnsi="Tahoma" w:cs="Tahoma"/>
          <w:sz w:val="22"/>
          <w:szCs w:val="22"/>
        </w:rPr>
      </w:pPr>
    </w:p>
    <w:p w14:paraId="5C05F350" w14:textId="77777777" w:rsidR="008850B8" w:rsidRDefault="008850B8" w:rsidP="00765E75">
      <w:pPr>
        <w:rPr>
          <w:rFonts w:ascii="Tahoma" w:hAnsi="Tahoma" w:cs="Tahoma"/>
          <w:sz w:val="22"/>
          <w:szCs w:val="22"/>
        </w:rPr>
      </w:pPr>
    </w:p>
    <w:p w14:paraId="1E9146CD" w14:textId="77777777" w:rsidR="008850B8" w:rsidRPr="008850B8" w:rsidRDefault="008850B8" w:rsidP="008850B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655FBBE" w14:textId="77777777" w:rsidR="008850B8" w:rsidRPr="008850B8" w:rsidRDefault="008850B8" w:rsidP="008850B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850B8">
        <w:rPr>
          <w:rFonts w:ascii="Tahoma" w:hAnsi="Tahoma" w:cs="Tahoma"/>
          <w:b/>
          <w:bCs/>
          <w:sz w:val="28"/>
          <w:szCs w:val="28"/>
        </w:rPr>
        <w:t>NÁJEMNÍ SMLOUVA</w:t>
      </w:r>
    </w:p>
    <w:p w14:paraId="6BA7769F" w14:textId="496374E2" w:rsidR="008850B8" w:rsidRPr="008850B8" w:rsidRDefault="008850B8" w:rsidP="008850B8">
      <w:pPr>
        <w:jc w:val="center"/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Uzavřená níže uvedeného dne měsíce a roku podle zákona č.89/2012 Sb. v platném znění</w:t>
      </w:r>
    </w:p>
    <w:p w14:paraId="127EA05C" w14:textId="77777777" w:rsidR="008850B8" w:rsidRPr="008850B8" w:rsidRDefault="008850B8" w:rsidP="008850B8">
      <w:pPr>
        <w:jc w:val="center"/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mezi smluvními stranami, kterými jsou:</w:t>
      </w:r>
    </w:p>
    <w:p w14:paraId="1EDAA0CC" w14:textId="77777777" w:rsidR="008850B8" w:rsidRPr="00295EAD" w:rsidRDefault="008850B8" w:rsidP="008850B8">
      <w:pPr>
        <w:rPr>
          <w:rFonts w:ascii="Tahoma" w:hAnsi="Tahoma" w:cs="Tahoma"/>
          <w:b/>
          <w:bCs/>
          <w:sz w:val="22"/>
          <w:szCs w:val="22"/>
        </w:rPr>
      </w:pPr>
    </w:p>
    <w:p w14:paraId="44576E80" w14:textId="77777777" w:rsidR="008850B8" w:rsidRPr="00295EAD" w:rsidRDefault="008850B8" w:rsidP="008850B8">
      <w:pPr>
        <w:rPr>
          <w:rFonts w:ascii="Tahoma" w:hAnsi="Tahoma" w:cs="Tahoma"/>
          <w:b/>
          <w:bCs/>
          <w:sz w:val="22"/>
          <w:szCs w:val="22"/>
        </w:rPr>
      </w:pPr>
      <w:r w:rsidRPr="00295EAD">
        <w:rPr>
          <w:rFonts w:ascii="Tahoma" w:hAnsi="Tahoma" w:cs="Tahoma"/>
          <w:b/>
          <w:bCs/>
          <w:sz w:val="22"/>
          <w:szCs w:val="22"/>
        </w:rPr>
        <w:t>Centrum sociálních služeb pro osoby se zrakovým postižením v Brně-Chrlicích</w:t>
      </w:r>
    </w:p>
    <w:p w14:paraId="69370DC6" w14:textId="1A880688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 xml:space="preserve">se sídlem: Chrlické nám. </w:t>
      </w:r>
      <w:r w:rsidR="00585682">
        <w:rPr>
          <w:rFonts w:ascii="Tahoma" w:hAnsi="Tahoma" w:cs="Tahoma"/>
          <w:sz w:val="22"/>
          <w:szCs w:val="22"/>
        </w:rPr>
        <w:t>2/</w:t>
      </w:r>
      <w:r w:rsidRPr="008850B8">
        <w:rPr>
          <w:rFonts w:ascii="Tahoma" w:hAnsi="Tahoma" w:cs="Tahoma"/>
          <w:sz w:val="22"/>
          <w:szCs w:val="22"/>
        </w:rPr>
        <w:t>2, 643 00</w:t>
      </w:r>
      <w:r w:rsidR="00585682" w:rsidRPr="00585682">
        <w:rPr>
          <w:rFonts w:ascii="Tahoma" w:hAnsi="Tahoma" w:cs="Tahoma"/>
          <w:sz w:val="22"/>
          <w:szCs w:val="22"/>
        </w:rPr>
        <w:t xml:space="preserve"> </w:t>
      </w:r>
      <w:r w:rsidR="00585682" w:rsidRPr="008850B8">
        <w:rPr>
          <w:rFonts w:ascii="Tahoma" w:hAnsi="Tahoma" w:cs="Tahoma"/>
          <w:sz w:val="22"/>
          <w:szCs w:val="22"/>
        </w:rPr>
        <w:t>Brno</w:t>
      </w:r>
    </w:p>
    <w:p w14:paraId="001846A4" w14:textId="77777777" w:rsid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IČ:13693131</w:t>
      </w:r>
    </w:p>
    <w:p w14:paraId="345032CD" w14:textId="77777777" w:rsidR="00A65A01" w:rsidRDefault="00585682" w:rsidP="008850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C35AD5">
        <w:rPr>
          <w:rFonts w:ascii="Tahoma" w:hAnsi="Tahoma" w:cs="Tahoma"/>
          <w:sz w:val="22"/>
          <w:szCs w:val="22"/>
        </w:rPr>
        <w:t xml:space="preserve"> </w:t>
      </w:r>
    </w:p>
    <w:p w14:paraId="32A2E617" w14:textId="33D2AD54" w:rsidR="00585682" w:rsidRPr="008850B8" w:rsidRDefault="00585682" w:rsidP="008850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NENÍ PLÁTCE DPH</w:t>
      </w:r>
    </w:p>
    <w:p w14:paraId="3E5AAFA9" w14:textId="562C6716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 xml:space="preserve">Zastoupená </w:t>
      </w:r>
      <w:r w:rsidR="00295EAD">
        <w:rPr>
          <w:rFonts w:ascii="Tahoma" w:hAnsi="Tahoma" w:cs="Tahoma"/>
          <w:sz w:val="22"/>
          <w:szCs w:val="22"/>
        </w:rPr>
        <w:t xml:space="preserve">zastupující </w:t>
      </w:r>
      <w:r w:rsidRPr="008850B8">
        <w:rPr>
          <w:rFonts w:ascii="Tahoma" w:hAnsi="Tahoma" w:cs="Tahoma"/>
          <w:sz w:val="22"/>
          <w:szCs w:val="22"/>
        </w:rPr>
        <w:t>ředitelk</w:t>
      </w:r>
      <w:r w:rsidR="00295EAD">
        <w:rPr>
          <w:rFonts w:ascii="Tahoma" w:hAnsi="Tahoma" w:cs="Tahoma"/>
          <w:sz w:val="22"/>
          <w:szCs w:val="22"/>
        </w:rPr>
        <w:t>ou</w:t>
      </w:r>
      <w:r w:rsidRPr="008850B8">
        <w:rPr>
          <w:rFonts w:ascii="Tahoma" w:hAnsi="Tahoma" w:cs="Tahoma"/>
          <w:sz w:val="22"/>
          <w:szCs w:val="22"/>
        </w:rPr>
        <w:t xml:space="preserve">: </w:t>
      </w:r>
      <w:r w:rsidR="00295EAD">
        <w:rPr>
          <w:rFonts w:ascii="Tahoma" w:hAnsi="Tahoma" w:cs="Tahoma"/>
          <w:sz w:val="22"/>
          <w:szCs w:val="22"/>
        </w:rPr>
        <w:t xml:space="preserve">Janou Hrdou </w:t>
      </w:r>
    </w:p>
    <w:p w14:paraId="6F497581" w14:textId="3309B423" w:rsidR="00585682" w:rsidRDefault="00585682" w:rsidP="008850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ID:</w:t>
      </w:r>
      <w:r w:rsidR="007A5D0C" w:rsidRPr="007A5D0C">
        <w:t xml:space="preserve"> </w:t>
      </w:r>
      <w:r w:rsidR="007A5D0C" w:rsidRPr="007A5D0C">
        <w:rPr>
          <w:rFonts w:ascii="Tahoma" w:hAnsi="Tahoma" w:cs="Tahoma"/>
          <w:sz w:val="22"/>
          <w:szCs w:val="22"/>
        </w:rPr>
        <w:t>6xajquw</w:t>
      </w:r>
    </w:p>
    <w:p w14:paraId="1A5C5061" w14:textId="357BF3EC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(dále jen pronajímatel)</w:t>
      </w:r>
    </w:p>
    <w:p w14:paraId="62844EBC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08CD76AA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a</w:t>
      </w:r>
    </w:p>
    <w:p w14:paraId="4D4E0E9B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469328A6" w14:textId="77777777" w:rsidR="008850B8" w:rsidRPr="00295EAD" w:rsidRDefault="008850B8" w:rsidP="008850B8">
      <w:pPr>
        <w:rPr>
          <w:rFonts w:ascii="Tahoma" w:hAnsi="Tahoma" w:cs="Tahoma"/>
          <w:b/>
          <w:bCs/>
          <w:sz w:val="22"/>
          <w:szCs w:val="22"/>
        </w:rPr>
      </w:pPr>
      <w:r w:rsidRPr="00295EAD">
        <w:rPr>
          <w:rFonts w:ascii="Tahoma" w:hAnsi="Tahoma" w:cs="Tahoma"/>
          <w:b/>
          <w:bCs/>
          <w:sz w:val="22"/>
          <w:szCs w:val="22"/>
        </w:rPr>
        <w:t>SIMEVA s.r.o.</w:t>
      </w:r>
    </w:p>
    <w:p w14:paraId="168B4811" w14:textId="73A914BF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 xml:space="preserve">se sídlem: </w:t>
      </w:r>
      <w:r w:rsidR="00585682" w:rsidRPr="00585682">
        <w:rPr>
          <w:rFonts w:ascii="Tahoma" w:hAnsi="Tahoma" w:cs="Tahoma"/>
          <w:sz w:val="22"/>
          <w:szCs w:val="22"/>
        </w:rPr>
        <w:t>Valchařská 24/36, Husovice, 614 00 Brno</w:t>
      </w:r>
    </w:p>
    <w:p w14:paraId="78586CE5" w14:textId="7B2E54C1" w:rsid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IČ: 01999605</w:t>
      </w:r>
    </w:p>
    <w:p w14:paraId="1C26159A" w14:textId="130C36CD" w:rsidR="00585682" w:rsidRPr="008850B8" w:rsidRDefault="00585682" w:rsidP="008850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DIČ: </w:t>
      </w:r>
      <w:r w:rsidR="007A5D0C">
        <w:rPr>
          <w:rFonts w:ascii="Tahoma" w:hAnsi="Tahoma" w:cs="Tahoma"/>
          <w:sz w:val="22"/>
          <w:szCs w:val="22"/>
        </w:rPr>
        <w:t>CZ</w:t>
      </w:r>
      <w:r w:rsidR="007A5D0C" w:rsidRPr="007A5D0C">
        <w:rPr>
          <w:rFonts w:ascii="Tahoma" w:hAnsi="Tahoma" w:cs="Tahoma"/>
          <w:sz w:val="22"/>
          <w:szCs w:val="22"/>
        </w:rPr>
        <w:t>01999605</w:t>
      </w:r>
    </w:p>
    <w:p w14:paraId="73567A49" w14:textId="51FED6F6" w:rsid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Zastoupená jednatelem: Ing. Mark</w:t>
      </w:r>
      <w:r w:rsidR="00585682">
        <w:rPr>
          <w:rFonts w:ascii="Tahoma" w:hAnsi="Tahoma" w:cs="Tahoma"/>
          <w:sz w:val="22"/>
          <w:szCs w:val="22"/>
        </w:rPr>
        <w:t>em</w:t>
      </w:r>
      <w:r w:rsidRPr="008850B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850B8">
        <w:rPr>
          <w:rFonts w:ascii="Tahoma" w:hAnsi="Tahoma" w:cs="Tahoma"/>
          <w:sz w:val="22"/>
          <w:szCs w:val="22"/>
        </w:rPr>
        <w:t>Juh</w:t>
      </w:r>
      <w:r w:rsidR="00585682">
        <w:rPr>
          <w:rFonts w:ascii="Tahoma" w:hAnsi="Tahoma" w:cs="Tahoma"/>
          <w:sz w:val="22"/>
          <w:szCs w:val="22"/>
        </w:rPr>
        <w:t>ou</w:t>
      </w:r>
      <w:proofErr w:type="spellEnd"/>
    </w:p>
    <w:p w14:paraId="2AD0CF98" w14:textId="1FEC393B" w:rsidR="00585682" w:rsidRPr="008850B8" w:rsidRDefault="00585682" w:rsidP="008850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ID:</w:t>
      </w:r>
      <w:r w:rsidR="007A5D0C" w:rsidRPr="007A5D0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A5D0C" w:rsidRPr="007A5D0C">
        <w:rPr>
          <w:rFonts w:ascii="Tahoma" w:hAnsi="Tahoma" w:cs="Tahoma"/>
          <w:sz w:val="22"/>
          <w:szCs w:val="22"/>
        </w:rPr>
        <w:t>bpxyhqa</w:t>
      </w:r>
      <w:proofErr w:type="spellEnd"/>
    </w:p>
    <w:p w14:paraId="579E2E57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  <w:r w:rsidRPr="008850B8">
        <w:rPr>
          <w:rFonts w:ascii="Tahoma" w:hAnsi="Tahoma" w:cs="Tahoma"/>
          <w:sz w:val="22"/>
          <w:szCs w:val="22"/>
        </w:rPr>
        <w:t>(dále jen nájemce)</w:t>
      </w:r>
    </w:p>
    <w:p w14:paraId="6A64A821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3292E2BD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68F4F534" w14:textId="278EDB72" w:rsidR="008850B8" w:rsidRPr="000E4DEB" w:rsidRDefault="008850B8" w:rsidP="000E4DEB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0E4DEB">
        <w:rPr>
          <w:rFonts w:ascii="Tahoma" w:hAnsi="Tahoma" w:cs="Tahoma"/>
          <w:b/>
          <w:bCs/>
          <w:sz w:val="22"/>
          <w:szCs w:val="22"/>
        </w:rPr>
        <w:t>Předmět nájmu</w:t>
      </w:r>
    </w:p>
    <w:p w14:paraId="186FC2A8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128B56B0" w14:textId="0A574ACD" w:rsidR="008850B8" w:rsidRPr="00295EAD" w:rsidRDefault="008850B8" w:rsidP="00295EAD">
      <w:pPr>
        <w:pStyle w:val="Odstavecseseznamem"/>
        <w:numPr>
          <w:ilvl w:val="0"/>
          <w:numId w:val="15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Předmětem nájmu upraveného touto nájemní smlouvou jsou nebytové prostory – místnost č. </w:t>
      </w:r>
      <w:r w:rsidR="00C35AD5">
        <w:rPr>
          <w:rFonts w:ascii="Tahoma" w:hAnsi="Tahoma" w:cs="Tahoma"/>
          <w:sz w:val="22"/>
          <w:szCs w:val="22"/>
        </w:rPr>
        <w:t>505</w:t>
      </w:r>
      <w:r w:rsidR="00A13051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A65A01" w:rsidRPr="00A65A01">
        <w:rPr>
          <w:rFonts w:ascii="Tahoma" w:hAnsi="Tahoma" w:cs="Tahoma"/>
          <w:sz w:val="22"/>
          <w:szCs w:val="22"/>
        </w:rPr>
        <w:t>504 WC</w:t>
      </w:r>
      <w:r w:rsidR="00A65A0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95EAD">
        <w:rPr>
          <w:rFonts w:ascii="Tahoma" w:hAnsi="Tahoma" w:cs="Tahoma"/>
          <w:sz w:val="22"/>
          <w:szCs w:val="22"/>
        </w:rPr>
        <w:t>včetně majetku</w:t>
      </w:r>
      <w:r w:rsidR="00A13051">
        <w:rPr>
          <w:rFonts w:ascii="Tahoma" w:hAnsi="Tahoma" w:cs="Tahoma"/>
          <w:sz w:val="22"/>
          <w:szCs w:val="22"/>
        </w:rPr>
        <w:t xml:space="preserve"> dle vymezení podle</w:t>
      </w:r>
      <w:r w:rsidRPr="00295EAD">
        <w:rPr>
          <w:rFonts w:ascii="Tahoma" w:hAnsi="Tahoma" w:cs="Tahoma"/>
          <w:sz w:val="22"/>
          <w:szCs w:val="22"/>
        </w:rPr>
        <w:t xml:space="preserve"> příloh</w:t>
      </w:r>
      <w:r w:rsidR="00A13051">
        <w:rPr>
          <w:rFonts w:ascii="Tahoma" w:hAnsi="Tahoma" w:cs="Tahoma"/>
          <w:sz w:val="22"/>
          <w:szCs w:val="22"/>
        </w:rPr>
        <w:t>y</w:t>
      </w:r>
      <w:r w:rsidRPr="00295EAD">
        <w:rPr>
          <w:rFonts w:ascii="Tahoma" w:hAnsi="Tahoma" w:cs="Tahoma"/>
          <w:sz w:val="22"/>
          <w:szCs w:val="22"/>
        </w:rPr>
        <w:t xml:space="preserve"> č. 1</w:t>
      </w:r>
      <w:r w:rsidR="00A13051">
        <w:rPr>
          <w:rFonts w:ascii="Tahoma" w:hAnsi="Tahoma" w:cs="Tahoma"/>
          <w:sz w:val="22"/>
          <w:szCs w:val="22"/>
        </w:rPr>
        <w:t>,</w:t>
      </w:r>
      <w:r w:rsidRPr="00295EAD">
        <w:rPr>
          <w:rFonts w:ascii="Tahoma" w:hAnsi="Tahoma" w:cs="Tahoma"/>
          <w:sz w:val="22"/>
          <w:szCs w:val="22"/>
        </w:rPr>
        <w:t xml:space="preserve"> situované v přízemí objektu sídla </w:t>
      </w:r>
      <w:r w:rsidR="00295EAD" w:rsidRPr="00295EAD">
        <w:rPr>
          <w:rFonts w:ascii="Tahoma" w:hAnsi="Tahoma" w:cs="Tahoma"/>
          <w:sz w:val="22"/>
          <w:szCs w:val="22"/>
        </w:rPr>
        <w:t>pronajímatele</w:t>
      </w:r>
      <w:r w:rsidRPr="00295EAD">
        <w:rPr>
          <w:rFonts w:ascii="Tahoma" w:hAnsi="Tahoma" w:cs="Tahoma"/>
          <w:sz w:val="22"/>
          <w:szCs w:val="22"/>
        </w:rPr>
        <w:t xml:space="preserve"> na adrese Brno, Chrlické nám. 2/2 o výměře celkem ca</w:t>
      </w:r>
      <w:r w:rsidR="00A65A01">
        <w:rPr>
          <w:rFonts w:ascii="Tahoma" w:hAnsi="Tahoma" w:cs="Tahoma"/>
          <w:sz w:val="22"/>
          <w:szCs w:val="22"/>
        </w:rPr>
        <w:t xml:space="preserve"> 25 </w:t>
      </w:r>
      <w:r w:rsidRPr="00295EAD">
        <w:rPr>
          <w:rFonts w:ascii="Tahoma" w:hAnsi="Tahoma" w:cs="Tahoma"/>
          <w:sz w:val="22"/>
          <w:szCs w:val="22"/>
        </w:rPr>
        <w:t>m2.</w:t>
      </w:r>
    </w:p>
    <w:p w14:paraId="0689657F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60077E85" w14:textId="01A48C35" w:rsidR="008850B8" w:rsidRPr="00295EAD" w:rsidRDefault="008850B8" w:rsidP="00295EAD">
      <w:pPr>
        <w:pStyle w:val="Odstavecseseznamem"/>
        <w:numPr>
          <w:ilvl w:val="0"/>
          <w:numId w:val="15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V dalším textu jsou uvedené prostory nazývány též jen jako předmět nájmu.  </w:t>
      </w:r>
    </w:p>
    <w:p w14:paraId="1A8D95CD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44B89903" w14:textId="20A38C6C" w:rsidR="008850B8" w:rsidRPr="00295EAD" w:rsidRDefault="008850B8" w:rsidP="00295EAD">
      <w:pPr>
        <w:pStyle w:val="Odstavecseseznamem"/>
        <w:numPr>
          <w:ilvl w:val="0"/>
          <w:numId w:val="15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>Nájemce je oprávněn dále užívat společně s pronajímatelem přístupovou komunikaci i společné prostory v areálu, a to výlučně jen k přístupu k předmětu nájmu, nebude-li mezi účastníky této smlouvy dohodnuto jinak.</w:t>
      </w:r>
    </w:p>
    <w:p w14:paraId="78D2E320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4D603710" w14:textId="0DF1593F" w:rsidR="008850B8" w:rsidRDefault="008850B8" w:rsidP="00295EAD">
      <w:pPr>
        <w:pStyle w:val="Odstavecseseznamem"/>
        <w:numPr>
          <w:ilvl w:val="0"/>
          <w:numId w:val="15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Shora popsaný předmět nájmu pronajímatel touto smlouvou přenechává </w:t>
      </w:r>
      <w:r w:rsidR="00295EAD" w:rsidRPr="00295EAD">
        <w:rPr>
          <w:rFonts w:ascii="Tahoma" w:hAnsi="Tahoma" w:cs="Tahoma"/>
          <w:sz w:val="22"/>
          <w:szCs w:val="22"/>
        </w:rPr>
        <w:t>nájemci</w:t>
      </w:r>
      <w:r w:rsidRPr="00295EAD">
        <w:rPr>
          <w:rFonts w:ascii="Tahoma" w:hAnsi="Tahoma" w:cs="Tahoma"/>
          <w:sz w:val="22"/>
          <w:szCs w:val="22"/>
        </w:rPr>
        <w:t xml:space="preserve"> do časově omezeného užívání za dále sjednaných smluvních podmínek. Nájemce se zavazuje předmět nájmu užívat po dobu </w:t>
      </w:r>
      <w:r w:rsidR="00295EAD">
        <w:rPr>
          <w:rFonts w:ascii="Tahoma" w:hAnsi="Tahoma" w:cs="Tahoma"/>
          <w:sz w:val="22"/>
          <w:szCs w:val="22"/>
        </w:rPr>
        <w:t>trvání</w:t>
      </w:r>
      <w:r w:rsidRPr="00295EAD">
        <w:rPr>
          <w:rFonts w:ascii="Tahoma" w:hAnsi="Tahoma" w:cs="Tahoma"/>
          <w:sz w:val="22"/>
          <w:szCs w:val="22"/>
        </w:rPr>
        <w:t xml:space="preserve"> smlouvy výlučně ke sjednanému účelu.</w:t>
      </w:r>
    </w:p>
    <w:p w14:paraId="13806B71" w14:textId="77777777" w:rsidR="000E4DEB" w:rsidRPr="00295EAD" w:rsidRDefault="000E4DEB" w:rsidP="000E4DEB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14:paraId="7F2D4523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68BFCDD6" w14:textId="168A2311" w:rsidR="008850B8" w:rsidRPr="000E4DEB" w:rsidRDefault="008850B8" w:rsidP="000E4DEB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0E4DEB">
        <w:rPr>
          <w:rFonts w:ascii="Tahoma" w:hAnsi="Tahoma" w:cs="Tahoma"/>
          <w:b/>
          <w:bCs/>
          <w:sz w:val="22"/>
          <w:szCs w:val="22"/>
        </w:rPr>
        <w:t>Účel nájmu</w:t>
      </w:r>
    </w:p>
    <w:p w14:paraId="214874FE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73BCFD7A" w14:textId="2FBDD204" w:rsidR="008850B8" w:rsidRPr="00295EAD" w:rsidRDefault="008850B8" w:rsidP="00295EAD">
      <w:pPr>
        <w:ind w:left="-113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>Účelem nájmu je provozování pracovních činností nájemcem</w:t>
      </w:r>
      <w:r w:rsidR="00295EAD" w:rsidRPr="00295EAD">
        <w:rPr>
          <w:rFonts w:ascii="Tahoma" w:hAnsi="Tahoma" w:cs="Tahoma"/>
          <w:sz w:val="22"/>
          <w:szCs w:val="22"/>
        </w:rPr>
        <w:t xml:space="preserve"> za účasti uživatelů sociálních služeb pronajímatele</w:t>
      </w:r>
      <w:r w:rsidRPr="00295EAD">
        <w:rPr>
          <w:rFonts w:ascii="Tahoma" w:hAnsi="Tahoma" w:cs="Tahoma"/>
          <w:sz w:val="22"/>
          <w:szCs w:val="22"/>
        </w:rPr>
        <w:t>.</w:t>
      </w:r>
    </w:p>
    <w:p w14:paraId="34551CEB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6D9E9D26" w14:textId="174BA3E7" w:rsidR="008850B8" w:rsidRPr="00A13051" w:rsidRDefault="008850B8" w:rsidP="00A1305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A13051">
        <w:rPr>
          <w:rFonts w:ascii="Tahoma" w:hAnsi="Tahoma" w:cs="Tahoma"/>
          <w:b/>
          <w:bCs/>
          <w:sz w:val="22"/>
          <w:szCs w:val="22"/>
        </w:rPr>
        <w:t>Nájemné a úhrada za služby</w:t>
      </w:r>
    </w:p>
    <w:p w14:paraId="78FFBB74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05C74CB4" w14:textId="751090D6" w:rsidR="008850B8" w:rsidRPr="00FF1BC5" w:rsidRDefault="008850B8" w:rsidP="00FF1BC5">
      <w:pPr>
        <w:pStyle w:val="Odstavecseseznamem"/>
        <w:numPr>
          <w:ilvl w:val="0"/>
          <w:numId w:val="20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b/>
          <w:bCs/>
          <w:sz w:val="22"/>
          <w:szCs w:val="22"/>
        </w:rPr>
        <w:t>Výše nájmu</w:t>
      </w:r>
      <w:r w:rsidRPr="00FF1BC5">
        <w:rPr>
          <w:rFonts w:ascii="Tahoma" w:hAnsi="Tahoma" w:cs="Tahoma"/>
          <w:sz w:val="22"/>
          <w:szCs w:val="22"/>
        </w:rPr>
        <w:t xml:space="preserve"> se sjednává v částce </w:t>
      </w:r>
      <w:r w:rsidRPr="00FF1BC5">
        <w:rPr>
          <w:rFonts w:ascii="Tahoma" w:hAnsi="Tahoma" w:cs="Tahoma"/>
          <w:b/>
          <w:bCs/>
          <w:sz w:val="22"/>
          <w:szCs w:val="22"/>
        </w:rPr>
        <w:t>500,-Kč</w:t>
      </w:r>
      <w:r w:rsidRPr="00FF1BC5">
        <w:rPr>
          <w:rFonts w:ascii="Tahoma" w:hAnsi="Tahoma" w:cs="Tahoma"/>
          <w:sz w:val="22"/>
          <w:szCs w:val="22"/>
        </w:rPr>
        <w:t xml:space="preserve"> měsíčně.</w:t>
      </w:r>
    </w:p>
    <w:p w14:paraId="49D636BC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39FE9D9E" w14:textId="001ED78E" w:rsidR="008850B8" w:rsidRPr="00FF1BC5" w:rsidRDefault="008850B8" w:rsidP="00FF1BC5">
      <w:pPr>
        <w:pStyle w:val="Odstavecseseznamem"/>
        <w:numPr>
          <w:ilvl w:val="0"/>
          <w:numId w:val="20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 xml:space="preserve">Mimo nájemného je nájemce povinen hradit za </w:t>
      </w:r>
      <w:r w:rsidRPr="00FF1BC5">
        <w:rPr>
          <w:rFonts w:ascii="Tahoma" w:hAnsi="Tahoma" w:cs="Tahoma"/>
          <w:b/>
          <w:bCs/>
          <w:sz w:val="22"/>
          <w:szCs w:val="22"/>
        </w:rPr>
        <w:t xml:space="preserve">služby </w:t>
      </w:r>
      <w:r w:rsidRPr="00FF1BC5">
        <w:rPr>
          <w:rFonts w:ascii="Tahoma" w:hAnsi="Tahoma" w:cs="Tahoma"/>
          <w:sz w:val="22"/>
          <w:szCs w:val="22"/>
        </w:rPr>
        <w:t xml:space="preserve">s nájmem spojenými, a to spotřebu el. energie, vodné, stočné a za dodávku tepla a teplé vody paušální částku </w:t>
      </w:r>
      <w:r w:rsidR="00A65A01" w:rsidRPr="00A65A01">
        <w:rPr>
          <w:rFonts w:ascii="Tahoma" w:hAnsi="Tahoma" w:cs="Tahoma"/>
          <w:b/>
          <w:bCs/>
          <w:sz w:val="22"/>
          <w:szCs w:val="22"/>
        </w:rPr>
        <w:t>5</w:t>
      </w:r>
      <w:r w:rsidR="00C35AD5" w:rsidRPr="00C35AD5">
        <w:rPr>
          <w:rFonts w:ascii="Tahoma" w:hAnsi="Tahoma" w:cs="Tahoma"/>
          <w:b/>
          <w:bCs/>
          <w:sz w:val="22"/>
          <w:szCs w:val="22"/>
        </w:rPr>
        <w:t>00</w:t>
      </w:r>
      <w:r w:rsidRPr="00FF1BC5">
        <w:rPr>
          <w:rFonts w:ascii="Tahoma" w:hAnsi="Tahoma" w:cs="Tahoma"/>
          <w:b/>
          <w:bCs/>
          <w:sz w:val="22"/>
          <w:szCs w:val="22"/>
        </w:rPr>
        <w:t>,- Kč</w:t>
      </w:r>
      <w:r w:rsidRPr="00FF1BC5">
        <w:rPr>
          <w:rFonts w:ascii="Tahoma" w:hAnsi="Tahoma" w:cs="Tahoma"/>
          <w:sz w:val="22"/>
          <w:szCs w:val="22"/>
        </w:rPr>
        <w:t xml:space="preserve"> měsíčně, která je splatná společně s čistým nájemným.</w:t>
      </w:r>
    </w:p>
    <w:p w14:paraId="77F18FA3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092046DF" w14:textId="1E715B24" w:rsidR="008850B8" w:rsidRPr="00A65A01" w:rsidRDefault="008850B8" w:rsidP="00FF1BC5">
      <w:pPr>
        <w:pStyle w:val="Odstavecseseznamem"/>
        <w:numPr>
          <w:ilvl w:val="0"/>
          <w:numId w:val="20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b/>
          <w:bCs/>
          <w:sz w:val="22"/>
          <w:szCs w:val="22"/>
        </w:rPr>
        <w:t>Celková výše měsíční úhrady</w:t>
      </w:r>
      <w:r w:rsidRPr="00FF1BC5">
        <w:rPr>
          <w:rFonts w:ascii="Tahoma" w:hAnsi="Tahoma" w:cs="Tahoma"/>
          <w:sz w:val="22"/>
          <w:szCs w:val="22"/>
        </w:rPr>
        <w:t xml:space="preserve"> nájemce za nájemné a služby s nájmem spojené činí </w:t>
      </w:r>
      <w:r w:rsidR="00A65A01" w:rsidRPr="00A65A01">
        <w:rPr>
          <w:rFonts w:ascii="Tahoma" w:hAnsi="Tahoma" w:cs="Tahoma"/>
          <w:b/>
          <w:bCs/>
          <w:sz w:val="22"/>
          <w:szCs w:val="22"/>
        </w:rPr>
        <w:t>1 000</w:t>
      </w:r>
      <w:r w:rsidRPr="00A65A01">
        <w:rPr>
          <w:rFonts w:ascii="Tahoma" w:hAnsi="Tahoma" w:cs="Tahoma"/>
          <w:b/>
          <w:bCs/>
          <w:sz w:val="22"/>
          <w:szCs w:val="22"/>
        </w:rPr>
        <w:t>,-</w:t>
      </w:r>
      <w:r w:rsidRPr="00FF1BC5">
        <w:rPr>
          <w:rFonts w:ascii="Tahoma" w:hAnsi="Tahoma" w:cs="Tahoma"/>
          <w:b/>
          <w:bCs/>
          <w:sz w:val="22"/>
          <w:szCs w:val="22"/>
        </w:rPr>
        <w:t>Kč.</w:t>
      </w:r>
      <w:r w:rsidRPr="00FF1BC5">
        <w:rPr>
          <w:rFonts w:ascii="Tahoma" w:hAnsi="Tahoma" w:cs="Tahoma"/>
          <w:sz w:val="22"/>
          <w:szCs w:val="22"/>
        </w:rPr>
        <w:t xml:space="preserve"> Úhrada je splatná na účet pronajímatele po obdržení faktury na zaplacení vystavené pronajímatelem se splatností uvedenou na faktuře.</w:t>
      </w:r>
      <w:r w:rsidR="00FF1BC5">
        <w:rPr>
          <w:rFonts w:ascii="Tahoma" w:hAnsi="Tahoma" w:cs="Tahoma"/>
          <w:sz w:val="22"/>
          <w:szCs w:val="22"/>
        </w:rPr>
        <w:t xml:space="preserve"> </w:t>
      </w:r>
      <w:r w:rsidR="00FF1BC5" w:rsidRPr="00A65A01">
        <w:rPr>
          <w:rFonts w:ascii="Tahoma" w:hAnsi="Tahoma" w:cs="Tahoma"/>
          <w:sz w:val="22"/>
          <w:szCs w:val="22"/>
        </w:rPr>
        <w:t xml:space="preserve">Fakturováno bude nájemci pronajímatelem </w:t>
      </w:r>
      <w:r w:rsidR="00A65A01" w:rsidRPr="00A65A01">
        <w:rPr>
          <w:rFonts w:ascii="Tahoma" w:hAnsi="Tahoma" w:cs="Tahoma"/>
          <w:sz w:val="22"/>
          <w:szCs w:val="22"/>
        </w:rPr>
        <w:t>měsíčně.</w:t>
      </w:r>
    </w:p>
    <w:p w14:paraId="364B86CB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0A7EF2EA" w14:textId="3544382B" w:rsidR="008850B8" w:rsidRPr="00FF1BC5" w:rsidRDefault="008850B8" w:rsidP="00FF1BC5">
      <w:pPr>
        <w:pStyle w:val="Odstavecseseznamem"/>
        <w:numPr>
          <w:ilvl w:val="0"/>
          <w:numId w:val="20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V případě prodlení s platbou nájemného nebo úhrady za služby se nájemce zavazuje zaplatit pronajímateli smluvní pokutu ve výši 0,05 % z dlužné částky za každý den prodlení splatnou s nejbližším nájemným.</w:t>
      </w:r>
    </w:p>
    <w:p w14:paraId="4339B454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17C7D2A2" w14:textId="77777777" w:rsidR="008850B8" w:rsidRPr="00295EAD" w:rsidRDefault="008850B8" w:rsidP="008850B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812F3D6" w14:textId="3E700A07" w:rsidR="008850B8" w:rsidRPr="00A13051" w:rsidRDefault="008850B8" w:rsidP="00A1305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A13051">
        <w:rPr>
          <w:rFonts w:ascii="Tahoma" w:hAnsi="Tahoma" w:cs="Tahoma"/>
          <w:b/>
          <w:bCs/>
          <w:sz w:val="22"/>
          <w:szCs w:val="22"/>
        </w:rPr>
        <w:t>Doba trvání nájmu</w:t>
      </w:r>
    </w:p>
    <w:p w14:paraId="6A2144B6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1955F082" w14:textId="2BAD98EF" w:rsidR="008850B8" w:rsidRPr="00FF1BC5" w:rsidRDefault="008850B8" w:rsidP="00FF1BC5">
      <w:pPr>
        <w:pStyle w:val="Odstavecseseznamem"/>
        <w:numPr>
          <w:ilvl w:val="0"/>
          <w:numId w:val="19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Nájemní poměr se sjednává na dobu určitou od 01.0</w:t>
      </w:r>
      <w:r w:rsidR="00295EAD" w:rsidRPr="00FF1BC5">
        <w:rPr>
          <w:rFonts w:ascii="Tahoma" w:hAnsi="Tahoma" w:cs="Tahoma"/>
          <w:sz w:val="22"/>
          <w:szCs w:val="22"/>
        </w:rPr>
        <w:t>5</w:t>
      </w:r>
      <w:r w:rsidRPr="00FF1BC5">
        <w:rPr>
          <w:rFonts w:ascii="Tahoma" w:hAnsi="Tahoma" w:cs="Tahoma"/>
          <w:sz w:val="22"/>
          <w:szCs w:val="22"/>
        </w:rPr>
        <w:t>.202</w:t>
      </w:r>
      <w:r w:rsidR="00295EAD" w:rsidRPr="00FF1BC5">
        <w:rPr>
          <w:rFonts w:ascii="Tahoma" w:hAnsi="Tahoma" w:cs="Tahoma"/>
          <w:sz w:val="22"/>
          <w:szCs w:val="22"/>
        </w:rPr>
        <w:t>4</w:t>
      </w:r>
      <w:r w:rsidRPr="00FF1BC5">
        <w:rPr>
          <w:rFonts w:ascii="Tahoma" w:hAnsi="Tahoma" w:cs="Tahoma"/>
          <w:sz w:val="22"/>
          <w:szCs w:val="22"/>
        </w:rPr>
        <w:t>.  do 3</w:t>
      </w:r>
      <w:r w:rsidR="00295EAD" w:rsidRPr="00FF1BC5">
        <w:rPr>
          <w:rFonts w:ascii="Tahoma" w:hAnsi="Tahoma" w:cs="Tahoma"/>
          <w:sz w:val="22"/>
          <w:szCs w:val="22"/>
        </w:rPr>
        <w:t>0</w:t>
      </w:r>
      <w:r w:rsidRPr="00FF1BC5">
        <w:rPr>
          <w:rFonts w:ascii="Tahoma" w:hAnsi="Tahoma" w:cs="Tahoma"/>
          <w:sz w:val="22"/>
          <w:szCs w:val="22"/>
        </w:rPr>
        <w:t xml:space="preserve">. </w:t>
      </w:r>
      <w:r w:rsidR="00295EAD" w:rsidRPr="00FF1BC5">
        <w:rPr>
          <w:rFonts w:ascii="Tahoma" w:hAnsi="Tahoma" w:cs="Tahoma"/>
          <w:sz w:val="22"/>
          <w:szCs w:val="22"/>
        </w:rPr>
        <w:t>4</w:t>
      </w:r>
      <w:r w:rsidRPr="00FF1BC5">
        <w:rPr>
          <w:rFonts w:ascii="Tahoma" w:hAnsi="Tahoma" w:cs="Tahoma"/>
          <w:sz w:val="22"/>
          <w:szCs w:val="22"/>
        </w:rPr>
        <w:t>. 202</w:t>
      </w:r>
      <w:r w:rsidR="00295EAD" w:rsidRPr="00FF1BC5">
        <w:rPr>
          <w:rFonts w:ascii="Tahoma" w:hAnsi="Tahoma" w:cs="Tahoma"/>
          <w:sz w:val="22"/>
          <w:szCs w:val="22"/>
        </w:rPr>
        <w:t>7</w:t>
      </w:r>
      <w:r w:rsidR="007A5D0C">
        <w:rPr>
          <w:rFonts w:ascii="Tahoma" w:hAnsi="Tahoma" w:cs="Tahoma"/>
          <w:sz w:val="22"/>
          <w:szCs w:val="22"/>
        </w:rPr>
        <w:t>.</w:t>
      </w:r>
    </w:p>
    <w:p w14:paraId="10F85E68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234A7195" w14:textId="5C8A3B3B" w:rsidR="008850B8" w:rsidRPr="00FF1BC5" w:rsidRDefault="008850B8" w:rsidP="00FF1BC5">
      <w:pPr>
        <w:pStyle w:val="Odstavecseseznamem"/>
        <w:numPr>
          <w:ilvl w:val="0"/>
          <w:numId w:val="19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Smlouvu lze ukončit před uplynutím sjednané doby nájmu:</w:t>
      </w:r>
    </w:p>
    <w:p w14:paraId="79F424A3" w14:textId="2F831DAC" w:rsidR="008850B8" w:rsidRPr="00FF1BC5" w:rsidRDefault="008850B8" w:rsidP="00FF1BC5">
      <w:pPr>
        <w:pStyle w:val="Odstavecseseznamem"/>
        <w:numPr>
          <w:ilvl w:val="1"/>
          <w:numId w:val="19"/>
        </w:numPr>
        <w:ind w:left="587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dohodou stran,</w:t>
      </w:r>
    </w:p>
    <w:p w14:paraId="262E744E" w14:textId="54C034B9" w:rsidR="008850B8" w:rsidRPr="00FF1BC5" w:rsidRDefault="008850B8" w:rsidP="00FF1BC5">
      <w:pPr>
        <w:pStyle w:val="Odstavecseseznamem"/>
        <w:numPr>
          <w:ilvl w:val="1"/>
          <w:numId w:val="19"/>
        </w:numPr>
        <w:ind w:left="587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výpovědí v tříměsíční výpovědní lhůtě</w:t>
      </w:r>
      <w:r w:rsidR="00FF1BC5">
        <w:rPr>
          <w:rFonts w:ascii="Tahoma" w:hAnsi="Tahoma" w:cs="Tahoma"/>
          <w:sz w:val="22"/>
          <w:szCs w:val="22"/>
        </w:rPr>
        <w:t>;</w:t>
      </w:r>
      <w:r w:rsidRPr="00FF1BC5">
        <w:rPr>
          <w:rFonts w:ascii="Tahoma" w:hAnsi="Tahoma" w:cs="Tahoma"/>
          <w:sz w:val="22"/>
          <w:szCs w:val="22"/>
        </w:rPr>
        <w:t xml:space="preserve"> </w:t>
      </w:r>
      <w:r w:rsidR="00FF1BC5">
        <w:rPr>
          <w:rFonts w:ascii="Tahoma" w:hAnsi="Tahoma" w:cs="Tahoma"/>
          <w:sz w:val="22"/>
          <w:szCs w:val="22"/>
        </w:rPr>
        <w:t>v</w:t>
      </w:r>
      <w:r w:rsidRPr="00FF1BC5">
        <w:rPr>
          <w:rFonts w:ascii="Tahoma" w:hAnsi="Tahoma" w:cs="Tahoma"/>
          <w:sz w:val="22"/>
          <w:szCs w:val="22"/>
        </w:rPr>
        <w:t xml:space="preserve">ýpovědní lhůta běží od prvého dne měsíce následujícího po doručení výpovědi druhé straně, </w:t>
      </w:r>
    </w:p>
    <w:p w14:paraId="5F30AE2C" w14:textId="0AC5770C" w:rsidR="008850B8" w:rsidRPr="00FF1BC5" w:rsidRDefault="008850B8" w:rsidP="00FF1BC5">
      <w:pPr>
        <w:pStyle w:val="Odstavecseseznamem"/>
        <w:numPr>
          <w:ilvl w:val="1"/>
          <w:numId w:val="19"/>
        </w:numPr>
        <w:ind w:left="587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od smlouvy je možné odstoupit s okamžitou účinností pro podstatné porušení smluvních povinností druhé strany a z důvodů uvedených v § 27, odst. 2 zák. č.219/2000 Sb. O majetku ČR a jejím vystupování v právních vztazích.</w:t>
      </w:r>
    </w:p>
    <w:p w14:paraId="6996C604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58378734" w14:textId="62A5C032" w:rsidR="008850B8" w:rsidRPr="00FF1BC5" w:rsidRDefault="008850B8" w:rsidP="00FF1BC5">
      <w:pPr>
        <w:pStyle w:val="Odstavecseseznamem"/>
        <w:numPr>
          <w:ilvl w:val="0"/>
          <w:numId w:val="19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V případě, že nájemce při ukončení nájmu nevyklidí a nepředá pronajaté prostory poslední den nájemního vztahu a neučiní tak ani v dostatečné přiměřené náhradní lhůtě sedmi dnů od skončení nájmu, je pronajímatel oprávněn, a nájemce s tím výslovně souhlasí, vyklidit pronajaté nebytové prostory za účasti třetí osoby a uskladnit na náklady nájemce jeho věci na jiném místě.</w:t>
      </w:r>
    </w:p>
    <w:p w14:paraId="654ACA7A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01469C71" w14:textId="77777777" w:rsidR="008850B8" w:rsidRPr="00FF1BC5" w:rsidRDefault="008850B8" w:rsidP="008850B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E799AA4" w14:textId="06682B16" w:rsidR="008850B8" w:rsidRPr="00A13051" w:rsidRDefault="008850B8" w:rsidP="00A1305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A13051">
        <w:rPr>
          <w:rFonts w:ascii="Tahoma" w:hAnsi="Tahoma" w:cs="Tahoma"/>
          <w:b/>
          <w:bCs/>
          <w:sz w:val="22"/>
          <w:szCs w:val="22"/>
        </w:rPr>
        <w:t>Práva a povinnosti pronajímatele</w:t>
      </w:r>
    </w:p>
    <w:p w14:paraId="7A2E6598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60FC82D6" w14:textId="7A6D1949" w:rsidR="008850B8" w:rsidRPr="00FF1BC5" w:rsidRDefault="008850B8" w:rsidP="00FF1BC5">
      <w:pPr>
        <w:pStyle w:val="Odstavecseseznamem"/>
        <w:numPr>
          <w:ilvl w:val="0"/>
          <w:numId w:val="18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Pronajímatel již předmět nájmu předal nájemci ve stavu způsobilém ke sjednanému účelu nájmu.</w:t>
      </w:r>
    </w:p>
    <w:p w14:paraId="52342714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35CC1437" w14:textId="642291EC" w:rsidR="008850B8" w:rsidRPr="00FF1BC5" w:rsidRDefault="008850B8" w:rsidP="00FF1BC5">
      <w:pPr>
        <w:pStyle w:val="Odstavecseseznamem"/>
        <w:numPr>
          <w:ilvl w:val="0"/>
          <w:numId w:val="18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Pronajímatel je povinen zajistit řádný a nerušený výkon nájemních práv nájemce po celou dobu nájemního vztahu.</w:t>
      </w:r>
    </w:p>
    <w:p w14:paraId="713055AC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6653A390" w14:textId="7EAA19F7" w:rsidR="008850B8" w:rsidRPr="00FF1BC5" w:rsidRDefault="008850B8" w:rsidP="00FF1BC5">
      <w:pPr>
        <w:pStyle w:val="Odstavecseseznamem"/>
        <w:numPr>
          <w:ilvl w:val="0"/>
          <w:numId w:val="18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Pronajímatel je oprávněn vstoupit do předmětu nájmu jen za přítomnosti nájemce, případně jeho zástupce. Bez přítomnosti nájemce je oprávněn pronajímatel vstoupit do předmětu nájmu jenom v případě, pokud by to vyžadovaly okolnosti zvláštního zřetele, jako je havárie nebo jiná podobná skutečnost. O této skutečnosti však musí pronajímatel nájemce neprodleně uvědomit ihned po takovém vstupu do předmětu nájmu, jestliže nebylo možno nájemce informovat předem.</w:t>
      </w:r>
    </w:p>
    <w:p w14:paraId="239B1317" w14:textId="271912DF" w:rsidR="008850B8" w:rsidRPr="00A13051" w:rsidRDefault="008850B8" w:rsidP="00A1305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A13051">
        <w:rPr>
          <w:rFonts w:ascii="Tahoma" w:hAnsi="Tahoma" w:cs="Tahoma"/>
          <w:b/>
          <w:bCs/>
          <w:sz w:val="22"/>
          <w:szCs w:val="22"/>
        </w:rPr>
        <w:lastRenderedPageBreak/>
        <w:t>Práva a povinnosti nájemce</w:t>
      </w:r>
    </w:p>
    <w:p w14:paraId="0F381FF1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772E1812" w14:textId="34EE0E38" w:rsidR="008850B8" w:rsidRPr="00FF1BC5" w:rsidRDefault="008850B8" w:rsidP="00FF1BC5">
      <w:pPr>
        <w:pStyle w:val="Odstavecseseznamem"/>
        <w:numPr>
          <w:ilvl w:val="0"/>
          <w:numId w:val="17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 xml:space="preserve">Nájemce je oprávněn a povinen předmět nájmu užívat v souladu s jeho účelovým určením, je povinen předcházet škodám a dodržovat bezpečnostní a požární předpisy.  Nájemce má právo </w:t>
      </w:r>
      <w:proofErr w:type="gramStart"/>
      <w:r w:rsidRPr="00FF1BC5">
        <w:rPr>
          <w:rFonts w:ascii="Tahoma" w:hAnsi="Tahoma" w:cs="Tahoma"/>
          <w:sz w:val="22"/>
          <w:szCs w:val="22"/>
        </w:rPr>
        <w:t>na  řádný</w:t>
      </w:r>
      <w:proofErr w:type="gramEnd"/>
      <w:r w:rsidRPr="00FF1BC5">
        <w:rPr>
          <w:rFonts w:ascii="Tahoma" w:hAnsi="Tahoma" w:cs="Tahoma"/>
          <w:sz w:val="22"/>
          <w:szCs w:val="22"/>
        </w:rPr>
        <w:t xml:space="preserve"> a nerušený výkon nájemních práv. </w:t>
      </w:r>
    </w:p>
    <w:p w14:paraId="3E5E5B3B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44DEC777" w14:textId="186D9B18" w:rsidR="008850B8" w:rsidRPr="00FF1BC5" w:rsidRDefault="008850B8" w:rsidP="00FF1BC5">
      <w:pPr>
        <w:pStyle w:val="Odstavecseseznamem"/>
        <w:numPr>
          <w:ilvl w:val="0"/>
          <w:numId w:val="17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 xml:space="preserve">Nájemce je oprávněn umístit své označení na zdi areálu i na budově, ve které se nachází předmět nájmu (konkrétní umístění dohodne s pronajímatelem). </w:t>
      </w:r>
    </w:p>
    <w:p w14:paraId="319702B0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094EE758" w14:textId="169A15AC" w:rsidR="008850B8" w:rsidRPr="00FF1BC5" w:rsidRDefault="008850B8" w:rsidP="00FF1BC5">
      <w:pPr>
        <w:pStyle w:val="Odstavecseseznamem"/>
        <w:numPr>
          <w:ilvl w:val="0"/>
          <w:numId w:val="17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Nájemce není oprávněn v předmětu nájmu provádět bez předchozího písemného souhlasu pronajímatele žádné stavební úpravy (mimo běžnou údržbu).</w:t>
      </w:r>
    </w:p>
    <w:p w14:paraId="330DC06F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319C3545" w14:textId="6D76CA65" w:rsidR="008850B8" w:rsidRPr="00FF1BC5" w:rsidRDefault="008850B8" w:rsidP="00FF1BC5">
      <w:pPr>
        <w:pStyle w:val="Odstavecseseznamem"/>
        <w:numPr>
          <w:ilvl w:val="0"/>
          <w:numId w:val="17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 xml:space="preserve">Nájemce je povinen po předběžné dohodě umožnit pronajímateli do předmětu nájmu přístup za účelem kontroly stavu prostor, odstranění závad, provedení oprav či úprav, které má povinnost provádět </w:t>
      </w:r>
      <w:r w:rsidR="00FF1BC5" w:rsidRPr="00FF1BC5">
        <w:rPr>
          <w:rFonts w:ascii="Tahoma" w:hAnsi="Tahoma" w:cs="Tahoma"/>
          <w:sz w:val="22"/>
          <w:szCs w:val="22"/>
        </w:rPr>
        <w:t>pronajímatel</w:t>
      </w:r>
      <w:r w:rsidRPr="00FF1BC5">
        <w:rPr>
          <w:rFonts w:ascii="Tahoma" w:hAnsi="Tahoma" w:cs="Tahoma"/>
          <w:sz w:val="22"/>
          <w:szCs w:val="22"/>
        </w:rPr>
        <w:t xml:space="preserve"> (jedná se o opravy nikoli běžné, které souvisí s obvyklým užíváním předmětu nájmu). </w:t>
      </w:r>
    </w:p>
    <w:p w14:paraId="50B474D4" w14:textId="77777777" w:rsidR="008850B8" w:rsidRPr="008850B8" w:rsidRDefault="008850B8" w:rsidP="00FF1BC5">
      <w:pPr>
        <w:jc w:val="both"/>
        <w:rPr>
          <w:rFonts w:ascii="Tahoma" w:hAnsi="Tahoma" w:cs="Tahoma"/>
          <w:sz w:val="22"/>
          <w:szCs w:val="22"/>
        </w:rPr>
      </w:pPr>
    </w:p>
    <w:p w14:paraId="35F2BDE9" w14:textId="26C6FFAF" w:rsidR="008850B8" w:rsidRDefault="008850B8" w:rsidP="00B15498">
      <w:pPr>
        <w:pStyle w:val="Odstavecseseznamem"/>
        <w:numPr>
          <w:ilvl w:val="0"/>
          <w:numId w:val="17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FF1BC5">
        <w:rPr>
          <w:rFonts w:ascii="Tahoma" w:hAnsi="Tahoma" w:cs="Tahoma"/>
          <w:sz w:val="22"/>
          <w:szCs w:val="22"/>
        </w:rPr>
        <w:t>Nájemce bez souhlasu pronajímatele nesmí dát předmět nájmu do podnájmu nebo k bezplatnému užívání třetí osobě</w:t>
      </w:r>
      <w:r w:rsidR="00B15498">
        <w:rPr>
          <w:rFonts w:ascii="Tahoma" w:hAnsi="Tahoma" w:cs="Tahoma"/>
          <w:sz w:val="22"/>
          <w:szCs w:val="22"/>
        </w:rPr>
        <w:t>.</w:t>
      </w:r>
    </w:p>
    <w:p w14:paraId="3C6C65C4" w14:textId="77777777" w:rsidR="008850B8" w:rsidRPr="00295EAD" w:rsidRDefault="008850B8" w:rsidP="008850B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0FA7480" w14:textId="2678ADC9" w:rsidR="008850B8" w:rsidRPr="00A13051" w:rsidRDefault="008850B8" w:rsidP="00A13051">
      <w:pPr>
        <w:pStyle w:val="Odstavecseseznamem"/>
        <w:numPr>
          <w:ilvl w:val="0"/>
          <w:numId w:val="21"/>
        </w:numPr>
        <w:jc w:val="center"/>
        <w:rPr>
          <w:rFonts w:ascii="Tahoma" w:hAnsi="Tahoma" w:cs="Tahoma"/>
          <w:b/>
          <w:bCs/>
          <w:sz w:val="22"/>
          <w:szCs w:val="22"/>
        </w:rPr>
      </w:pPr>
      <w:r w:rsidRPr="00A13051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7353FA22" w14:textId="77777777" w:rsidR="008850B8" w:rsidRPr="008850B8" w:rsidRDefault="008850B8" w:rsidP="008850B8">
      <w:pPr>
        <w:rPr>
          <w:rFonts w:ascii="Tahoma" w:hAnsi="Tahoma" w:cs="Tahoma"/>
          <w:sz w:val="22"/>
          <w:szCs w:val="22"/>
        </w:rPr>
      </w:pPr>
    </w:p>
    <w:p w14:paraId="77AFEDEC" w14:textId="013F76BD" w:rsidR="008850B8" w:rsidRPr="00295EAD" w:rsidRDefault="008850B8" w:rsidP="00295EAD">
      <w:pPr>
        <w:pStyle w:val="Odstavecseseznamem"/>
        <w:numPr>
          <w:ilvl w:val="0"/>
          <w:numId w:val="16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Pro případ doručování veškerých písemností vyplývajících z této smlouvy, si smluvní strany sjednávají právní fikci, že písemnost je druhé straně doručena i tehdy, pokud je zaslána na adresu jejich sídla, uvedenou v záhlaví smlouvy a písemnost je z důvodu nepřevzetí uložena na poště. Pak se, v případě, že si adresát poštovní zásilku nepřevzal, za den doručení považuje třetí den, který následuje po předání dopisu k poštovní přepravě. Tento den je dnem </w:t>
      </w:r>
      <w:proofErr w:type="gramStart"/>
      <w:r w:rsidRPr="00295EAD">
        <w:rPr>
          <w:rFonts w:ascii="Tahoma" w:hAnsi="Tahoma" w:cs="Tahoma"/>
          <w:sz w:val="22"/>
          <w:szCs w:val="22"/>
        </w:rPr>
        <w:t>doručení  i</w:t>
      </w:r>
      <w:proofErr w:type="gramEnd"/>
      <w:r w:rsidRPr="00295EAD">
        <w:rPr>
          <w:rFonts w:ascii="Tahoma" w:hAnsi="Tahoma" w:cs="Tahoma"/>
          <w:sz w:val="22"/>
          <w:szCs w:val="22"/>
        </w:rPr>
        <w:t xml:space="preserve"> v případě, že se zásilka  vrátí odesílateli jako nedoručená.</w:t>
      </w:r>
      <w:r w:rsidR="00295EAD">
        <w:rPr>
          <w:rFonts w:ascii="Tahoma" w:hAnsi="Tahoma" w:cs="Tahoma"/>
          <w:sz w:val="22"/>
          <w:szCs w:val="22"/>
        </w:rPr>
        <w:t xml:space="preserve"> Smluvní strany prohlašují, že preferují doručování do datové schránky.</w:t>
      </w:r>
    </w:p>
    <w:p w14:paraId="33477570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57712985" w14:textId="09E27532" w:rsidR="008850B8" w:rsidRPr="00295EAD" w:rsidRDefault="008850B8" w:rsidP="00295EAD">
      <w:pPr>
        <w:pStyle w:val="Odstavecseseznamem"/>
        <w:numPr>
          <w:ilvl w:val="0"/>
          <w:numId w:val="16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Účastníci této smlouvy se zavazují případné spory řešit přednostně smírnou cestou, nebude-li takové řešení možné a smíru nebude dosaženo, bude věc předložena k rozhodnutí příslušnému soudu České republiky.  </w:t>
      </w:r>
    </w:p>
    <w:p w14:paraId="2B52B95F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1F9E3420" w14:textId="1CD7E911" w:rsidR="008850B8" w:rsidRPr="00295EAD" w:rsidRDefault="008850B8" w:rsidP="00295EAD">
      <w:pPr>
        <w:pStyle w:val="Odstavecseseznamem"/>
        <w:numPr>
          <w:ilvl w:val="0"/>
          <w:numId w:val="16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>Tato smlouva nabývá platnosti a účinnosti dnem podpisu této smlouvy</w:t>
      </w:r>
      <w:r w:rsidR="00295EAD">
        <w:rPr>
          <w:rFonts w:ascii="Tahoma" w:hAnsi="Tahoma" w:cs="Tahoma"/>
          <w:sz w:val="22"/>
          <w:szCs w:val="22"/>
        </w:rPr>
        <w:t xml:space="preserve"> a současně ukončuje dohodou smluvních stran nájemní smlouvu uzavřenou smluvními stranami dne 4.1.2021</w:t>
      </w:r>
      <w:r w:rsidR="00FF1BC5">
        <w:rPr>
          <w:rFonts w:ascii="Tahoma" w:hAnsi="Tahoma" w:cs="Tahoma"/>
          <w:sz w:val="22"/>
          <w:szCs w:val="22"/>
        </w:rPr>
        <w:t>.</w:t>
      </w:r>
    </w:p>
    <w:p w14:paraId="13427576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77A0EE6E" w14:textId="0C237C3B" w:rsidR="008850B8" w:rsidRPr="00295EAD" w:rsidRDefault="008850B8" w:rsidP="00295EAD">
      <w:pPr>
        <w:pStyle w:val="Odstavecseseznamem"/>
        <w:numPr>
          <w:ilvl w:val="0"/>
          <w:numId w:val="16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Jakékoli změny této smlouvy je možno činit pouze formou číslovaných písemných dodatků. Smlouva je vyhotovena ve 2 vyhotoveních. Každý z účastníků obdrží po jednom vyhotovení této smlouvy. </w:t>
      </w:r>
    </w:p>
    <w:p w14:paraId="73E7E57F" w14:textId="77777777" w:rsidR="008850B8" w:rsidRPr="008850B8" w:rsidRDefault="008850B8" w:rsidP="00295EAD">
      <w:pPr>
        <w:jc w:val="both"/>
        <w:rPr>
          <w:rFonts w:ascii="Tahoma" w:hAnsi="Tahoma" w:cs="Tahoma"/>
          <w:sz w:val="22"/>
          <w:szCs w:val="22"/>
        </w:rPr>
      </w:pPr>
    </w:p>
    <w:p w14:paraId="1844F37A" w14:textId="7487365C" w:rsidR="008850B8" w:rsidRPr="00295EAD" w:rsidRDefault="008850B8" w:rsidP="00295EAD">
      <w:pPr>
        <w:pStyle w:val="Odstavecseseznamem"/>
        <w:numPr>
          <w:ilvl w:val="0"/>
          <w:numId w:val="16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295EAD">
        <w:rPr>
          <w:rFonts w:ascii="Tahoma" w:hAnsi="Tahoma" w:cs="Tahoma"/>
          <w:sz w:val="22"/>
          <w:szCs w:val="22"/>
        </w:rPr>
        <w:t xml:space="preserve">Účastníci si tuto smlouvu přečetli a prohlašují, že s jejím obsahem, kterému porozuměli a který vyjadřuje jejich svobodnou a vážnou vůli, souhlasí, což stvrzují svými podpisy.            </w:t>
      </w:r>
    </w:p>
    <w:p w14:paraId="319155DC" w14:textId="77777777" w:rsidR="00765E75" w:rsidRPr="00CC11A9" w:rsidRDefault="00765E75" w:rsidP="00765E75">
      <w:pPr>
        <w:rPr>
          <w:rFonts w:ascii="Tahoma" w:hAnsi="Tahoma" w:cs="Tahoma"/>
          <w:sz w:val="22"/>
          <w:szCs w:val="22"/>
        </w:rPr>
      </w:pPr>
    </w:p>
    <w:p w14:paraId="2F97A43A" w14:textId="1FD80A7C" w:rsidR="00765E75" w:rsidRPr="00CC11A9" w:rsidRDefault="00765E75" w:rsidP="00765E75">
      <w:pPr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V Brně </w:t>
      </w:r>
      <w:r w:rsidRPr="00F557F8">
        <w:rPr>
          <w:rFonts w:ascii="Tahoma" w:hAnsi="Tahoma" w:cs="Tahoma"/>
          <w:sz w:val="22"/>
          <w:szCs w:val="22"/>
        </w:rPr>
        <w:t>dne</w:t>
      </w:r>
      <w:r w:rsidR="00A13051">
        <w:rPr>
          <w:rFonts w:ascii="Tahoma" w:hAnsi="Tahoma" w:cs="Tahoma"/>
          <w:sz w:val="22"/>
          <w:szCs w:val="22"/>
        </w:rPr>
        <w:t>m el. podpisu</w:t>
      </w:r>
    </w:p>
    <w:p w14:paraId="30F2DE4D" w14:textId="77777777" w:rsidR="007B685A" w:rsidRDefault="007B685A" w:rsidP="00765E75">
      <w:pPr>
        <w:rPr>
          <w:rFonts w:ascii="Tahoma" w:hAnsi="Tahoma" w:cs="Tahoma"/>
          <w:sz w:val="22"/>
          <w:szCs w:val="22"/>
        </w:rPr>
      </w:pPr>
    </w:p>
    <w:p w14:paraId="500AA031" w14:textId="720A0A2B" w:rsidR="00765E75" w:rsidRPr="00CC11A9" w:rsidRDefault="00C41BC7" w:rsidP="00765E7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proofErr w:type="gramStart"/>
      <w:r w:rsidR="00FF1BC5">
        <w:rPr>
          <w:rFonts w:ascii="Tahoma" w:hAnsi="Tahoma" w:cs="Tahoma"/>
          <w:sz w:val="22"/>
          <w:szCs w:val="22"/>
        </w:rPr>
        <w:t>PRONAJÍMATELE</w:t>
      </w:r>
      <w:r w:rsidR="006B2607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                     </w:t>
      </w:r>
      <w:r w:rsidR="00FF1BC5">
        <w:rPr>
          <w:rFonts w:ascii="Tahoma" w:hAnsi="Tahoma" w:cs="Tahoma"/>
          <w:sz w:val="22"/>
          <w:szCs w:val="22"/>
        </w:rPr>
        <w:t>ZA NÁJEMCE</w:t>
      </w:r>
      <w:r w:rsidR="006B2607">
        <w:rPr>
          <w:rFonts w:ascii="Tahoma" w:hAnsi="Tahoma" w:cs="Tahoma"/>
          <w:sz w:val="22"/>
          <w:szCs w:val="22"/>
        </w:rPr>
        <w:t>:</w:t>
      </w:r>
    </w:p>
    <w:p w14:paraId="122A907F" w14:textId="66928C55" w:rsidR="00C41BC7" w:rsidRDefault="00C41BC7" w:rsidP="00765E75">
      <w:pPr>
        <w:rPr>
          <w:rFonts w:ascii="Tahoma" w:hAnsi="Tahoma" w:cs="Tahoma"/>
          <w:sz w:val="22"/>
          <w:szCs w:val="22"/>
        </w:rPr>
      </w:pPr>
    </w:p>
    <w:p w14:paraId="3A8EB6B2" w14:textId="77777777" w:rsidR="00A13051" w:rsidRDefault="00A13051" w:rsidP="00765E75">
      <w:pPr>
        <w:rPr>
          <w:rFonts w:ascii="Tahoma" w:hAnsi="Tahoma" w:cs="Tahoma"/>
          <w:sz w:val="22"/>
          <w:szCs w:val="22"/>
        </w:rPr>
      </w:pPr>
    </w:p>
    <w:p w14:paraId="7439C4A0" w14:textId="4D3A7DBC" w:rsidR="00EB07EE" w:rsidRDefault="00765E75">
      <w:pPr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……………………………                                              </w:t>
      </w:r>
      <w:r w:rsidR="00C41BC7">
        <w:rPr>
          <w:rFonts w:ascii="Tahoma" w:hAnsi="Tahoma" w:cs="Tahoma"/>
          <w:sz w:val="22"/>
          <w:szCs w:val="22"/>
        </w:rPr>
        <w:t xml:space="preserve"> </w:t>
      </w:r>
      <w:r w:rsidR="00CA581E">
        <w:rPr>
          <w:rFonts w:ascii="Tahoma" w:hAnsi="Tahoma" w:cs="Tahoma"/>
          <w:sz w:val="22"/>
          <w:szCs w:val="22"/>
        </w:rPr>
        <w:t xml:space="preserve">   </w:t>
      </w:r>
      <w:r w:rsidR="00C41BC7">
        <w:rPr>
          <w:rFonts w:ascii="Tahoma" w:hAnsi="Tahoma" w:cs="Tahoma"/>
          <w:sz w:val="22"/>
          <w:szCs w:val="22"/>
        </w:rPr>
        <w:t xml:space="preserve"> </w:t>
      </w:r>
      <w:r w:rsidRPr="00CC11A9">
        <w:rPr>
          <w:rFonts w:ascii="Tahoma" w:hAnsi="Tahoma" w:cs="Tahoma"/>
          <w:sz w:val="22"/>
          <w:szCs w:val="22"/>
        </w:rPr>
        <w:t>……………………………</w:t>
      </w:r>
    </w:p>
    <w:sectPr w:rsidR="00EB07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1E7D" w14:textId="77777777" w:rsidR="00EA242A" w:rsidRDefault="00EA242A" w:rsidP="00A65A01">
      <w:r>
        <w:separator/>
      </w:r>
    </w:p>
  </w:endnote>
  <w:endnote w:type="continuationSeparator" w:id="0">
    <w:p w14:paraId="0DEA69C6" w14:textId="77777777" w:rsidR="00EA242A" w:rsidRDefault="00EA242A" w:rsidP="00A6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23607"/>
      <w:docPartObj>
        <w:docPartGallery w:val="Page Numbers (Bottom of Page)"/>
        <w:docPartUnique/>
      </w:docPartObj>
    </w:sdtPr>
    <w:sdtEndPr/>
    <w:sdtContent>
      <w:p w14:paraId="115C520B" w14:textId="0B660A0B" w:rsidR="00A65A01" w:rsidRDefault="00A65A0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67454" w14:textId="77777777" w:rsidR="00A65A01" w:rsidRDefault="00A65A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7D9F" w14:textId="77777777" w:rsidR="00EA242A" w:rsidRDefault="00EA242A" w:rsidP="00A65A01">
      <w:r>
        <w:separator/>
      </w:r>
    </w:p>
  </w:footnote>
  <w:footnote w:type="continuationSeparator" w:id="0">
    <w:p w14:paraId="142EF410" w14:textId="77777777" w:rsidR="00EA242A" w:rsidRDefault="00EA242A" w:rsidP="00A6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B9"/>
    <w:multiLevelType w:val="hybridMultilevel"/>
    <w:tmpl w:val="A41C30E8"/>
    <w:lvl w:ilvl="0" w:tplc="FDB82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053"/>
    <w:multiLevelType w:val="hybridMultilevel"/>
    <w:tmpl w:val="C41AC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269"/>
    <w:multiLevelType w:val="hybridMultilevel"/>
    <w:tmpl w:val="94D08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647"/>
    <w:multiLevelType w:val="hybridMultilevel"/>
    <w:tmpl w:val="0EE81CD2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2B47"/>
    <w:multiLevelType w:val="hybridMultilevel"/>
    <w:tmpl w:val="05CE08A8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2673"/>
    <w:multiLevelType w:val="hybridMultilevel"/>
    <w:tmpl w:val="6066BAE4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76C88"/>
    <w:multiLevelType w:val="hybridMultilevel"/>
    <w:tmpl w:val="67BC29EC"/>
    <w:lvl w:ilvl="0" w:tplc="A6626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711B7"/>
    <w:multiLevelType w:val="hybridMultilevel"/>
    <w:tmpl w:val="A254EDE4"/>
    <w:lvl w:ilvl="0" w:tplc="0405000F">
      <w:start w:val="1"/>
      <w:numFmt w:val="decimal"/>
      <w:lvlText w:val="%1."/>
      <w:lvlJc w:val="left"/>
      <w:pPr>
        <w:ind w:left="550" w:hanging="360"/>
      </w:pPr>
    </w:lvl>
    <w:lvl w:ilvl="1" w:tplc="04050019" w:tentative="1">
      <w:start w:val="1"/>
      <w:numFmt w:val="lowerLetter"/>
      <w:lvlText w:val="%2."/>
      <w:lvlJc w:val="left"/>
      <w:pPr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 w15:restartNumberingAfterBreak="0">
    <w:nsid w:val="25F866BF"/>
    <w:multiLevelType w:val="hybridMultilevel"/>
    <w:tmpl w:val="5E4CDDAE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E6031"/>
    <w:multiLevelType w:val="hybridMultilevel"/>
    <w:tmpl w:val="F3221E90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2D7E"/>
    <w:multiLevelType w:val="hybridMultilevel"/>
    <w:tmpl w:val="DDCA4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7DD6"/>
    <w:multiLevelType w:val="hybridMultilevel"/>
    <w:tmpl w:val="ABA8D246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54892"/>
    <w:multiLevelType w:val="hybridMultilevel"/>
    <w:tmpl w:val="3FFC04CE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D49AB"/>
    <w:multiLevelType w:val="hybridMultilevel"/>
    <w:tmpl w:val="97287EDC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2490E"/>
    <w:multiLevelType w:val="hybridMultilevel"/>
    <w:tmpl w:val="A18E62F4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5D71"/>
    <w:multiLevelType w:val="hybridMultilevel"/>
    <w:tmpl w:val="1308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102E"/>
    <w:multiLevelType w:val="hybridMultilevel"/>
    <w:tmpl w:val="E26E1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D5A85"/>
    <w:multiLevelType w:val="hybridMultilevel"/>
    <w:tmpl w:val="8E980640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21B65"/>
    <w:multiLevelType w:val="hybridMultilevel"/>
    <w:tmpl w:val="B7DE48C0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4A6475FA">
      <w:start w:val="2"/>
      <w:numFmt w:val="bullet"/>
      <w:lvlText w:val="•"/>
      <w:lvlJc w:val="left"/>
      <w:pPr>
        <w:ind w:left="1788" w:hanging="708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D0385"/>
    <w:multiLevelType w:val="hybridMultilevel"/>
    <w:tmpl w:val="49E09200"/>
    <w:lvl w:ilvl="0" w:tplc="715C42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7E3C"/>
    <w:multiLevelType w:val="hybridMultilevel"/>
    <w:tmpl w:val="2BEE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19"/>
  </w:num>
  <w:num w:numId="5">
    <w:abstractNumId w:val="5"/>
  </w:num>
  <w:num w:numId="6">
    <w:abstractNumId w:val="3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14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7"/>
  </w:num>
  <w:num w:numId="17">
    <w:abstractNumId w:val="1"/>
  </w:num>
  <w:num w:numId="18">
    <w:abstractNumId w:val="10"/>
  </w:num>
  <w:num w:numId="19">
    <w:abstractNumId w:val="15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EE"/>
    <w:rsid w:val="000648A9"/>
    <w:rsid w:val="000E4DEB"/>
    <w:rsid w:val="0017615A"/>
    <w:rsid w:val="0020132D"/>
    <w:rsid w:val="0029155B"/>
    <w:rsid w:val="00295EAD"/>
    <w:rsid w:val="005674FC"/>
    <w:rsid w:val="00585682"/>
    <w:rsid w:val="006502DE"/>
    <w:rsid w:val="006B2607"/>
    <w:rsid w:val="00727DBC"/>
    <w:rsid w:val="007424B6"/>
    <w:rsid w:val="00765E75"/>
    <w:rsid w:val="007A5D0C"/>
    <w:rsid w:val="007A7252"/>
    <w:rsid w:val="007B685A"/>
    <w:rsid w:val="00847876"/>
    <w:rsid w:val="008850B8"/>
    <w:rsid w:val="00A13051"/>
    <w:rsid w:val="00A65A01"/>
    <w:rsid w:val="00AD2BEC"/>
    <w:rsid w:val="00B15498"/>
    <w:rsid w:val="00BE2CD7"/>
    <w:rsid w:val="00C05261"/>
    <w:rsid w:val="00C1152D"/>
    <w:rsid w:val="00C35AD5"/>
    <w:rsid w:val="00C41BC7"/>
    <w:rsid w:val="00CA581E"/>
    <w:rsid w:val="00CA6DB8"/>
    <w:rsid w:val="00CB1E80"/>
    <w:rsid w:val="00D81C67"/>
    <w:rsid w:val="00D84C14"/>
    <w:rsid w:val="00E357B7"/>
    <w:rsid w:val="00EA242A"/>
    <w:rsid w:val="00EB07EE"/>
    <w:rsid w:val="00FE5E67"/>
    <w:rsid w:val="00FF1BC5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0A7A"/>
  <w15:chartTrackingRefBased/>
  <w15:docId w15:val="{02C828DD-B6ED-4227-9EAD-BC2B3B46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8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5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A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A0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Josef Kříž - CSS Chrlice</cp:lastModifiedBy>
  <cp:revision>2</cp:revision>
  <cp:lastPrinted>2024-04-29T11:14:00Z</cp:lastPrinted>
  <dcterms:created xsi:type="dcterms:W3CDTF">2024-05-10T13:58:00Z</dcterms:created>
  <dcterms:modified xsi:type="dcterms:W3CDTF">2024-05-10T13:58:00Z</dcterms:modified>
</cp:coreProperties>
</file>