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67C18E45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7D64F3" w:rsidRPr="00AD60F2">
        <w:rPr>
          <w:rFonts w:ascii="Arial" w:hAnsi="Arial"/>
          <w:spacing w:val="0"/>
          <w:kern w:val="0"/>
          <w:sz w:val="24"/>
          <w:szCs w:val="24"/>
        </w:rPr>
        <w:t>1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1E751C7" w14:textId="48CB7D12" w:rsidR="00C0163F" w:rsidRDefault="00C0163F" w:rsidP="00C0163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1239031B" w14:textId="77777777" w:rsidR="00C0163F" w:rsidRPr="00022068" w:rsidRDefault="00C0163F" w:rsidP="00C0163F">
      <w:pPr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3038E50C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1B7C6B8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24F2DA6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42972AF9" w14:textId="670D0A37" w:rsidR="00C0163F" w:rsidRDefault="00C0163F" w:rsidP="00C0163F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791F14" w:rsidRPr="00791F1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C585AFD" w14:textId="1ACEEAB1" w:rsidR="00C0163F" w:rsidRDefault="00C0163F" w:rsidP="00C0163F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791F14" w:rsidRPr="00791F1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4A76F28" w14:textId="77777777" w:rsidR="00C0163F" w:rsidRPr="00022068" w:rsidRDefault="00C0163F" w:rsidP="00C0163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466023CD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714A5A3E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4C74F682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3E21A7FA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C35F7FD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D777A68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5B9FA4EC" w14:textId="2FEA1509" w:rsidR="00C0163F" w:rsidRDefault="00C0163F" w:rsidP="00C0163F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791F14" w:rsidRPr="00791F1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686D3F8" w14:textId="77777777" w:rsidR="00C0163F" w:rsidRPr="00022068" w:rsidRDefault="00C0163F" w:rsidP="00C0163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4D7E8997" w14:textId="77777777" w:rsidR="00C0163F" w:rsidRPr="00022068" w:rsidRDefault="00C0163F" w:rsidP="00C0163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F480DCF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75188F">
        <w:rPr>
          <w:rFonts w:ascii="Arial" w:hAnsi="Arial" w:cs="Arial"/>
          <w:sz w:val="20"/>
          <w:szCs w:val="20"/>
        </w:rPr>
        <w:t>3 Rámcové dohody</w:t>
      </w:r>
      <w:r w:rsidRPr="00407C33">
        <w:rPr>
          <w:rFonts w:ascii="Arial" w:hAnsi="Arial" w:cs="Arial"/>
          <w:sz w:val="20"/>
          <w:szCs w:val="20"/>
        </w:rPr>
        <w:t xml:space="preserve">, a to za podmínek stanovených v této Dílčí smlouvě a v Rámcové dohodě. </w:t>
      </w:r>
    </w:p>
    <w:p w14:paraId="56E8548B" w14:textId="30A9D009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75188F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6F87253A" w14:textId="60B38916" w:rsidR="00E470A8" w:rsidRDefault="00F06FC1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>
        <w:rPr>
          <w:rFonts w:ascii="Arial" w:hAnsi="Arial" w:cs="Arial"/>
          <w:sz w:val="20"/>
          <w:szCs w:val="20"/>
        </w:rPr>
        <w:t xml:space="preserve">spočívající v zajištění </w:t>
      </w:r>
      <w:r w:rsidR="00511241" w:rsidRPr="00511241">
        <w:rPr>
          <w:rFonts w:ascii="Arial" w:hAnsi="Arial" w:cs="Arial"/>
          <w:sz w:val="20"/>
          <w:szCs w:val="20"/>
        </w:rPr>
        <w:t>kapacit IT odborníků pro realizaci implementačních služeb spočívajících ve vývoji procesních systémů pro Ú</w:t>
      </w:r>
      <w:r w:rsidR="00511241">
        <w:rPr>
          <w:rFonts w:ascii="Arial" w:hAnsi="Arial" w:cs="Arial"/>
          <w:sz w:val="20"/>
          <w:szCs w:val="20"/>
        </w:rPr>
        <w:t>řady práce</w:t>
      </w:r>
      <w:r w:rsidR="00511241" w:rsidRPr="00511241">
        <w:rPr>
          <w:rFonts w:ascii="Arial" w:hAnsi="Arial" w:cs="Arial"/>
          <w:sz w:val="20"/>
          <w:szCs w:val="20"/>
        </w:rPr>
        <w:t xml:space="preserve"> a jednotného rozhraní pro přidělování úkolů tzv. Jednotná </w:t>
      </w:r>
      <w:r w:rsidR="00CE29AB">
        <w:rPr>
          <w:rFonts w:ascii="Arial" w:hAnsi="Arial" w:cs="Arial"/>
          <w:sz w:val="20"/>
          <w:szCs w:val="20"/>
        </w:rPr>
        <w:t>Fronta</w:t>
      </w:r>
      <w:r w:rsidR="00511241" w:rsidRPr="00511241">
        <w:rPr>
          <w:rFonts w:ascii="Arial" w:hAnsi="Arial" w:cs="Arial"/>
          <w:sz w:val="20"/>
          <w:szCs w:val="20"/>
        </w:rPr>
        <w:t xml:space="preserve">. Jednotná </w:t>
      </w:r>
      <w:r w:rsidR="00CE29AB">
        <w:rPr>
          <w:rFonts w:ascii="Arial" w:hAnsi="Arial" w:cs="Arial"/>
          <w:sz w:val="20"/>
          <w:szCs w:val="20"/>
        </w:rPr>
        <w:t>Fronta</w:t>
      </w:r>
      <w:r w:rsidR="00511241" w:rsidRPr="00511241">
        <w:rPr>
          <w:rFonts w:ascii="Arial" w:hAnsi="Arial" w:cs="Arial"/>
          <w:sz w:val="20"/>
          <w:szCs w:val="20"/>
        </w:rPr>
        <w:t xml:space="preserve"> </w:t>
      </w:r>
      <w:r w:rsidR="00E470A8">
        <w:rPr>
          <w:rFonts w:ascii="Arial" w:hAnsi="Arial" w:cs="Arial"/>
          <w:sz w:val="20"/>
          <w:szCs w:val="20"/>
        </w:rPr>
        <w:t xml:space="preserve">je vymezena </w:t>
      </w:r>
      <w:r w:rsidR="00CE29AB">
        <w:rPr>
          <w:rFonts w:ascii="Arial" w:hAnsi="Arial" w:cs="Arial"/>
          <w:sz w:val="20"/>
          <w:szCs w:val="20"/>
        </w:rPr>
        <w:t>v Příloze č. 1 této Dílčí smlouvy.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6BB5027B" w:rsidR="00E470A8" w:rsidRDefault="00E470A8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Architekt Senior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220 MD.</w:t>
      </w:r>
    </w:p>
    <w:p w14:paraId="5B9E543D" w14:textId="2ABB3A36" w:rsidR="00E470A8" w:rsidRDefault="00E470A8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Analytik Senior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220 MD.</w:t>
      </w:r>
    </w:p>
    <w:p w14:paraId="2FB6CD66" w14:textId="5BF3AA34" w:rsidR="00E470A8" w:rsidRDefault="00E470A8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Analytik Junior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440 MD.</w:t>
      </w:r>
    </w:p>
    <w:p w14:paraId="6F9A6EE6" w14:textId="64D08C7A" w:rsidR="00E470A8" w:rsidRDefault="00E470A8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Integrační architekt Senior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440 MD.</w:t>
      </w:r>
    </w:p>
    <w:p w14:paraId="51DCD892" w14:textId="0EEDE234" w:rsidR="00E470A8" w:rsidRDefault="00E470A8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Frontend</w:t>
      </w:r>
      <w:proofErr w:type="spellEnd"/>
      <w:r>
        <w:rPr>
          <w:rFonts w:ascii="Arial" w:hAnsi="Arial" w:cs="Arial"/>
          <w:sz w:val="20"/>
          <w:szCs w:val="20"/>
        </w:rPr>
        <w:t xml:space="preserve"> Developer Senior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440 MD.</w:t>
      </w:r>
    </w:p>
    <w:p w14:paraId="2F7EB9D1" w14:textId="5354299F" w:rsidR="00E470A8" w:rsidRDefault="00E470A8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Frontend</w:t>
      </w:r>
      <w:proofErr w:type="spellEnd"/>
      <w:r>
        <w:rPr>
          <w:rFonts w:ascii="Arial" w:hAnsi="Arial" w:cs="Arial"/>
          <w:sz w:val="20"/>
          <w:szCs w:val="20"/>
        </w:rPr>
        <w:t xml:space="preserve"> Developer Junior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660 MD.</w:t>
      </w:r>
    </w:p>
    <w:p w14:paraId="59ABC8D9" w14:textId="0F8D8365" w:rsidR="00E470A8" w:rsidRDefault="00E470A8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Backend</w:t>
      </w:r>
      <w:proofErr w:type="spellEnd"/>
      <w:r>
        <w:rPr>
          <w:rFonts w:ascii="Arial" w:hAnsi="Arial" w:cs="Arial"/>
          <w:sz w:val="20"/>
          <w:szCs w:val="20"/>
        </w:rPr>
        <w:t xml:space="preserve"> Developer (JAVA) Senior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440 MD.</w:t>
      </w:r>
    </w:p>
    <w:p w14:paraId="4FB0C296" w14:textId="65F640D0" w:rsidR="00E470A8" w:rsidRPr="00E470A8" w:rsidRDefault="00E470A8">
      <w:pPr>
        <w:pStyle w:val="RLTextlnkuslovan"/>
        <w:numPr>
          <w:ilvl w:val="1"/>
          <w:numId w:val="55"/>
        </w:numPr>
        <w:tabs>
          <w:tab w:val="num" w:pos="567"/>
        </w:tabs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Backend</w:t>
      </w:r>
      <w:proofErr w:type="spellEnd"/>
      <w:r>
        <w:rPr>
          <w:rFonts w:ascii="Arial" w:hAnsi="Arial" w:cs="Arial"/>
          <w:sz w:val="20"/>
          <w:szCs w:val="20"/>
        </w:rPr>
        <w:t xml:space="preserve"> Developer (JAVA) Junior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660 MD.</w:t>
      </w:r>
    </w:p>
    <w:p w14:paraId="3E095E89" w14:textId="688D0D42" w:rsidR="00E470A8" w:rsidRPr="00E470A8" w:rsidRDefault="00E470A8">
      <w:pPr>
        <w:pStyle w:val="RLTextlnkuslovan"/>
        <w:numPr>
          <w:ilvl w:val="1"/>
          <w:numId w:val="55"/>
        </w:numPr>
        <w:tabs>
          <w:tab w:val="num" w:pos="567"/>
        </w:tabs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Backend</w:t>
      </w:r>
      <w:proofErr w:type="spellEnd"/>
      <w:r>
        <w:rPr>
          <w:rFonts w:ascii="Arial" w:hAnsi="Arial" w:cs="Arial"/>
          <w:sz w:val="20"/>
          <w:szCs w:val="20"/>
        </w:rPr>
        <w:t xml:space="preserve"> Developer (.Net) Senior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220 MD.</w:t>
      </w:r>
    </w:p>
    <w:p w14:paraId="452462C0" w14:textId="62817969" w:rsidR="00E470A8" w:rsidRPr="00E470A8" w:rsidRDefault="00E470A8">
      <w:pPr>
        <w:pStyle w:val="RLTextlnkuslovan"/>
        <w:numPr>
          <w:ilvl w:val="1"/>
          <w:numId w:val="55"/>
        </w:numPr>
        <w:tabs>
          <w:tab w:val="num" w:pos="567"/>
        </w:tabs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Backend</w:t>
      </w:r>
      <w:proofErr w:type="spellEnd"/>
      <w:r>
        <w:rPr>
          <w:rFonts w:ascii="Arial" w:hAnsi="Arial" w:cs="Arial"/>
          <w:sz w:val="20"/>
          <w:szCs w:val="20"/>
        </w:rPr>
        <w:t xml:space="preserve"> Developer (.Net) Junior</w:t>
      </w:r>
      <w:r w:rsidR="00793B3D">
        <w:rPr>
          <w:rFonts w:ascii="Arial" w:hAnsi="Arial" w:cs="Arial"/>
          <w:sz w:val="20"/>
          <w:szCs w:val="20"/>
        </w:rPr>
        <w:t xml:space="preserve"> – předpokládaný rozsah je 220 MD.</w:t>
      </w:r>
    </w:p>
    <w:p w14:paraId="0ED65613" w14:textId="719B978D" w:rsidR="00E470A8" w:rsidRDefault="00E470A8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Databázový Developer Senior I.</w:t>
      </w:r>
      <w:r w:rsidR="00793B3D" w:rsidRPr="00793B3D"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>– předpokládaný rozsah je 110 MD.</w:t>
      </w:r>
    </w:p>
    <w:p w14:paraId="46DC6E54" w14:textId="6FAD710C" w:rsidR="00E470A8" w:rsidRPr="00E470A8" w:rsidRDefault="00E470A8">
      <w:pPr>
        <w:pStyle w:val="RLTextlnkuslovan"/>
        <w:numPr>
          <w:ilvl w:val="1"/>
          <w:numId w:val="55"/>
        </w:numPr>
        <w:tabs>
          <w:tab w:val="num" w:pos="567"/>
        </w:tabs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Databázový Developer Senior II.</w:t>
      </w:r>
      <w:r w:rsidR="00793B3D" w:rsidRPr="00793B3D"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>– předpokládaný rozsah je 110 MD.</w:t>
      </w:r>
    </w:p>
    <w:p w14:paraId="1EAE7891" w14:textId="1C1B90C1" w:rsidR="00511241" w:rsidRPr="00407C33" w:rsidRDefault="00E470A8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Projektový manažer</w:t>
      </w:r>
      <w:r w:rsidR="00793B3D">
        <w:rPr>
          <w:rFonts w:ascii="Arial" w:hAnsi="Arial" w:cs="Arial"/>
          <w:sz w:val="20"/>
          <w:szCs w:val="20"/>
        </w:rPr>
        <w:t xml:space="preserve"> – předpokládaný rozsah je 220 MD.</w:t>
      </w:r>
    </w:p>
    <w:p w14:paraId="4072543D" w14:textId="0711D1AC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620C2791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F4986DE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lastRenderedPageBreak/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10"/>
      <w:bookmarkEnd w:id="11"/>
    </w:p>
    <w:p w14:paraId="6DFA7854" w14:textId="25E5D63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>cenu určenou v souladu s čl.</w:t>
      </w:r>
      <w:r w:rsidR="008558A4">
        <w:rPr>
          <w:rFonts w:ascii="Arial" w:hAnsi="Arial" w:cs="Arial"/>
          <w:sz w:val="20"/>
          <w:szCs w:val="20"/>
        </w:rPr>
        <w:t xml:space="preserve"> 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2C77CD83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24622B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422A18BC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2610FE">
        <w:rPr>
          <w:rFonts w:ascii="Arial" w:hAnsi="Arial" w:cs="Arial"/>
          <w:sz w:val="20"/>
          <w:szCs w:val="20"/>
          <w:lang w:eastAsia="en-US"/>
        </w:rPr>
        <w:t xml:space="preserve">46 970 000,-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42D33D1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</w:t>
      </w:r>
      <w:r w:rsidR="00056B1D">
        <w:rPr>
          <w:rFonts w:ascii="Arial" w:hAnsi="Arial" w:cs="Arial"/>
          <w:sz w:val="20"/>
          <w:szCs w:val="20"/>
          <w:lang w:eastAsia="en-US"/>
        </w:rPr>
        <w:t xml:space="preserve"> 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2792E80B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Tato Dílčí smlouva se uzavírá na dobu určitou, a to do 31. 12. 202</w:t>
      </w:r>
      <w:r w:rsidR="00A41A97">
        <w:rPr>
          <w:rFonts w:ascii="Arial" w:hAnsi="Arial" w:cs="Arial"/>
          <w:sz w:val="20"/>
          <w:szCs w:val="20"/>
          <w:lang w:eastAsia="en-US"/>
        </w:rPr>
        <w:t>4</w:t>
      </w:r>
      <w:r>
        <w:rPr>
          <w:rFonts w:ascii="Arial" w:hAnsi="Arial" w:cs="Arial"/>
          <w:sz w:val="20"/>
          <w:szCs w:val="20"/>
          <w:lang w:eastAsia="en-US"/>
        </w:rPr>
        <w:t xml:space="preserve">, případně do vyčerpání stanovené maximální částky uvedené v odst. </w:t>
      </w:r>
      <w:r>
        <w:rPr>
          <w:rFonts w:ascii="Arial" w:hAnsi="Arial" w:cs="Arial"/>
          <w:sz w:val="20"/>
          <w:szCs w:val="20"/>
          <w:lang w:eastAsia="en-US"/>
        </w:rPr>
        <w:fldChar w:fldCharType="begin"/>
      </w:r>
      <w:r>
        <w:rPr>
          <w:rFonts w:ascii="Arial" w:hAnsi="Arial" w:cs="Arial"/>
          <w:sz w:val="20"/>
          <w:szCs w:val="20"/>
          <w:lang w:eastAsia="en-US"/>
        </w:rPr>
        <w:instrText xml:space="preserve"> REF _Ref143086881 \r \h </w:instrText>
      </w:r>
      <w:r>
        <w:rPr>
          <w:rFonts w:ascii="Arial" w:hAnsi="Arial" w:cs="Arial"/>
          <w:sz w:val="20"/>
          <w:szCs w:val="20"/>
          <w:lang w:eastAsia="en-US"/>
        </w:rPr>
      </w:r>
      <w:r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39669A">
        <w:rPr>
          <w:rFonts w:ascii="Arial" w:hAnsi="Arial" w:cs="Arial"/>
          <w:sz w:val="20"/>
          <w:szCs w:val="20"/>
          <w:lang w:eastAsia="en-US"/>
        </w:rPr>
        <w:t>3.2</w:t>
      </w:r>
      <w:r>
        <w:rPr>
          <w:rFonts w:ascii="Arial" w:hAnsi="Arial" w:cs="Arial"/>
          <w:sz w:val="20"/>
          <w:szCs w:val="20"/>
          <w:lang w:eastAsia="en-US"/>
        </w:rPr>
        <w:fldChar w:fldCharType="end"/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14E0B6F7" w14:textId="5BE59B09" w:rsidR="0024622B" w:rsidRDefault="0024622B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Specifikace předmětu </w:t>
      </w:r>
      <w:proofErr w:type="gramStart"/>
      <w:r>
        <w:rPr>
          <w:rFonts w:ascii="Arial" w:hAnsi="Arial" w:cs="Arial"/>
          <w:sz w:val="20"/>
        </w:rPr>
        <w:t>plnění - vymezení</w:t>
      </w:r>
      <w:proofErr w:type="gramEnd"/>
      <w:r>
        <w:rPr>
          <w:rFonts w:ascii="Arial" w:hAnsi="Arial" w:cs="Arial"/>
          <w:sz w:val="20"/>
        </w:rPr>
        <w:t xml:space="preserve"> Jednotné Fronty</w:t>
      </w:r>
    </w:p>
    <w:p w14:paraId="32AF28FC" w14:textId="54C58D4B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24622B"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794F3785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6F11DD87" w14:textId="1B6C79C2" w:rsidR="004C1C1B" w:rsidRDefault="004C1C1B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B87C8BE" w14:textId="132CDC85" w:rsidR="004C1C1B" w:rsidRDefault="004C1C1B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4C1C1B" w14:paraId="50081946" w14:textId="77777777" w:rsidTr="0054039B">
        <w:tc>
          <w:tcPr>
            <w:tcW w:w="4589" w:type="dxa"/>
          </w:tcPr>
          <w:p w14:paraId="1FD827AD" w14:textId="3A593587" w:rsidR="004C1C1B" w:rsidRPr="00A16B28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Objednatel</w:t>
            </w:r>
          </w:p>
          <w:p w14:paraId="4276E7CC" w14:textId="77777777" w:rsidR="004C1C1B" w:rsidRPr="00E07D66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 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66A74FAE" w14:textId="560B513D" w:rsidR="004C1C1B" w:rsidRPr="00A16B28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3BA8A67F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 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</w:tr>
      <w:tr w:rsidR="004C1C1B" w14:paraId="32769FB7" w14:textId="77777777" w:rsidTr="0054039B">
        <w:tc>
          <w:tcPr>
            <w:tcW w:w="4589" w:type="dxa"/>
          </w:tcPr>
          <w:p w14:paraId="61BE62AD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5FDC754A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78C8E0C" w14:textId="77777777" w:rsidR="004C1C1B" w:rsidRPr="00A16B28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7DDB934D" w14:textId="77777777" w:rsidR="000A67CD" w:rsidRPr="00A16B28" w:rsidRDefault="000A67CD" w:rsidP="000A67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5D0EC6CC" w14:textId="237C39D9" w:rsidR="004C1C1B" w:rsidRPr="00796AF1" w:rsidRDefault="004C1C1B" w:rsidP="000A67CD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  <w:tc>
          <w:tcPr>
            <w:tcW w:w="4481" w:type="dxa"/>
          </w:tcPr>
          <w:p w14:paraId="1AED68DD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0DC9737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9A1E3E9" w14:textId="77777777" w:rsidR="004C1C1B" w:rsidRPr="00A16B28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62B12DB2" w14:textId="77777777" w:rsidR="004C1C1B" w:rsidRDefault="004C1C1B" w:rsidP="000C4363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36CEB15A" w14:textId="77777777" w:rsidR="004C1C1B" w:rsidRDefault="004C1C1B" w:rsidP="00791F14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C1C1B" w14:paraId="0FF87AF0" w14:textId="77777777" w:rsidTr="0054039B">
        <w:tc>
          <w:tcPr>
            <w:tcW w:w="4589" w:type="dxa"/>
          </w:tcPr>
          <w:p w14:paraId="0BD9F70A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43E70004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C1C1B" w14:paraId="5BC26DE5" w14:textId="77777777" w:rsidTr="0054039B">
        <w:tc>
          <w:tcPr>
            <w:tcW w:w="4589" w:type="dxa"/>
          </w:tcPr>
          <w:p w14:paraId="3908A29C" w14:textId="0B388142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1B5308C0" w14:textId="7530DA8C" w:rsidR="004C1C1B" w:rsidRPr="00A16B28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5B836B91" w14:textId="5BF8B67E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 w:rsidR="000A67CD"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4C1C1B" w14:paraId="4C102D5F" w14:textId="77777777" w:rsidTr="0054039B">
        <w:tc>
          <w:tcPr>
            <w:tcW w:w="4589" w:type="dxa"/>
          </w:tcPr>
          <w:p w14:paraId="4CFECA53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EF83C39" w14:textId="11C36A44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442B448D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AF1BA27" w14:textId="77777777" w:rsidR="004C1C1B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67F3758" w14:textId="77777777" w:rsidR="004C1C1B" w:rsidRPr="00A16B28" w:rsidRDefault="004C1C1B" w:rsidP="0054039B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3AD5E6ED" w14:textId="77777777" w:rsidR="000A67CD" w:rsidRDefault="000A67CD" w:rsidP="000C4363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0FF884ED" w14:textId="487D0962" w:rsidR="004C1C1B" w:rsidRDefault="004C1C1B" w:rsidP="000A67C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B149656" w14:textId="77777777" w:rsidR="004C1C1B" w:rsidRPr="00A16B28" w:rsidRDefault="004C1C1B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14CA6794" w14:textId="67E5F079" w:rsidR="00CE29AB" w:rsidRDefault="00CE29AB" w:rsidP="00CE29AB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1 – </w:t>
      </w:r>
      <w:r w:rsidR="00D13AD0">
        <w:rPr>
          <w:rFonts w:ascii="Arial" w:hAnsi="Arial" w:cs="Arial"/>
          <w:sz w:val="20"/>
        </w:rPr>
        <w:t xml:space="preserve">Specifikace předmětu </w:t>
      </w:r>
      <w:proofErr w:type="gramStart"/>
      <w:r w:rsidR="00D13AD0">
        <w:rPr>
          <w:rFonts w:ascii="Arial" w:hAnsi="Arial" w:cs="Arial"/>
          <w:sz w:val="20"/>
        </w:rPr>
        <w:t>plnění - v</w:t>
      </w:r>
      <w:r>
        <w:rPr>
          <w:rFonts w:ascii="Arial" w:hAnsi="Arial" w:cs="Arial"/>
          <w:sz w:val="20"/>
        </w:rPr>
        <w:t>ymezení</w:t>
      </w:r>
      <w:proofErr w:type="gramEnd"/>
      <w:r>
        <w:rPr>
          <w:rFonts w:ascii="Arial" w:hAnsi="Arial" w:cs="Arial"/>
          <w:sz w:val="20"/>
        </w:rPr>
        <w:t xml:space="preserve"> Jednotné </w:t>
      </w:r>
      <w:r w:rsidR="00D13AD0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ronty</w:t>
      </w:r>
    </w:p>
    <w:p w14:paraId="7615EE28" w14:textId="79D74A1B" w:rsidR="00CE29AB" w:rsidRPr="00511241" w:rsidRDefault="00CE29AB" w:rsidP="00D13AD0">
      <w:pPr>
        <w:pStyle w:val="RLTextlnkuslovan"/>
        <w:numPr>
          <w:ilvl w:val="0"/>
          <w:numId w:val="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 se o</w:t>
      </w:r>
      <w:r w:rsidRPr="00511241">
        <w:rPr>
          <w:rFonts w:ascii="Arial" w:hAnsi="Arial" w:cs="Arial"/>
          <w:sz w:val="20"/>
          <w:szCs w:val="20"/>
        </w:rPr>
        <w:t xml:space="preserve"> nástroj pro distribuci práce, konkrétně lidské práce, kterou je potřeba vykonat ve větších týmech pracovníků (10+) se stejnými nebo podobnými dovednostmi. Cílem Jednotné </w:t>
      </w:r>
      <w:r w:rsidR="0024622B">
        <w:rPr>
          <w:rFonts w:ascii="Arial" w:hAnsi="Arial" w:cs="Arial"/>
          <w:sz w:val="20"/>
          <w:szCs w:val="20"/>
        </w:rPr>
        <w:t>F</w:t>
      </w:r>
      <w:r w:rsidRPr="00511241">
        <w:rPr>
          <w:rFonts w:ascii="Arial" w:hAnsi="Arial" w:cs="Arial"/>
          <w:sz w:val="20"/>
          <w:szCs w:val="20"/>
        </w:rPr>
        <w:t xml:space="preserve">ronty je sdružovat veškeré úkoly na jedno místo, </w:t>
      </w:r>
      <w:proofErr w:type="spellStart"/>
      <w:r w:rsidRPr="00511241">
        <w:rPr>
          <w:rFonts w:ascii="Arial" w:hAnsi="Arial" w:cs="Arial"/>
          <w:sz w:val="20"/>
          <w:szCs w:val="20"/>
        </w:rPr>
        <w:t>prioritizovat</w:t>
      </w:r>
      <w:proofErr w:type="spellEnd"/>
      <w:r w:rsidRPr="00511241">
        <w:rPr>
          <w:rFonts w:ascii="Arial" w:hAnsi="Arial" w:cs="Arial"/>
          <w:sz w:val="20"/>
          <w:szCs w:val="20"/>
        </w:rPr>
        <w:t xml:space="preserve"> na základě definovaných parametrů a doručovat je ke</w:t>
      </w:r>
      <w:r w:rsidR="00D13AD0">
        <w:rPr>
          <w:rFonts w:ascii="Arial" w:hAnsi="Arial" w:cs="Arial"/>
          <w:sz w:val="20"/>
          <w:szCs w:val="20"/>
        </w:rPr>
        <w:t> </w:t>
      </w:r>
      <w:r w:rsidRPr="00511241">
        <w:rPr>
          <w:rFonts w:ascii="Arial" w:hAnsi="Arial" w:cs="Arial"/>
          <w:sz w:val="20"/>
          <w:szCs w:val="20"/>
        </w:rPr>
        <w:t>zpracování konkrétním pracovníkům, kteří na realizaci úkolů (práce) v daném čase mají prostor a</w:t>
      </w:r>
      <w:r w:rsidR="00D13AD0">
        <w:rPr>
          <w:rFonts w:ascii="Arial" w:hAnsi="Arial" w:cs="Arial"/>
          <w:sz w:val="20"/>
          <w:szCs w:val="20"/>
        </w:rPr>
        <w:t> </w:t>
      </w:r>
      <w:r w:rsidRPr="00511241">
        <w:rPr>
          <w:rFonts w:ascii="Arial" w:hAnsi="Arial" w:cs="Arial"/>
          <w:sz w:val="20"/>
          <w:szCs w:val="20"/>
        </w:rPr>
        <w:t xml:space="preserve">dovednosti. Jednotná </w:t>
      </w:r>
      <w:r>
        <w:rPr>
          <w:rFonts w:ascii="Arial" w:hAnsi="Arial" w:cs="Arial"/>
          <w:sz w:val="20"/>
          <w:szCs w:val="20"/>
        </w:rPr>
        <w:t>Fronta</w:t>
      </w:r>
      <w:r w:rsidRPr="00511241">
        <w:rPr>
          <w:rFonts w:ascii="Arial" w:hAnsi="Arial" w:cs="Arial"/>
          <w:sz w:val="20"/>
          <w:szCs w:val="20"/>
        </w:rPr>
        <w:t xml:space="preserve"> je tak nástrojem, který efektivně řídí vytížení týmů a přiděluje správným lidem správné úkoly (práci). </w:t>
      </w:r>
    </w:p>
    <w:p w14:paraId="425E667F" w14:textId="498FA1A4" w:rsidR="00CE29AB" w:rsidRPr="00E470A8" w:rsidRDefault="00CE29AB" w:rsidP="00D13AD0">
      <w:pPr>
        <w:pStyle w:val="RLTextlnkuslovan"/>
        <w:numPr>
          <w:ilvl w:val="0"/>
          <w:numId w:val="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511241">
        <w:rPr>
          <w:rFonts w:ascii="Arial" w:hAnsi="Arial" w:cs="Arial"/>
          <w:sz w:val="20"/>
          <w:szCs w:val="20"/>
        </w:rPr>
        <w:t xml:space="preserve">Ve své </w:t>
      </w:r>
      <w:r w:rsidRPr="00E470A8">
        <w:rPr>
          <w:rFonts w:ascii="Arial" w:hAnsi="Arial" w:cs="Arial"/>
          <w:sz w:val="20"/>
          <w:szCs w:val="20"/>
        </w:rPr>
        <w:t>federalizované podobě konsoliduje distribuci práce z více nezávislých zdrojových systémů bez</w:t>
      </w:r>
      <w:r w:rsidR="00D13AD0">
        <w:rPr>
          <w:rFonts w:ascii="Arial" w:hAnsi="Arial" w:cs="Arial"/>
          <w:sz w:val="20"/>
          <w:szCs w:val="20"/>
        </w:rPr>
        <w:t> </w:t>
      </w:r>
      <w:r w:rsidRPr="00E470A8">
        <w:rPr>
          <w:rFonts w:ascii="Arial" w:hAnsi="Arial" w:cs="Arial"/>
          <w:sz w:val="20"/>
          <w:szCs w:val="20"/>
        </w:rPr>
        <w:t>ohledu na to, jakým způsobem tyto systém</w:t>
      </w:r>
      <w:r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fungují z pohledu zpracování úkolů (práce). Je tak jediným místem/zdrojem přidělování práce, což umožňuje nejen efektivně řídit týmy (i jednotlivce) systémově, ale i manažersky. K tomu </w:t>
      </w:r>
      <w:proofErr w:type="gramStart"/>
      <w:r w:rsidRPr="00E470A8">
        <w:rPr>
          <w:rFonts w:ascii="Arial" w:hAnsi="Arial" w:cs="Arial"/>
          <w:sz w:val="20"/>
          <w:szCs w:val="20"/>
        </w:rPr>
        <w:t>slouží</w:t>
      </w:r>
      <w:proofErr w:type="gramEnd"/>
      <w:r w:rsidRPr="00E470A8">
        <w:rPr>
          <w:rFonts w:ascii="Arial" w:hAnsi="Arial" w:cs="Arial"/>
          <w:sz w:val="20"/>
          <w:szCs w:val="20"/>
        </w:rPr>
        <w:t xml:space="preserve"> řada funkcí, vlastností a reportů, které jsou integrální součástí Federalizované Jednotné </w:t>
      </w:r>
      <w:r w:rsidR="0024622B">
        <w:rPr>
          <w:rFonts w:ascii="Arial" w:hAnsi="Arial" w:cs="Arial"/>
          <w:sz w:val="20"/>
          <w:szCs w:val="20"/>
        </w:rPr>
        <w:t>F</w:t>
      </w:r>
      <w:r w:rsidRPr="00E470A8">
        <w:rPr>
          <w:rFonts w:ascii="Arial" w:hAnsi="Arial" w:cs="Arial"/>
          <w:sz w:val="20"/>
          <w:szCs w:val="20"/>
        </w:rPr>
        <w:t>ronty. </w:t>
      </w:r>
    </w:p>
    <w:p w14:paraId="3A8EFA9E" w14:textId="77777777" w:rsidR="00CE29AB" w:rsidRPr="00E470A8" w:rsidRDefault="00CE29AB" w:rsidP="00D13AD0">
      <w:pPr>
        <w:pStyle w:val="RLTextlnkuslovan"/>
        <w:numPr>
          <w:ilvl w:val="0"/>
          <w:numId w:val="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>V procesně řízených organizacích nebo organizacích, které na procesní řízení přechází</w:t>
      </w:r>
      <w:r>
        <w:rPr>
          <w:rFonts w:ascii="Arial" w:hAnsi="Arial" w:cs="Arial"/>
          <w:sz w:val="20"/>
          <w:szCs w:val="20"/>
        </w:rPr>
        <w:t>,</w:t>
      </w:r>
      <w:r w:rsidRPr="00E470A8">
        <w:rPr>
          <w:rFonts w:ascii="Arial" w:hAnsi="Arial" w:cs="Arial"/>
          <w:sz w:val="20"/>
          <w:szCs w:val="20"/>
        </w:rPr>
        <w:t xml:space="preserve"> je vždy předmětem postupného rozvoje téma distribuce práce. Pokud je organizace opravdu procesně řízena, tedy ne na základě „nakreslených procesů na papíře“, ale procesů realizovaných v systémech, je vždy nutné vyřešit způsob přidělování úkolů v procesu uživatelům, kteří takové úkoly mohou řešit. </w:t>
      </w:r>
    </w:p>
    <w:p w14:paraId="1A314921" w14:textId="77777777" w:rsidR="00CE29AB" w:rsidRPr="00E470A8" w:rsidRDefault="00CE29AB" w:rsidP="00D13AD0">
      <w:pPr>
        <w:pStyle w:val="RLTextlnkuslovan"/>
        <w:numPr>
          <w:ilvl w:val="0"/>
          <w:numId w:val="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>Standardní způsob, který se využívá v drtivé většině procesně řízených organizací</w:t>
      </w:r>
      <w:r>
        <w:rPr>
          <w:rFonts w:ascii="Arial" w:hAnsi="Arial" w:cs="Arial"/>
          <w:sz w:val="20"/>
          <w:szCs w:val="20"/>
        </w:rPr>
        <w:t>,</w:t>
      </w:r>
      <w:r w:rsidRPr="00E470A8">
        <w:rPr>
          <w:rFonts w:ascii="Arial" w:hAnsi="Arial" w:cs="Arial"/>
          <w:sz w:val="20"/>
          <w:szCs w:val="20"/>
        </w:rPr>
        <w:t xml:space="preserve"> je přidělování úkolů řízeno dvěma základními způsoby: </w:t>
      </w:r>
    </w:p>
    <w:p w14:paraId="6FCF46A2" w14:textId="77777777" w:rsidR="00CE29AB" w:rsidRPr="00E470A8" w:rsidRDefault="00CE29AB" w:rsidP="00D13AD0">
      <w:pPr>
        <w:numPr>
          <w:ilvl w:val="0"/>
          <w:numId w:val="49"/>
        </w:numPr>
        <w:spacing w:after="0" w:line="280" w:lineRule="atLeast"/>
        <w:ind w:left="426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>Výběr uživatelem </w:t>
      </w:r>
    </w:p>
    <w:p w14:paraId="7DD5B846" w14:textId="77777777" w:rsidR="00CE29AB" w:rsidRPr="00E470A8" w:rsidRDefault="00CE29AB" w:rsidP="00D13AD0">
      <w:pPr>
        <w:numPr>
          <w:ilvl w:val="0"/>
          <w:numId w:val="50"/>
        </w:numPr>
        <w:spacing w:after="0" w:line="280" w:lineRule="atLeast"/>
        <w:ind w:left="1134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>Sami uživatelé rozhodují o tom, jaký úkol si převezmou. </w:t>
      </w:r>
    </w:p>
    <w:p w14:paraId="0B0B465A" w14:textId="77777777" w:rsidR="00CE29AB" w:rsidRPr="00E470A8" w:rsidRDefault="00CE29AB" w:rsidP="00D13AD0">
      <w:pPr>
        <w:numPr>
          <w:ilvl w:val="0"/>
          <w:numId w:val="50"/>
        </w:numPr>
        <w:spacing w:after="0" w:line="280" w:lineRule="atLeast"/>
        <w:ind w:left="1134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 xml:space="preserve">Pokud jsou úkoly nějak ohodnoceny, vede tento způsob distribuce </w:t>
      </w:r>
      <w:r w:rsidRPr="00E470A8">
        <w:rPr>
          <w:rFonts w:ascii="Arial" w:hAnsi="Arial" w:cs="Arial"/>
          <w:strike/>
          <w:color w:val="881798"/>
          <w:sz w:val="20"/>
          <w:szCs w:val="20"/>
        </w:rPr>
        <w:t>k </w:t>
      </w:r>
      <w:r w:rsidRPr="00E470A8">
        <w:rPr>
          <w:rFonts w:ascii="Arial" w:hAnsi="Arial" w:cs="Arial"/>
          <w:sz w:val="20"/>
          <w:szCs w:val="20"/>
        </w:rPr>
        <w:t xml:space="preserve">práce k nerovné „soutěži“, kdy se uživatelé záměrně </w:t>
      </w:r>
      <w:proofErr w:type="gramStart"/>
      <w:r w:rsidRPr="00E470A8">
        <w:rPr>
          <w:rFonts w:ascii="Arial" w:hAnsi="Arial" w:cs="Arial"/>
          <w:sz w:val="20"/>
          <w:szCs w:val="20"/>
        </w:rPr>
        <w:t>snaží</w:t>
      </w:r>
      <w:proofErr w:type="gramEnd"/>
      <w:r w:rsidRPr="00E470A8">
        <w:rPr>
          <w:rFonts w:ascii="Arial" w:hAnsi="Arial" w:cs="Arial"/>
          <w:sz w:val="20"/>
          <w:szCs w:val="20"/>
        </w:rPr>
        <w:t xml:space="preserve"> přebírat takové úkoly, které jsou jednoduché, přitom dobře hodnocené – např. chodí do práce dřív, chodí z práce později, přebírají si najednou větší množství úkolů, které si mohou uložit/odložit apod. </w:t>
      </w:r>
    </w:p>
    <w:p w14:paraId="4A9693FB" w14:textId="77777777" w:rsidR="00CE29AB" w:rsidRPr="00E470A8" w:rsidRDefault="00CE29AB" w:rsidP="00D13AD0">
      <w:pPr>
        <w:numPr>
          <w:ilvl w:val="0"/>
          <w:numId w:val="51"/>
        </w:numPr>
        <w:spacing w:after="0" w:line="280" w:lineRule="atLeast"/>
        <w:ind w:left="426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>Přímé přiřazení vedoucím útvaru (team leaderem) </w:t>
      </w:r>
    </w:p>
    <w:p w14:paraId="0DB7E13F" w14:textId="77777777" w:rsidR="00CE29AB" w:rsidRPr="00E470A8" w:rsidRDefault="00CE29AB" w:rsidP="00D13AD0">
      <w:pPr>
        <w:numPr>
          <w:ilvl w:val="0"/>
          <w:numId w:val="52"/>
        </w:numPr>
        <w:spacing w:after="0" w:line="280" w:lineRule="atLeast"/>
        <w:ind w:left="1134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>Pověřený uživatel přiděluje vždy v určité periodě (často 1x denně) úkoly konkrétním uživatelům. </w:t>
      </w:r>
    </w:p>
    <w:p w14:paraId="6248F84A" w14:textId="77777777" w:rsidR="00CE29AB" w:rsidRPr="00E470A8" w:rsidRDefault="00CE29AB" w:rsidP="00D13AD0">
      <w:pPr>
        <w:numPr>
          <w:ilvl w:val="0"/>
          <w:numId w:val="52"/>
        </w:numPr>
        <w:spacing w:after="0" w:line="280" w:lineRule="atLeast"/>
        <w:ind w:left="1134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>Sám přitom rozhoduje o tom, kdo jaký úkol</w:t>
      </w:r>
      <w:r>
        <w:rPr>
          <w:rFonts w:ascii="Arial" w:hAnsi="Arial" w:cs="Arial"/>
          <w:strike/>
          <w:color w:val="881798"/>
          <w:sz w:val="20"/>
          <w:szCs w:val="20"/>
        </w:rPr>
        <w:t xml:space="preserve"> </w:t>
      </w:r>
      <w:r w:rsidRPr="00E470A8">
        <w:rPr>
          <w:rFonts w:ascii="Arial" w:hAnsi="Arial" w:cs="Arial"/>
          <w:sz w:val="20"/>
          <w:szCs w:val="20"/>
        </w:rPr>
        <w:t>dostane a kolik úkolů odpracuje, jaké jsou priority a také tím definuje čas zpracování. </w:t>
      </w:r>
    </w:p>
    <w:p w14:paraId="246A16E3" w14:textId="77777777" w:rsidR="00CE29AB" w:rsidRPr="00E470A8" w:rsidRDefault="00CE29AB" w:rsidP="00D13AD0">
      <w:pPr>
        <w:numPr>
          <w:ilvl w:val="0"/>
          <w:numId w:val="53"/>
        </w:numPr>
        <w:spacing w:after="0" w:line="280" w:lineRule="atLeast"/>
        <w:ind w:left="1134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>Opět tento princip vede k nerovné „soutěži“ závislé na rozhodnutí pověřeného uživatele (vedoucího, team leadera) a k zatížení dalšího článku v distribuci práce. </w:t>
      </w:r>
    </w:p>
    <w:p w14:paraId="14FCBA70" w14:textId="5837A7D4" w:rsidR="00CE29AB" w:rsidRPr="00E470A8" w:rsidRDefault="00CE29AB" w:rsidP="00D13AD0">
      <w:pPr>
        <w:pStyle w:val="RLTextlnkuslovan"/>
        <w:numPr>
          <w:ilvl w:val="0"/>
          <w:numId w:val="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E470A8">
        <w:rPr>
          <w:rFonts w:ascii="Arial" w:hAnsi="Arial" w:cs="Arial"/>
          <w:sz w:val="20"/>
          <w:szCs w:val="20"/>
        </w:rPr>
        <w:t>Třetím způsobem, který není uveden výše a je využíván prozatím v menší části (již poučených) organizací</w:t>
      </w:r>
      <w:r w:rsidRPr="00E470A8">
        <w:rPr>
          <w:rFonts w:ascii="Arial" w:hAnsi="Arial" w:cs="Arial"/>
          <w:color w:val="881798"/>
          <w:sz w:val="20"/>
          <w:szCs w:val="20"/>
          <w:u w:val="single"/>
        </w:rPr>
        <w:t>,</w:t>
      </w:r>
      <w:r w:rsidRPr="00E470A8">
        <w:rPr>
          <w:rFonts w:ascii="Arial" w:hAnsi="Arial" w:cs="Arial"/>
          <w:sz w:val="20"/>
          <w:szCs w:val="20"/>
        </w:rPr>
        <w:t xml:space="preserve"> je automatická distribuce práce přes tzv. „Jednotnou </w:t>
      </w:r>
      <w:r w:rsidR="00D13AD0">
        <w:rPr>
          <w:rFonts w:ascii="Arial" w:hAnsi="Arial" w:cs="Arial"/>
          <w:sz w:val="20"/>
          <w:szCs w:val="20"/>
        </w:rPr>
        <w:t>F</w:t>
      </w:r>
      <w:r w:rsidRPr="00E470A8">
        <w:rPr>
          <w:rFonts w:ascii="Arial" w:hAnsi="Arial" w:cs="Arial"/>
          <w:sz w:val="20"/>
          <w:szCs w:val="20"/>
        </w:rPr>
        <w:t xml:space="preserve">rontu“. Tento způsob distribuce práce vyžaduje nejen správné nastavení procesů, ale zejména správné nastavení </w:t>
      </w:r>
      <w:r w:rsidR="00D45DE7">
        <w:rPr>
          <w:rFonts w:ascii="Arial" w:hAnsi="Arial" w:cs="Arial"/>
          <w:sz w:val="20"/>
          <w:szCs w:val="20"/>
        </w:rPr>
        <w:t>f</w:t>
      </w:r>
      <w:r w:rsidRPr="00E470A8">
        <w:rPr>
          <w:rFonts w:ascii="Arial" w:hAnsi="Arial" w:cs="Arial"/>
          <w:sz w:val="20"/>
          <w:szCs w:val="20"/>
        </w:rPr>
        <w:t>ront, rolí, dovedností (</w:t>
      </w:r>
      <w:proofErr w:type="spellStart"/>
      <w:r w:rsidRPr="00E470A8">
        <w:rPr>
          <w:rFonts w:ascii="Arial" w:hAnsi="Arial" w:cs="Arial"/>
          <w:sz w:val="20"/>
          <w:szCs w:val="20"/>
        </w:rPr>
        <w:t>skillů</w:t>
      </w:r>
      <w:proofErr w:type="spellEnd"/>
      <w:r w:rsidRPr="00E470A8">
        <w:rPr>
          <w:rFonts w:ascii="Arial" w:hAnsi="Arial" w:cs="Arial"/>
          <w:sz w:val="20"/>
          <w:szCs w:val="20"/>
        </w:rPr>
        <w:t>) uživatelů a neustálý procesní rozvoj. </w:t>
      </w:r>
    </w:p>
    <w:p w14:paraId="496EEBE6" w14:textId="77777777" w:rsidR="00CE29AB" w:rsidRDefault="00CE29AB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5B6A82A7" w14:textId="77777777" w:rsidR="00D13AD0" w:rsidRDefault="00D13AD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4CA1048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D13AD0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F5402" w:rsidRPr="00A5360B" w14:paraId="67EB180C" w14:textId="11127166" w:rsidTr="00DF5402">
        <w:trPr>
          <w:trHeight w:val="57"/>
        </w:trPr>
        <w:tc>
          <w:tcPr>
            <w:tcW w:w="2182" w:type="dxa"/>
            <w:shd w:val="clear" w:color="auto" w:fill="auto"/>
          </w:tcPr>
          <w:p w14:paraId="17DC509C" w14:textId="6F92998B" w:rsidR="00DF5402" w:rsidRPr="000236B7" w:rsidRDefault="00DF5402" w:rsidP="00DF54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auto"/>
          </w:tcPr>
          <w:p w14:paraId="7A0D365A" w14:textId="75D0E29A" w:rsidR="00DF5402" w:rsidRPr="000236B7" w:rsidRDefault="00DF5402" w:rsidP="00DF54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auto"/>
          </w:tcPr>
          <w:p w14:paraId="0D9ABAE3" w14:textId="109E1FE7" w:rsidR="00DF5402" w:rsidRPr="00A16B28" w:rsidRDefault="00DF5402" w:rsidP="00DF54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auto"/>
          </w:tcPr>
          <w:p w14:paraId="1FB2BE5D" w14:textId="77777777" w:rsidR="00DF5402" w:rsidRPr="00BB2C2E" w:rsidRDefault="00DF5402" w:rsidP="00DF540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</w:p>
          <w:p w14:paraId="0B950A22" w14:textId="273DBDCB" w:rsidR="00DF5402" w:rsidRPr="00A16B28" w:rsidRDefault="00DF5402" w:rsidP="00DF54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1D6821" w:rsidRPr="00A5360B" w14:paraId="6F4CF446" w14:textId="6FB2770A" w:rsidTr="001D6821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41068037" w14:textId="77777777" w:rsidR="001D6821" w:rsidRPr="009C2F33" w:rsidRDefault="001D6821" w:rsidP="001D68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131">
              <w:rPr>
                <w:rFonts w:ascii="Arial" w:hAnsi="Arial" w:cs="Arial"/>
                <w:bCs/>
                <w:sz w:val="20"/>
                <w:szCs w:val="20"/>
              </w:rPr>
              <w:t>IT Architekt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171A17D" w14:textId="6DDA3A0B" w:rsidR="001D6821" w:rsidRPr="001D6821" w:rsidRDefault="00791F14" w:rsidP="001D682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791F1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880A6FA" w14:textId="183173C5" w:rsidR="001D6821" w:rsidRPr="00796AF1" w:rsidRDefault="001D6821" w:rsidP="001D682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C8DBFC8" w14:textId="7CA2A922" w:rsidR="001D6821" w:rsidRPr="00796AF1" w:rsidRDefault="001D6821" w:rsidP="001D682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14 500,00</w:t>
            </w:r>
          </w:p>
        </w:tc>
      </w:tr>
      <w:tr w:rsidR="00791F14" w:rsidRPr="00A5360B" w14:paraId="44A413DB" w14:textId="55032CF4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46209C55" w14:textId="77777777" w:rsidR="00791F14" w:rsidRPr="009C2F33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131">
              <w:rPr>
                <w:rFonts w:ascii="Arial" w:hAnsi="Arial" w:cs="Arial"/>
                <w:bCs/>
                <w:sz w:val="20"/>
                <w:szCs w:val="20"/>
              </w:rPr>
              <w:t>IT Analytik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C1A365A" w14:textId="28EB142F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FB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35C87E9" w14:textId="3561784C" w:rsidR="00791F14" w:rsidRPr="00796AF1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E0698C" w14:textId="073F72C5" w:rsidR="00791F14" w:rsidRPr="00796AF1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11 000,00</w:t>
            </w:r>
          </w:p>
        </w:tc>
      </w:tr>
      <w:tr w:rsidR="00791F14" w:rsidRPr="00A5360B" w14:paraId="62A81AFF" w14:textId="3D3E290E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5752EDDC" w14:textId="77777777" w:rsidR="00791F14" w:rsidRPr="006C7131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131">
              <w:rPr>
                <w:rFonts w:ascii="Arial" w:hAnsi="Arial" w:cs="Arial"/>
                <w:bCs/>
                <w:sz w:val="20"/>
                <w:szCs w:val="20"/>
              </w:rPr>
              <w:t>IT Analytik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junior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37BE25F" w14:textId="7EC0D460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FB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8CF7FAF" w14:textId="6F6D8FBD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4B9C80B" w14:textId="282294F5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8 800,00</w:t>
            </w:r>
          </w:p>
        </w:tc>
      </w:tr>
      <w:tr w:rsidR="00791F14" w:rsidRPr="00A5360B" w14:paraId="2C9EBD21" w14:textId="363C0C30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5F3467B4" w14:textId="77777777" w:rsidR="00791F14" w:rsidRPr="009C2F33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131">
              <w:rPr>
                <w:rFonts w:ascii="Arial" w:hAnsi="Arial" w:cs="Arial"/>
                <w:bCs/>
                <w:sz w:val="20"/>
                <w:szCs w:val="20"/>
              </w:rPr>
              <w:t>Integrační Architekt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87B48A4" w14:textId="12E1591E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FB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266AB53" w14:textId="1C57AF10" w:rsidR="00791F14" w:rsidRPr="00796AF1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8AC5E23" w14:textId="51B946FB" w:rsidR="00791F14" w:rsidRPr="00796AF1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13 200,00</w:t>
            </w:r>
          </w:p>
        </w:tc>
      </w:tr>
      <w:tr w:rsidR="00791F14" w:rsidRPr="00A5360B" w14:paraId="02F90820" w14:textId="47A4303E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2D174C96" w14:textId="77777777" w:rsidR="00791F14" w:rsidRPr="009C2F33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C7131">
              <w:rPr>
                <w:rFonts w:ascii="Arial" w:hAnsi="Arial" w:cs="Arial"/>
                <w:bCs/>
                <w:sz w:val="20"/>
                <w:szCs w:val="20"/>
              </w:rPr>
              <w:t>Frontend</w:t>
            </w:r>
            <w:proofErr w:type="spellEnd"/>
            <w:r w:rsidRPr="006C7131">
              <w:rPr>
                <w:rFonts w:ascii="Arial" w:hAnsi="Arial" w:cs="Arial"/>
                <w:bCs/>
                <w:sz w:val="20"/>
                <w:szCs w:val="20"/>
              </w:rPr>
              <w:t xml:space="preserve"> Developer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1E1EAC9" w14:textId="15BAE770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FB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9C5B66B" w14:textId="3BDC7E7A" w:rsidR="00791F14" w:rsidRPr="00796AF1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0DB97F7" w14:textId="4BE4EC11" w:rsidR="00791F14" w:rsidRPr="00796AF1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12 000,00</w:t>
            </w:r>
          </w:p>
        </w:tc>
      </w:tr>
      <w:tr w:rsidR="00791F14" w:rsidRPr="00A5360B" w14:paraId="38C0641C" w14:textId="03617F41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3FD0CC6C" w14:textId="77777777" w:rsidR="00791F14" w:rsidRPr="006C7131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C7131">
              <w:rPr>
                <w:rFonts w:ascii="Arial" w:hAnsi="Arial" w:cs="Arial"/>
                <w:bCs/>
                <w:sz w:val="20"/>
                <w:szCs w:val="20"/>
              </w:rPr>
              <w:t>Frontend</w:t>
            </w:r>
            <w:proofErr w:type="spellEnd"/>
            <w:r w:rsidRPr="006C7131">
              <w:rPr>
                <w:rFonts w:ascii="Arial" w:hAnsi="Arial" w:cs="Arial"/>
                <w:bCs/>
                <w:sz w:val="20"/>
                <w:szCs w:val="20"/>
              </w:rPr>
              <w:t xml:space="preserve"> Developer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junior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83F2021" w14:textId="3D97C41B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FB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A76072D" w14:textId="5F3D0272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E5B8DA5" w14:textId="28411CB2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8 800,00</w:t>
            </w:r>
          </w:p>
        </w:tc>
      </w:tr>
      <w:tr w:rsidR="00791F14" w:rsidRPr="00A5360B" w14:paraId="0171FADA" w14:textId="2955DEA6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20139E06" w14:textId="77777777" w:rsidR="00791F14" w:rsidRPr="009C2F33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77DA2">
              <w:rPr>
                <w:rFonts w:ascii="Arial" w:hAnsi="Arial" w:cs="Arial"/>
                <w:bCs/>
                <w:sz w:val="20"/>
                <w:szCs w:val="20"/>
              </w:rPr>
              <w:t>Backend</w:t>
            </w:r>
            <w:proofErr w:type="spellEnd"/>
            <w:r w:rsidRPr="00F77DA2">
              <w:rPr>
                <w:rFonts w:ascii="Arial" w:hAnsi="Arial" w:cs="Arial"/>
                <w:bCs/>
                <w:sz w:val="20"/>
                <w:szCs w:val="20"/>
              </w:rPr>
              <w:t xml:space="preserve"> Developer (JAVA)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BA203A1" w14:textId="1779D797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FB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1082706" w14:textId="06AD9C28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E4B4984" w14:textId="64F6AE4E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12 000,00</w:t>
            </w:r>
          </w:p>
        </w:tc>
      </w:tr>
      <w:tr w:rsidR="00791F14" w:rsidRPr="00A5360B" w14:paraId="4206374B" w14:textId="0950242C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6338F960" w14:textId="77777777" w:rsidR="00791F14" w:rsidRPr="00F77DA2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77DA2">
              <w:rPr>
                <w:rFonts w:ascii="Arial" w:hAnsi="Arial" w:cs="Arial"/>
                <w:bCs/>
                <w:sz w:val="20"/>
                <w:szCs w:val="20"/>
              </w:rPr>
              <w:t>Backend</w:t>
            </w:r>
            <w:proofErr w:type="spellEnd"/>
            <w:r w:rsidRPr="00F77DA2">
              <w:rPr>
                <w:rFonts w:ascii="Arial" w:hAnsi="Arial" w:cs="Arial"/>
                <w:bCs/>
                <w:sz w:val="20"/>
                <w:szCs w:val="20"/>
              </w:rPr>
              <w:t xml:space="preserve"> Developer (JAVA)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junior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BC3CFC3" w14:textId="01F9CAFB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FB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9F12BA2" w14:textId="03AB7C54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2886FF1" w14:textId="6689D7C6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8 800,00</w:t>
            </w:r>
          </w:p>
        </w:tc>
      </w:tr>
      <w:tr w:rsidR="00791F14" w:rsidRPr="00A5360B" w14:paraId="23EA6112" w14:textId="273B6717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03840EB8" w14:textId="77777777" w:rsidR="00791F14" w:rsidRPr="009C2F33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77DA2">
              <w:rPr>
                <w:rFonts w:ascii="Arial" w:hAnsi="Arial" w:cs="Arial"/>
                <w:bCs/>
                <w:sz w:val="20"/>
                <w:szCs w:val="20"/>
              </w:rPr>
              <w:t>Backend</w:t>
            </w:r>
            <w:proofErr w:type="spellEnd"/>
            <w:r w:rsidRPr="00F77DA2">
              <w:rPr>
                <w:rFonts w:ascii="Arial" w:hAnsi="Arial" w:cs="Arial"/>
                <w:bCs/>
                <w:sz w:val="20"/>
                <w:szCs w:val="20"/>
              </w:rPr>
              <w:t xml:space="preserve"> Developer (.NET)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C354D7B" w14:textId="1E86B1FD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6FB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6E3047D" w14:textId="339CAC21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CEE9E78" w14:textId="5127C748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</w:t>
            </w:r>
          </w:p>
        </w:tc>
      </w:tr>
      <w:tr w:rsidR="00791F14" w:rsidRPr="00A5360B" w14:paraId="557BF5C2" w14:textId="59423583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330B163B" w14:textId="77777777" w:rsidR="00791F14" w:rsidRPr="00F77DA2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77DA2">
              <w:rPr>
                <w:rFonts w:ascii="Arial" w:hAnsi="Arial" w:cs="Arial"/>
                <w:bCs/>
                <w:sz w:val="20"/>
                <w:szCs w:val="20"/>
              </w:rPr>
              <w:t>Backend</w:t>
            </w:r>
            <w:proofErr w:type="spellEnd"/>
            <w:r w:rsidRPr="00F77DA2">
              <w:rPr>
                <w:rFonts w:ascii="Arial" w:hAnsi="Arial" w:cs="Arial"/>
                <w:bCs/>
                <w:sz w:val="20"/>
                <w:szCs w:val="20"/>
              </w:rPr>
              <w:t xml:space="preserve"> Developer (.NET)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junior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B60A3E2" w14:textId="156E9BC7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6A38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30D790D7" w14:textId="57F8A7B3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C0BCD36" w14:textId="7E14F4C3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7 700,00</w:t>
            </w:r>
          </w:p>
        </w:tc>
      </w:tr>
      <w:tr w:rsidR="00791F14" w:rsidRPr="00A5360B" w14:paraId="7B980874" w14:textId="4BCC7CAA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259FB23F" w14:textId="7843B72E" w:rsidR="00791F14" w:rsidRPr="009C2F33" w:rsidRDefault="00791F14" w:rsidP="00791F14">
            <w:pPr>
              <w:tabs>
                <w:tab w:val="left" w:pos="244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77DA2">
              <w:rPr>
                <w:rFonts w:ascii="Arial" w:hAnsi="Arial" w:cs="Arial"/>
                <w:bCs/>
                <w:sz w:val="20"/>
                <w:szCs w:val="20"/>
              </w:rPr>
              <w:t>Databázový Developer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A85D70D" w14:textId="6C170A6C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6A38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99AD31B" w14:textId="1EBD8FB9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D75CBF" w14:textId="04FED45B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12 000,00</w:t>
            </w:r>
          </w:p>
        </w:tc>
      </w:tr>
      <w:tr w:rsidR="00791F14" w:rsidRPr="00A5360B" w14:paraId="5FA0864C" w14:textId="270E072C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3233A88C" w14:textId="6FE79B9E" w:rsidR="00791F14" w:rsidRPr="00F77DA2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DA2">
              <w:rPr>
                <w:rFonts w:ascii="Arial" w:hAnsi="Arial" w:cs="Arial"/>
                <w:bCs/>
                <w:sz w:val="20"/>
                <w:szCs w:val="20"/>
              </w:rPr>
              <w:t>Databázový Developer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2D5D030" w14:textId="204D05E2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6A38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444F484" w14:textId="443D1516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035D928" w14:textId="3F254FBF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12 000,00</w:t>
            </w:r>
          </w:p>
        </w:tc>
      </w:tr>
      <w:tr w:rsidR="00791F14" w:rsidRPr="00A5360B" w14:paraId="651F7B82" w14:textId="0CD8B9E3" w:rsidTr="00791F14">
        <w:trPr>
          <w:trHeight w:val="840"/>
        </w:trPr>
        <w:tc>
          <w:tcPr>
            <w:tcW w:w="2182" w:type="dxa"/>
            <w:shd w:val="clear" w:color="auto" w:fill="auto"/>
            <w:vAlign w:val="center"/>
          </w:tcPr>
          <w:p w14:paraId="2C4CE8AE" w14:textId="77777777" w:rsidR="00791F14" w:rsidRPr="009C2F33" w:rsidRDefault="00791F14" w:rsidP="00791F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DA2">
              <w:rPr>
                <w:rFonts w:ascii="Arial" w:hAnsi="Arial" w:cs="Arial"/>
                <w:bCs/>
                <w:sz w:val="20"/>
                <w:szCs w:val="20"/>
              </w:rPr>
              <w:t>Projektový Manažer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D87283D" w14:textId="5DCDFF1C" w:rsidR="00791F14" w:rsidRPr="001D6821" w:rsidRDefault="00791F14" w:rsidP="00791F1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6A38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C334E6B" w14:textId="2A2A4BA4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15FF195" w14:textId="15711E11" w:rsidR="00791F14" w:rsidRDefault="00791F14" w:rsidP="00791F1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13 500,00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3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2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0"/>
  </w:num>
  <w:num w:numId="15" w16cid:durableId="2120103895">
    <w:abstractNumId w:val="46"/>
  </w:num>
  <w:num w:numId="16" w16cid:durableId="252393947">
    <w:abstractNumId w:val="14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6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7"/>
  </w:num>
  <w:num w:numId="41" w16cid:durableId="782190033">
    <w:abstractNumId w:val="28"/>
  </w:num>
  <w:num w:numId="42" w16cid:durableId="79330020">
    <w:abstractNumId w:val="23"/>
  </w:num>
  <w:num w:numId="43" w16cid:durableId="936643173">
    <w:abstractNumId w:val="55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5"/>
  </w:num>
  <w:num w:numId="51" w16cid:durableId="510222785">
    <w:abstractNumId w:val="35"/>
  </w:num>
  <w:num w:numId="52" w16cid:durableId="908535363">
    <w:abstractNumId w:val="11"/>
  </w:num>
  <w:num w:numId="53" w16cid:durableId="2147159868">
    <w:abstractNumId w:val="30"/>
  </w:num>
  <w:num w:numId="54" w16cid:durableId="1777947227">
    <w:abstractNumId w:val="54"/>
  </w:num>
  <w:num w:numId="55" w16cid:durableId="823737311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5776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6B1D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7CD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363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109B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821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0FE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17836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9669A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C1B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88F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1F14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8A4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1059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63F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28B2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38B1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166D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4eb6ff4-7734-4137-94f5-b6b6be767b1c"/>
    <ds:schemaRef ds:uri="http://purl.org/dc/dcmitype/"/>
    <ds:schemaRef ds:uri="9a7afd50-4ca2-4cc3-bd83-23693bc364bc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1668</Words>
  <Characters>9889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11534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28</cp:revision>
  <cp:lastPrinted>2023-10-09T07:59:00Z</cp:lastPrinted>
  <dcterms:created xsi:type="dcterms:W3CDTF">2023-08-14T19:38:00Z</dcterms:created>
  <dcterms:modified xsi:type="dcterms:W3CDTF">2023-11-28T14:19:00Z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