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A4F" w14:textId="77777777" w:rsidR="000C0C52" w:rsidRDefault="000C0C52">
      <w:pPr>
        <w:rPr>
          <w:rFonts w:cs="Calibri"/>
          <w:b/>
          <w:sz w:val="32"/>
          <w:szCs w:val="32"/>
        </w:rPr>
      </w:pPr>
    </w:p>
    <w:p w14:paraId="08BBEA50" w14:textId="77777777" w:rsidR="000C0C52" w:rsidRDefault="000C0C52">
      <w:pPr>
        <w:jc w:val="center"/>
        <w:rPr>
          <w:rFonts w:cs="Calibri"/>
          <w:b/>
          <w:sz w:val="32"/>
          <w:szCs w:val="32"/>
        </w:rPr>
      </w:pPr>
    </w:p>
    <w:p w14:paraId="08BBEA51" w14:textId="77777777" w:rsidR="000C0C52" w:rsidRDefault="00000000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Popis partnerského projektu</w:t>
      </w:r>
    </w:p>
    <w:p w14:paraId="08BBEA52" w14:textId="77777777" w:rsidR="000C0C52" w:rsidRDefault="000C0C52">
      <w:pPr>
        <w:spacing w:line="15" w:lineRule="auto"/>
        <w:rPr>
          <w:rFonts w:cs="Calibri"/>
        </w:rPr>
      </w:pPr>
    </w:p>
    <w:p w14:paraId="08BBEA53" w14:textId="77777777" w:rsidR="000C0C52" w:rsidRDefault="00000000">
      <w:pPr>
        <w:spacing w:line="234" w:lineRule="auto"/>
        <w:ind w:right="140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financovaného z UNICEF v rámci projektu „Posílení kapacity Centra pro cizince JMK z UNICEF“, ECARO/CZ/ICSMR/L001</w:t>
      </w:r>
    </w:p>
    <w:p w14:paraId="08BBEA54" w14:textId="77777777" w:rsidR="000C0C52" w:rsidRDefault="000C0C52">
      <w:pPr>
        <w:spacing w:line="200" w:lineRule="auto"/>
        <w:rPr>
          <w:rFonts w:cs="Calibri"/>
        </w:rPr>
      </w:pPr>
    </w:p>
    <w:p w14:paraId="08BBEA55" w14:textId="77777777" w:rsidR="000C0C52" w:rsidRDefault="000C0C52">
      <w:pPr>
        <w:spacing w:line="254" w:lineRule="auto"/>
        <w:rPr>
          <w:rFonts w:cs="Calibri"/>
        </w:rPr>
      </w:pPr>
    </w:p>
    <w:p w14:paraId="08BBEA56" w14:textId="77777777" w:rsidR="000C0C52" w:rsidRDefault="00000000">
      <w:pPr>
        <w:tabs>
          <w:tab w:val="left" w:pos="4600"/>
        </w:tabs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 Údaje o partnerovi projektu</w:t>
      </w:r>
    </w:p>
    <w:p w14:paraId="08BBEA57" w14:textId="77777777" w:rsidR="000C0C52" w:rsidRDefault="000C0C52">
      <w:pPr>
        <w:rPr>
          <w:rFonts w:cs="Calibri"/>
          <w:b/>
          <w:sz w:val="28"/>
          <w:szCs w:val="28"/>
        </w:rPr>
      </w:pPr>
    </w:p>
    <w:p w14:paraId="08BBEA58" w14:textId="77777777" w:rsidR="000C0C52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1.1 Identifikační údaje partnera 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3478"/>
        <w:gridCol w:w="1021"/>
        <w:gridCol w:w="2799"/>
      </w:tblGrid>
      <w:tr w:rsidR="000C0C52" w14:paraId="08BBEA5D" w14:textId="77777777">
        <w:tc>
          <w:tcPr>
            <w:tcW w:w="2336" w:type="dxa"/>
          </w:tcPr>
          <w:p w14:paraId="08BBEA59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Právní forma</w:t>
            </w:r>
          </w:p>
        </w:tc>
        <w:tc>
          <w:tcPr>
            <w:tcW w:w="3478" w:type="dxa"/>
          </w:tcPr>
          <w:p w14:paraId="08BBEA5A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zapsaný spolek </w:t>
            </w:r>
          </w:p>
        </w:tc>
        <w:tc>
          <w:tcPr>
            <w:tcW w:w="1021" w:type="dxa"/>
          </w:tcPr>
          <w:p w14:paraId="08BBEA5B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IČO</w:t>
            </w:r>
          </w:p>
        </w:tc>
        <w:tc>
          <w:tcPr>
            <w:tcW w:w="2799" w:type="dxa"/>
          </w:tcPr>
          <w:p w14:paraId="08BBEA5C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03305252</w:t>
            </w:r>
          </w:p>
        </w:tc>
      </w:tr>
      <w:tr w:rsidR="000C0C52" w14:paraId="08BBEA60" w14:textId="77777777">
        <w:tc>
          <w:tcPr>
            <w:tcW w:w="2336" w:type="dxa"/>
          </w:tcPr>
          <w:p w14:paraId="08BBEA5E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Název žadatele</w:t>
            </w:r>
          </w:p>
        </w:tc>
        <w:tc>
          <w:tcPr>
            <w:tcW w:w="7298" w:type="dxa"/>
            <w:gridSpan w:val="3"/>
          </w:tcPr>
          <w:p w14:paraId="08BBEA5F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Ukrajinská iniciativa jižní Moravy </w:t>
            </w:r>
          </w:p>
        </w:tc>
      </w:tr>
    </w:tbl>
    <w:p w14:paraId="08BBEA61" w14:textId="77777777" w:rsidR="000C0C52" w:rsidRDefault="000C0C52">
      <w:pPr>
        <w:rPr>
          <w:rFonts w:cs="Calibri"/>
          <w:b/>
          <w:sz w:val="28"/>
          <w:szCs w:val="28"/>
        </w:rPr>
      </w:pPr>
    </w:p>
    <w:p w14:paraId="08BBEA62" w14:textId="77777777" w:rsidR="000C0C52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1.2 Adresa sídla partnera</w:t>
      </w:r>
    </w:p>
    <w:tbl>
      <w:tblPr>
        <w:tblStyle w:val="a0"/>
        <w:tblW w:w="961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320"/>
        <w:gridCol w:w="3540"/>
        <w:gridCol w:w="880"/>
        <w:gridCol w:w="1780"/>
        <w:gridCol w:w="880"/>
        <w:gridCol w:w="1219"/>
      </w:tblGrid>
      <w:tr w:rsidR="000C0C52" w14:paraId="08BBEA69" w14:textId="77777777">
        <w:trPr>
          <w:trHeight w:val="45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3" w14:textId="77777777" w:rsidR="000C0C52" w:rsidRDefault="00000000">
            <w:pPr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Ulice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4" w14:textId="77777777" w:rsidR="000C0C52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Starobrněnská 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5" w14:textId="77777777" w:rsidR="000C0C52" w:rsidRDefault="00000000">
            <w:pPr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Č.p.</w:t>
            </w:r>
          </w:p>
        </w:tc>
        <w:tc>
          <w:tcPr>
            <w:tcW w:w="1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6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7" w14:textId="77777777" w:rsidR="000C0C52" w:rsidRDefault="00000000">
            <w:pPr>
              <w:ind w:left="40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Č.o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8" w14:textId="77777777" w:rsidR="000C0C52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C0C52" w14:paraId="08BBEA70" w14:textId="77777777">
        <w:trPr>
          <w:trHeight w:val="429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A" w14:textId="77777777" w:rsidR="000C0C52" w:rsidRDefault="00000000">
            <w:pPr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Obec</w:t>
            </w:r>
          </w:p>
        </w:tc>
        <w:tc>
          <w:tcPr>
            <w:tcW w:w="354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BBEA6B" w14:textId="77777777" w:rsidR="000C0C52" w:rsidRDefault="00000000">
            <w:pPr>
              <w:ind w:left="6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Brno </w:t>
            </w: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BBEA6C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D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E" w14:textId="77777777" w:rsidR="000C0C52" w:rsidRDefault="00000000">
            <w:pPr>
              <w:ind w:left="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PSČ</w:t>
            </w:r>
          </w:p>
        </w:tc>
        <w:tc>
          <w:tcPr>
            <w:tcW w:w="1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6F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</w:tr>
      <w:tr w:rsidR="000C0C52" w14:paraId="08BBEA77" w14:textId="77777777">
        <w:trPr>
          <w:trHeight w:val="264"/>
        </w:trPr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71" w14:textId="77777777" w:rsidR="000C0C52" w:rsidRDefault="00000000">
            <w:pPr>
              <w:spacing w:line="264" w:lineRule="auto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Městská</w:t>
            </w:r>
          </w:p>
        </w:tc>
        <w:tc>
          <w:tcPr>
            <w:tcW w:w="3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8BBEA72" w14:textId="77777777" w:rsidR="000C0C52" w:rsidRDefault="00000000">
            <w:pPr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Brno-Střed</w:t>
            </w:r>
          </w:p>
        </w:tc>
        <w:tc>
          <w:tcPr>
            <w:tcW w:w="88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8BBEA73" w14:textId="77777777" w:rsidR="000C0C52" w:rsidRDefault="00000000">
            <w:pPr>
              <w:spacing w:line="264" w:lineRule="auto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Část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8BBEA74" w14:textId="77777777" w:rsidR="000C0C52" w:rsidRDefault="000C0C5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08BBEA75" w14:textId="77777777" w:rsidR="000C0C52" w:rsidRDefault="000C0C5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8BBEA76" w14:textId="77777777" w:rsidR="000C0C52" w:rsidRDefault="000C0C52">
            <w:pPr>
              <w:rPr>
                <w:rFonts w:cs="Calibri"/>
                <w:sz w:val="22"/>
                <w:szCs w:val="22"/>
              </w:rPr>
            </w:pPr>
          </w:p>
        </w:tc>
      </w:tr>
      <w:tr w:rsidR="000C0C52" w14:paraId="08BBEA7E" w14:textId="77777777">
        <w:trPr>
          <w:trHeight w:val="279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78" w14:textId="77777777" w:rsidR="000C0C52" w:rsidRDefault="00000000">
            <w:pPr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část</w:t>
            </w: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79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7A" w14:textId="77777777" w:rsidR="000C0C52" w:rsidRDefault="00000000">
            <w:pPr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obce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BBEA7B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BBEA7C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BEA7D" w14:textId="77777777" w:rsidR="000C0C52" w:rsidRDefault="000C0C52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08BBEA7F" w14:textId="77777777" w:rsidR="000C0C52" w:rsidRDefault="000C0C52">
      <w:pPr>
        <w:tabs>
          <w:tab w:val="left" w:pos="720"/>
        </w:tabs>
        <w:ind w:left="720"/>
        <w:rPr>
          <w:rFonts w:cs="Calibri"/>
          <w:b/>
          <w:sz w:val="23"/>
          <w:szCs w:val="23"/>
        </w:rPr>
      </w:pPr>
    </w:p>
    <w:p w14:paraId="08BBEA80" w14:textId="77777777" w:rsidR="000C0C52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1.3 Bankovní spojení partnera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3907"/>
        <w:gridCol w:w="1276"/>
        <w:gridCol w:w="2126"/>
      </w:tblGrid>
      <w:tr w:rsidR="000C0C52" w14:paraId="08BBEA85" w14:textId="77777777">
        <w:tc>
          <w:tcPr>
            <w:tcW w:w="2325" w:type="dxa"/>
          </w:tcPr>
          <w:p w14:paraId="08BBEA81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Předčíslí a číslo účtu</w:t>
            </w:r>
          </w:p>
        </w:tc>
        <w:tc>
          <w:tcPr>
            <w:tcW w:w="3907" w:type="dxa"/>
          </w:tcPr>
          <w:p w14:paraId="08BBEA82" w14:textId="5EF22736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BEA83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Kód banky</w:t>
            </w:r>
          </w:p>
        </w:tc>
        <w:tc>
          <w:tcPr>
            <w:tcW w:w="2126" w:type="dxa"/>
          </w:tcPr>
          <w:p w14:paraId="08BBEA84" w14:textId="0AD735DC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</w:tbl>
    <w:p w14:paraId="08BBEA86" w14:textId="77777777" w:rsidR="000C0C52" w:rsidRDefault="000C0C52">
      <w:pPr>
        <w:rPr>
          <w:rFonts w:cs="Calibri"/>
          <w:b/>
          <w:sz w:val="28"/>
          <w:szCs w:val="28"/>
        </w:rPr>
      </w:pPr>
    </w:p>
    <w:p w14:paraId="08BBEA87" w14:textId="77777777" w:rsidR="000C0C52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1.4 Kontaktní údaje partnera</w:t>
      </w: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701"/>
        <w:gridCol w:w="1013"/>
        <w:gridCol w:w="1434"/>
        <w:gridCol w:w="1500"/>
        <w:gridCol w:w="2006"/>
      </w:tblGrid>
      <w:tr w:rsidR="000C0C52" w14:paraId="08BBEA8C" w14:textId="77777777">
        <w:tc>
          <w:tcPr>
            <w:tcW w:w="1980" w:type="dxa"/>
          </w:tcPr>
          <w:p w14:paraId="08BBEA88" w14:textId="77777777" w:rsidR="000C0C52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Jméno a příjmení</w:t>
            </w:r>
          </w:p>
        </w:tc>
        <w:tc>
          <w:tcPr>
            <w:tcW w:w="2714" w:type="dxa"/>
            <w:gridSpan w:val="2"/>
          </w:tcPr>
          <w:p w14:paraId="08BBEA89" w14:textId="7D39FA55" w:rsidR="000C0C52" w:rsidRDefault="000C0C52">
            <w:pPr>
              <w:spacing w:line="30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8BBEA8A" w14:textId="77777777" w:rsidR="000C0C52" w:rsidRDefault="00000000">
            <w:pPr>
              <w:spacing w:line="30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Pozice</w:t>
            </w:r>
          </w:p>
        </w:tc>
        <w:tc>
          <w:tcPr>
            <w:tcW w:w="3506" w:type="dxa"/>
            <w:gridSpan w:val="2"/>
          </w:tcPr>
          <w:p w14:paraId="08BBEA8B" w14:textId="77777777" w:rsidR="000C0C52" w:rsidRDefault="00000000">
            <w:pPr>
              <w:spacing w:line="30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ředitelka</w:t>
            </w:r>
          </w:p>
        </w:tc>
      </w:tr>
      <w:tr w:rsidR="000C0C52" w14:paraId="08BBEA93" w14:textId="77777777">
        <w:tc>
          <w:tcPr>
            <w:tcW w:w="1980" w:type="dxa"/>
          </w:tcPr>
          <w:p w14:paraId="08BBEA8D" w14:textId="77777777" w:rsidR="000C0C52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1701" w:type="dxa"/>
          </w:tcPr>
          <w:p w14:paraId="08BBEA8E" w14:textId="77777777" w:rsidR="000C0C52" w:rsidRDefault="000C0C52">
            <w:pPr>
              <w:spacing w:line="30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BBEA8F" w14:textId="77777777" w:rsidR="000C0C52" w:rsidRDefault="00000000">
            <w:pPr>
              <w:spacing w:line="30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Mobil</w:t>
            </w:r>
          </w:p>
        </w:tc>
        <w:tc>
          <w:tcPr>
            <w:tcW w:w="1434" w:type="dxa"/>
          </w:tcPr>
          <w:p w14:paraId="08BBEA90" w14:textId="34457EAC" w:rsidR="000C0C52" w:rsidRDefault="000C0C52">
            <w:pPr>
              <w:spacing w:line="30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8BBEA91" w14:textId="77777777" w:rsidR="000C0C52" w:rsidRDefault="00000000">
            <w:pPr>
              <w:spacing w:line="30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Email</w:t>
            </w:r>
          </w:p>
        </w:tc>
        <w:tc>
          <w:tcPr>
            <w:tcW w:w="2006" w:type="dxa"/>
          </w:tcPr>
          <w:p w14:paraId="08BBEA92" w14:textId="6919669F" w:rsidR="000C0C52" w:rsidRDefault="000C0C52">
            <w:pPr>
              <w:spacing w:line="300" w:lineRule="auto"/>
              <w:rPr>
                <w:rFonts w:cs="Calibri"/>
                <w:sz w:val="24"/>
                <w:szCs w:val="24"/>
              </w:rPr>
            </w:pPr>
          </w:p>
        </w:tc>
      </w:tr>
      <w:tr w:rsidR="000C0C52" w14:paraId="08BBEA96" w14:textId="77777777">
        <w:tc>
          <w:tcPr>
            <w:tcW w:w="1980" w:type="dxa"/>
          </w:tcPr>
          <w:p w14:paraId="08BBEA94" w14:textId="77777777" w:rsidR="000C0C52" w:rsidRDefault="00000000">
            <w:pPr>
              <w:spacing w:line="30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Webové stránky</w:t>
            </w:r>
          </w:p>
        </w:tc>
        <w:tc>
          <w:tcPr>
            <w:tcW w:w="7654" w:type="dxa"/>
            <w:gridSpan w:val="5"/>
          </w:tcPr>
          <w:p w14:paraId="08BBEA95" w14:textId="77777777" w:rsidR="000C0C52" w:rsidRDefault="00000000">
            <w:pPr>
              <w:spacing w:line="30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ukrijm.cz, fb.com/</w:t>
            </w:r>
            <w:proofErr w:type="spellStart"/>
            <w:r>
              <w:rPr>
                <w:sz w:val="24"/>
                <w:szCs w:val="24"/>
              </w:rPr>
              <w:t>ukrijm</w:t>
            </w:r>
            <w:proofErr w:type="spellEnd"/>
          </w:p>
        </w:tc>
      </w:tr>
    </w:tbl>
    <w:p w14:paraId="08BBEA97" w14:textId="77777777" w:rsidR="000C0C52" w:rsidRDefault="000C0C52">
      <w:pPr>
        <w:spacing w:line="20" w:lineRule="auto"/>
        <w:rPr>
          <w:rFonts w:cs="Calibri"/>
        </w:rPr>
      </w:pPr>
    </w:p>
    <w:p w14:paraId="08BBEA98" w14:textId="77777777" w:rsidR="000C0C52" w:rsidRDefault="000C0C52">
      <w:pPr>
        <w:tabs>
          <w:tab w:val="left" w:pos="1755"/>
        </w:tabs>
        <w:rPr>
          <w:rFonts w:cs="Calibri"/>
        </w:rPr>
      </w:pPr>
    </w:p>
    <w:p w14:paraId="08BBEA99" w14:textId="77777777" w:rsidR="000C0C52" w:rsidRDefault="00000000">
      <w:pPr>
        <w:tabs>
          <w:tab w:val="left" w:pos="1755"/>
        </w:tabs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1.5 Statutární zástupce partnera</w:t>
      </w:r>
    </w:p>
    <w:p w14:paraId="08BBEA9A" w14:textId="77777777" w:rsidR="000C0C52" w:rsidRDefault="000C0C52">
      <w:pPr>
        <w:spacing w:line="200" w:lineRule="auto"/>
        <w:rPr>
          <w:rFonts w:cs="Calibri"/>
        </w:rPr>
      </w:pPr>
    </w:p>
    <w:tbl>
      <w:tblPr>
        <w:tblStyle w:val="a3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0"/>
        <w:gridCol w:w="2293"/>
        <w:gridCol w:w="993"/>
        <w:gridCol w:w="1417"/>
        <w:gridCol w:w="2022"/>
        <w:gridCol w:w="1238"/>
      </w:tblGrid>
      <w:tr w:rsidR="000C0C52" w14:paraId="08BBEA9F" w14:textId="77777777">
        <w:trPr>
          <w:trHeight w:val="463"/>
        </w:trPr>
        <w:tc>
          <w:tcPr>
            <w:tcW w:w="1671" w:type="dxa"/>
            <w:vAlign w:val="center"/>
          </w:tcPr>
          <w:p w14:paraId="08BBEA9B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Jméno</w:t>
            </w:r>
          </w:p>
        </w:tc>
        <w:tc>
          <w:tcPr>
            <w:tcW w:w="4703" w:type="dxa"/>
            <w:gridSpan w:val="3"/>
            <w:vAlign w:val="center"/>
          </w:tcPr>
          <w:p w14:paraId="08BBEA9C" w14:textId="7C9F9AEF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vAlign w:val="center"/>
          </w:tcPr>
          <w:p w14:paraId="08BBEA9D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Titul před jménem</w:t>
            </w:r>
          </w:p>
        </w:tc>
        <w:tc>
          <w:tcPr>
            <w:tcW w:w="1238" w:type="dxa"/>
            <w:vAlign w:val="center"/>
          </w:tcPr>
          <w:p w14:paraId="08BBEA9E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C0C52" w14:paraId="08BBEAA4" w14:textId="77777777">
        <w:trPr>
          <w:trHeight w:val="435"/>
        </w:trPr>
        <w:tc>
          <w:tcPr>
            <w:tcW w:w="1671" w:type="dxa"/>
            <w:vAlign w:val="center"/>
          </w:tcPr>
          <w:p w14:paraId="08BBEAA0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Příjmení</w:t>
            </w:r>
          </w:p>
        </w:tc>
        <w:tc>
          <w:tcPr>
            <w:tcW w:w="4703" w:type="dxa"/>
            <w:gridSpan w:val="3"/>
            <w:vAlign w:val="center"/>
          </w:tcPr>
          <w:p w14:paraId="08BBEAA1" w14:textId="4BE38E0C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vAlign w:val="center"/>
          </w:tcPr>
          <w:p w14:paraId="08BBEAA2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Titul za jménem</w:t>
            </w:r>
          </w:p>
        </w:tc>
        <w:tc>
          <w:tcPr>
            <w:tcW w:w="1238" w:type="dxa"/>
            <w:vAlign w:val="center"/>
          </w:tcPr>
          <w:p w14:paraId="08BBEAA3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C0C52" w14:paraId="08BBEAAB" w14:textId="77777777">
        <w:trPr>
          <w:trHeight w:val="598"/>
        </w:trPr>
        <w:tc>
          <w:tcPr>
            <w:tcW w:w="1671" w:type="dxa"/>
            <w:vAlign w:val="center"/>
          </w:tcPr>
          <w:p w14:paraId="08BBEAA5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Ulice</w:t>
            </w:r>
          </w:p>
        </w:tc>
        <w:tc>
          <w:tcPr>
            <w:tcW w:w="2293" w:type="dxa"/>
            <w:vAlign w:val="center"/>
          </w:tcPr>
          <w:p w14:paraId="08BBEAA6" w14:textId="791C59B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BBEAA7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Č.p.</w:t>
            </w:r>
          </w:p>
        </w:tc>
        <w:tc>
          <w:tcPr>
            <w:tcW w:w="1417" w:type="dxa"/>
            <w:vAlign w:val="center"/>
          </w:tcPr>
          <w:p w14:paraId="08BBEAA8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8BBEAA9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Č.o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238" w:type="dxa"/>
            <w:vAlign w:val="center"/>
          </w:tcPr>
          <w:p w14:paraId="08BBEAAA" w14:textId="4FAAB22C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C0C52" w14:paraId="08BBEAB2" w14:textId="77777777">
        <w:trPr>
          <w:trHeight w:val="435"/>
        </w:trPr>
        <w:tc>
          <w:tcPr>
            <w:tcW w:w="1671" w:type="dxa"/>
            <w:vAlign w:val="center"/>
          </w:tcPr>
          <w:p w14:paraId="08BBEAAC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Obec</w:t>
            </w:r>
          </w:p>
        </w:tc>
        <w:tc>
          <w:tcPr>
            <w:tcW w:w="2293" w:type="dxa"/>
            <w:vAlign w:val="center"/>
          </w:tcPr>
          <w:p w14:paraId="08BBEAAD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Brno </w:t>
            </w:r>
          </w:p>
        </w:tc>
        <w:tc>
          <w:tcPr>
            <w:tcW w:w="993" w:type="dxa"/>
            <w:vAlign w:val="center"/>
          </w:tcPr>
          <w:p w14:paraId="08BBEAAE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BBEAAF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8BBEAB0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PSČ</w:t>
            </w:r>
          </w:p>
        </w:tc>
        <w:tc>
          <w:tcPr>
            <w:tcW w:w="1238" w:type="dxa"/>
            <w:vAlign w:val="center"/>
          </w:tcPr>
          <w:p w14:paraId="08BBEAB1" w14:textId="0DEFAE63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C0C52" w14:paraId="08BBEAB9" w14:textId="77777777">
        <w:trPr>
          <w:trHeight w:val="463"/>
        </w:trPr>
        <w:tc>
          <w:tcPr>
            <w:tcW w:w="1671" w:type="dxa"/>
            <w:vAlign w:val="center"/>
          </w:tcPr>
          <w:p w14:paraId="08BBEAB3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2293" w:type="dxa"/>
            <w:vAlign w:val="center"/>
          </w:tcPr>
          <w:p w14:paraId="08BBEAB4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BBEAB5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Mobil</w:t>
            </w:r>
          </w:p>
        </w:tc>
        <w:tc>
          <w:tcPr>
            <w:tcW w:w="1417" w:type="dxa"/>
            <w:vAlign w:val="center"/>
          </w:tcPr>
          <w:p w14:paraId="08BBEAB6" w14:textId="3F01C270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8BBEAB7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1238" w:type="dxa"/>
            <w:vAlign w:val="center"/>
          </w:tcPr>
          <w:p w14:paraId="08BBEAB8" w14:textId="418D1E8D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C0C52" w14:paraId="08BBEAC0" w14:textId="77777777">
        <w:trPr>
          <w:trHeight w:val="435"/>
        </w:trPr>
        <w:tc>
          <w:tcPr>
            <w:tcW w:w="1671" w:type="dxa"/>
            <w:vAlign w:val="center"/>
          </w:tcPr>
          <w:p w14:paraId="08BBEABA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Funkce</w:t>
            </w:r>
          </w:p>
        </w:tc>
        <w:tc>
          <w:tcPr>
            <w:tcW w:w="2293" w:type="dxa"/>
            <w:vAlign w:val="center"/>
          </w:tcPr>
          <w:p w14:paraId="08BBEABB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předsedkyně</w:t>
            </w:r>
          </w:p>
        </w:tc>
        <w:tc>
          <w:tcPr>
            <w:tcW w:w="993" w:type="dxa"/>
            <w:vAlign w:val="center"/>
          </w:tcPr>
          <w:p w14:paraId="08BBEABC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BBEABD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8BBEABE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08BBEABF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</w:tbl>
    <w:p w14:paraId="08BBEAC1" w14:textId="77777777" w:rsidR="000C0C52" w:rsidRDefault="000C0C52">
      <w:pPr>
        <w:spacing w:line="200" w:lineRule="auto"/>
        <w:rPr>
          <w:rFonts w:cs="Calibri"/>
        </w:rPr>
      </w:pPr>
    </w:p>
    <w:p w14:paraId="08BBEAC2" w14:textId="77777777" w:rsidR="000C0C52" w:rsidRDefault="00000000">
      <w:pPr>
        <w:spacing w:after="160" w:line="259" w:lineRule="auto"/>
        <w:rPr>
          <w:rFonts w:cs="Calibri"/>
          <w:b/>
          <w:sz w:val="24"/>
          <w:szCs w:val="24"/>
        </w:rPr>
      </w:pPr>
      <w:bookmarkStart w:id="0" w:name="bookmark=id.gjdgxs" w:colFirst="0" w:colLast="0"/>
      <w:bookmarkEnd w:id="0"/>
      <w:r>
        <w:br w:type="page"/>
      </w:r>
    </w:p>
    <w:p w14:paraId="08BBEAC3" w14:textId="77777777" w:rsidR="000C0C52" w:rsidRDefault="000C0C52">
      <w:pPr>
        <w:rPr>
          <w:rFonts w:cs="Calibri"/>
          <w:b/>
          <w:sz w:val="24"/>
          <w:szCs w:val="24"/>
        </w:rPr>
      </w:pPr>
    </w:p>
    <w:p w14:paraId="08BBEAC4" w14:textId="77777777" w:rsidR="000C0C52" w:rsidRDefault="000C0C52">
      <w:pPr>
        <w:rPr>
          <w:rFonts w:cs="Calibri"/>
          <w:b/>
          <w:sz w:val="24"/>
          <w:szCs w:val="24"/>
        </w:rPr>
      </w:pPr>
    </w:p>
    <w:p w14:paraId="08BBEAC5" w14:textId="77777777" w:rsidR="000C0C52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1.6 Adresa pro zasílání pošty</w:t>
      </w:r>
    </w:p>
    <w:p w14:paraId="08BBEAC6" w14:textId="77777777" w:rsidR="000C0C52" w:rsidRDefault="000C0C52">
      <w:pPr>
        <w:spacing w:line="200" w:lineRule="auto"/>
        <w:rPr>
          <w:rFonts w:cs="Calibri"/>
        </w:rPr>
      </w:pPr>
    </w:p>
    <w:tbl>
      <w:tblPr>
        <w:tblStyle w:val="a4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0"/>
        <w:gridCol w:w="2293"/>
        <w:gridCol w:w="993"/>
        <w:gridCol w:w="1576"/>
        <w:gridCol w:w="1863"/>
        <w:gridCol w:w="1238"/>
      </w:tblGrid>
      <w:tr w:rsidR="000C0C52" w14:paraId="08BBEACD" w14:textId="77777777">
        <w:trPr>
          <w:trHeight w:val="463"/>
        </w:trPr>
        <w:tc>
          <w:tcPr>
            <w:tcW w:w="1671" w:type="dxa"/>
            <w:vAlign w:val="center"/>
          </w:tcPr>
          <w:p w14:paraId="08BBEAC7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Ulice</w:t>
            </w:r>
          </w:p>
        </w:tc>
        <w:tc>
          <w:tcPr>
            <w:tcW w:w="2293" w:type="dxa"/>
            <w:vAlign w:val="center"/>
          </w:tcPr>
          <w:p w14:paraId="08BBEAC8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Moravské nám.</w:t>
            </w:r>
          </w:p>
        </w:tc>
        <w:tc>
          <w:tcPr>
            <w:tcW w:w="993" w:type="dxa"/>
            <w:vAlign w:val="center"/>
          </w:tcPr>
          <w:p w14:paraId="08BBEAC9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Č.p.</w:t>
            </w:r>
          </w:p>
        </w:tc>
        <w:tc>
          <w:tcPr>
            <w:tcW w:w="1576" w:type="dxa"/>
            <w:vAlign w:val="center"/>
          </w:tcPr>
          <w:p w14:paraId="08BBEACA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08BBEACB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Č.o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238" w:type="dxa"/>
            <w:vAlign w:val="center"/>
          </w:tcPr>
          <w:p w14:paraId="08BBEACC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C0C52" w14:paraId="08BBEAD2" w14:textId="77777777">
        <w:trPr>
          <w:trHeight w:val="435"/>
        </w:trPr>
        <w:tc>
          <w:tcPr>
            <w:tcW w:w="1671" w:type="dxa"/>
            <w:vAlign w:val="center"/>
          </w:tcPr>
          <w:p w14:paraId="08BBEACE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Obec</w:t>
            </w:r>
          </w:p>
        </w:tc>
        <w:tc>
          <w:tcPr>
            <w:tcW w:w="4862" w:type="dxa"/>
            <w:gridSpan w:val="3"/>
            <w:vAlign w:val="center"/>
          </w:tcPr>
          <w:p w14:paraId="08BBEACF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Brno </w:t>
            </w:r>
          </w:p>
        </w:tc>
        <w:tc>
          <w:tcPr>
            <w:tcW w:w="1863" w:type="dxa"/>
            <w:vAlign w:val="center"/>
          </w:tcPr>
          <w:p w14:paraId="08BBEAD0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PSČ</w:t>
            </w:r>
          </w:p>
        </w:tc>
        <w:tc>
          <w:tcPr>
            <w:tcW w:w="1238" w:type="dxa"/>
            <w:vAlign w:val="center"/>
          </w:tcPr>
          <w:p w14:paraId="08BBEAD1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60200 </w:t>
            </w:r>
          </w:p>
        </w:tc>
      </w:tr>
      <w:tr w:rsidR="000C0C52" w14:paraId="08BBEAD7" w14:textId="77777777">
        <w:trPr>
          <w:trHeight w:val="435"/>
        </w:trPr>
        <w:tc>
          <w:tcPr>
            <w:tcW w:w="1671" w:type="dxa"/>
            <w:vAlign w:val="center"/>
          </w:tcPr>
          <w:p w14:paraId="08BBEAD3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Městská část</w:t>
            </w:r>
          </w:p>
        </w:tc>
        <w:tc>
          <w:tcPr>
            <w:tcW w:w="3286" w:type="dxa"/>
            <w:gridSpan w:val="2"/>
            <w:vAlign w:val="center"/>
          </w:tcPr>
          <w:p w14:paraId="08BBEAD4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08BBEAD5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Část obce</w:t>
            </w:r>
          </w:p>
        </w:tc>
        <w:tc>
          <w:tcPr>
            <w:tcW w:w="3101" w:type="dxa"/>
            <w:gridSpan w:val="2"/>
            <w:vAlign w:val="center"/>
          </w:tcPr>
          <w:p w14:paraId="08BBEAD6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</w:tbl>
    <w:p w14:paraId="08BBEAD8" w14:textId="77777777" w:rsidR="000C0C52" w:rsidRDefault="000C0C52">
      <w:pPr>
        <w:spacing w:line="200" w:lineRule="auto"/>
        <w:rPr>
          <w:rFonts w:cs="Calibri"/>
        </w:rPr>
      </w:pPr>
    </w:p>
    <w:p w14:paraId="08BBEAD9" w14:textId="77777777" w:rsidR="000C0C52" w:rsidRDefault="000C0C52">
      <w:pPr>
        <w:spacing w:line="200" w:lineRule="auto"/>
        <w:rPr>
          <w:rFonts w:cs="Calibri"/>
        </w:rPr>
      </w:pPr>
    </w:p>
    <w:p w14:paraId="08BBEADA" w14:textId="77777777" w:rsidR="000C0C52" w:rsidRDefault="000C0C52">
      <w:pPr>
        <w:spacing w:line="200" w:lineRule="auto"/>
        <w:rPr>
          <w:rFonts w:cs="Calibri"/>
        </w:rPr>
      </w:pPr>
    </w:p>
    <w:p w14:paraId="08BBEADB" w14:textId="77777777" w:rsidR="000C0C52" w:rsidRDefault="0000000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1.7 Stručná charakteristika partnera</w:t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0C0C52" w14:paraId="08BBEADE" w14:textId="77777777">
        <w:tc>
          <w:tcPr>
            <w:tcW w:w="9634" w:type="dxa"/>
          </w:tcPr>
          <w:p w14:paraId="08BBEADC" w14:textId="77777777" w:rsidR="000C0C52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Stručná charakteristika partnera</w:t>
            </w:r>
          </w:p>
          <w:p w14:paraId="08BBEADD" w14:textId="77777777" w:rsidR="000C0C52" w:rsidRDefault="000C0C52">
            <w:pPr>
              <w:rPr>
                <w:rFonts w:cs="Calibri"/>
                <w:b/>
                <w:sz w:val="28"/>
                <w:szCs w:val="28"/>
              </w:rPr>
            </w:pPr>
          </w:p>
        </w:tc>
      </w:tr>
      <w:tr w:rsidR="000C0C52" w14:paraId="08BBEAEB" w14:textId="77777777">
        <w:tc>
          <w:tcPr>
            <w:tcW w:w="9634" w:type="dxa"/>
          </w:tcPr>
          <w:p w14:paraId="08BBEADF" w14:textId="77777777" w:rsidR="000C0C52" w:rsidRDefault="00000000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Situace na Ukrajině je napjatá a válka přináší mnoho lidem obrovské utrpení. Ukrajinská iniciativa jižní Moravy se však rozhodla nezůstat jen přihlížet a začala aktivně pomáhat uprchlíkům z této země. Za podpory Magistrátu města Brna, v březnu 2022 organizace otevřela Ukrajinské centrum v Brně, které je zatím jediným svého druhu v České republice.</w:t>
            </w:r>
          </w:p>
          <w:p w14:paraId="08BBEAE0" w14:textId="77777777" w:rsidR="000C0C52" w:rsidRDefault="00000000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before="300" w:after="3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Centrum nabízí široké spektrum služeb. Kromě odborné psychologické podpory, sociálního poradenství a kurzů českého jazyka, organizace také pořádá různé přednášky, workshopy a dětské volnočasové aktivity. Uprchlíci se zde mohou setkat se zástupci státních i nestátních institucí a organizací, kteří jim poskytnou další užitečné informace. Téměř všechny služby v centru jsou poskytovány uprchlíkům zdarma. </w:t>
            </w:r>
          </w:p>
          <w:p w14:paraId="08BBEAE1" w14:textId="77777777" w:rsidR="000C0C52" w:rsidRDefault="00000000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before="300" w:after="3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Aby se centrum stalo skutečně efektivním a úspěšným, spolupracuje s mnoha brněnskými neziskovými organizacemi, jako jsou Ratolest, Vesna vzdělávací ženský spolek v Brně,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Centrum a Centrum pro cizince JMK, nebo Česká centra. Tato spolupráce přináší mnoho výhod, včetně širšího rozsahu služeb pro uprchlíky, lepšího využití zdrojů a dosažení společných cílů. Společně tvoří sítě, které dokážou poskytnout kompletní a kvalitní podporu pro uprchlíky a přispět k jejich úspěšné integraci do společnosti. Je to vynikající příklad toho, jak mohou organizace spolupracovat, aby dosáhly většího užitku pro komunitu a naplnily své poslání pomoci těm, kteří ji potřebují nejvíce. Ukrajinská iniciativa nejen poskytuje pomoc, ale také podporuje propojení komunit a tvoří tak nové vztahy, které přinášejí pozitivní změny ve společnosti.</w:t>
            </w:r>
          </w:p>
          <w:p w14:paraId="08BBEAE2" w14:textId="77777777" w:rsidR="000C0C52" w:rsidRDefault="00000000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before="300" w:after="300" w:line="276" w:lineRule="auto"/>
              <w:jc w:val="both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STATISTIKY UKRAJINSKÉHO CENTRA </w:t>
            </w:r>
          </w:p>
          <w:p w14:paraId="08BBEAE3" w14:textId="77777777" w:rsidR="000C0C52" w:rsidRDefault="00000000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before="3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Měsíčně Ukrajinské centrum má cca 2500 návštěvníků (neunikátní klienti)</w:t>
            </w:r>
          </w:p>
          <w:p w14:paraId="08BBEAE4" w14:textId="77777777" w:rsidR="000C0C52" w:rsidRDefault="00000000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 studentů absolvovalo kurzy češtiny, poskytované  v Centru od března 2022 do května 2023</w:t>
            </w:r>
          </w:p>
          <w:p w14:paraId="08BBEAE5" w14:textId="77777777" w:rsidR="000C0C52" w:rsidRDefault="00000000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Centrum poskytuje přibližně 160 hodin psychologických konzultací měsíčně</w:t>
            </w:r>
          </w:p>
          <w:p w14:paraId="08BBEAE6" w14:textId="77777777" w:rsidR="000C0C52" w:rsidRDefault="00000000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Přibližně 30 hodin logopedických terapií pro děti měsíčně</w:t>
            </w:r>
          </w:p>
          <w:p w14:paraId="08BBEAE7" w14:textId="77777777" w:rsidR="000C0C52" w:rsidRDefault="00000000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stálých dílen pro děti (5-10 dětí každá)</w:t>
            </w:r>
          </w:p>
          <w:p w14:paraId="08BBEAE8" w14:textId="77777777" w:rsidR="000C0C52" w:rsidRDefault="00000000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621 unikátních klientů obdrželo humanitární pomoc (vyhledávání ubytování, plnění žádostí o materiální pomoc, tlumočení, doprovázení na úřady a k lékařským službám)</w:t>
            </w:r>
          </w:p>
          <w:p w14:paraId="08BBEAE9" w14:textId="77777777" w:rsidR="000C0C52" w:rsidRDefault="0000000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března 2022 se v Brně narodilo na 140 ukrajinských dětí, jejichž matky jsou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držítelkami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dočasné ochrany, a více než 100 z nich navštívily podpůrné skupiny nebo telefonovala na horkou linku určenou pro pomoc těhotných. Služby  byly realizované v kooperaci s Českou asociací důl. </w:t>
            </w:r>
          </w:p>
          <w:p w14:paraId="08BBEAEA" w14:textId="77777777" w:rsidR="000C0C52" w:rsidRDefault="00000000">
            <w:pPr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Iniciativa provozuje FB skupinu, čítající cca 32 tis. osob. On-line angažovanost se během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mínulého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roku několikanásobně zvýšila.</w:t>
            </w:r>
          </w:p>
        </w:tc>
      </w:tr>
    </w:tbl>
    <w:p w14:paraId="08BBEAEC" w14:textId="77777777" w:rsidR="000C0C52" w:rsidRDefault="000C0C52">
      <w:pPr>
        <w:tabs>
          <w:tab w:val="left" w:pos="4140"/>
        </w:tabs>
        <w:ind w:left="3440"/>
        <w:jc w:val="both"/>
        <w:rPr>
          <w:rFonts w:cs="Calibri"/>
          <w:b/>
          <w:sz w:val="28"/>
          <w:szCs w:val="28"/>
        </w:rPr>
      </w:pPr>
    </w:p>
    <w:p w14:paraId="08BBEAED" w14:textId="77777777" w:rsidR="000C0C52" w:rsidRDefault="00000000">
      <w:pPr>
        <w:tabs>
          <w:tab w:val="left" w:pos="4140"/>
        </w:tabs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2. ÚDAJE O PROJEKTU</w:t>
      </w:r>
    </w:p>
    <w:p w14:paraId="08BBEAEE" w14:textId="77777777" w:rsidR="000C0C52" w:rsidRDefault="000C0C52">
      <w:pPr>
        <w:tabs>
          <w:tab w:val="left" w:pos="4140"/>
        </w:tabs>
        <w:jc w:val="both"/>
        <w:rPr>
          <w:rFonts w:cs="Calibri"/>
          <w:b/>
          <w:sz w:val="24"/>
          <w:szCs w:val="24"/>
        </w:rPr>
      </w:pPr>
    </w:p>
    <w:p w14:paraId="08BBEAEF" w14:textId="77777777" w:rsidR="000C0C52" w:rsidRDefault="00000000">
      <w:pPr>
        <w:tabs>
          <w:tab w:val="left" w:pos="4140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2.1 Popis projektu</w:t>
      </w:r>
    </w:p>
    <w:tbl>
      <w:tblPr>
        <w:tblStyle w:val="a6"/>
        <w:tblW w:w="96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4"/>
      </w:tblGrid>
      <w:tr w:rsidR="000C0C52" w14:paraId="08BBEAF1" w14:textId="77777777">
        <w:trPr>
          <w:trHeight w:val="437"/>
        </w:trPr>
        <w:tc>
          <w:tcPr>
            <w:tcW w:w="9664" w:type="dxa"/>
          </w:tcPr>
          <w:p w14:paraId="08BBEAF0" w14:textId="77777777" w:rsidR="000C0C52" w:rsidRDefault="00000000">
            <w:pPr>
              <w:tabs>
                <w:tab w:val="left" w:pos="4140"/>
              </w:tabs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Stručný popis cíle projektu, účelu a aktivit projektu (max. 4 000 znaků vč. mezer)</w:t>
            </w:r>
          </w:p>
        </w:tc>
      </w:tr>
      <w:tr w:rsidR="000C0C52" w14:paraId="08BBEB04" w14:textId="77777777">
        <w:trPr>
          <w:trHeight w:val="2214"/>
        </w:trPr>
        <w:tc>
          <w:tcPr>
            <w:tcW w:w="9664" w:type="dxa"/>
          </w:tcPr>
          <w:p w14:paraId="08BBEAF2" w14:textId="77777777" w:rsidR="000C0C52" w:rsidRDefault="00000000">
            <w:pPr>
              <w:numPr>
                <w:ilvl w:val="0"/>
                <w:numId w:val="4"/>
              </w:numPr>
              <w:spacing w:before="240" w:after="240" w:line="276" w:lineRule="auto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KOMPLEXNÍ PODPORA PRO RODIČE DĚTI, V PRVNÍ ŘÁDĚ ADOLESCENTŮ </w:t>
            </w:r>
          </w:p>
          <w:p w14:paraId="08BBEAF3" w14:textId="77777777" w:rsidR="000C0C52" w:rsidRDefault="00000000">
            <w:pPr>
              <w:spacing w:before="240" w:after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Projekt podpory ukrajinských rodičů, kteří se ocitli v JMK, jejichž děti různého věku (převážně dospívající) mají emoční problémy, sebepoškozující chování, panické úzkosti, poruchy stravovacího chování, prchají z domova, nechodí do školy, nemohou najít společnou řeč s rodiči a/nebo ostatními dětmi, dospívající s tendencí k herní závislosti, dospívající, kteří jsou pod psychiatrickou péčí a/nebo užívají léky a potřebují psychologickou podporu. Rodiče, kteří se již obrátili nebo plánují obrátit na sociální služby - tento projekt by měl být právě pro ně psychologickou podporou. Projekt má za cíl zlepšit psychologický stav rodičů a dětí, harmonizovat vztahy mezi dětmi a rodiči, předcházet opakování uvedených poruch a potíží. Velká část projektu je věnována objasňování, kam a kdy je vhodné se obrátit pro pomoc (psychiatři, sociální služby apod.), a tomu aby rodiče mohli včas rozpoznat signály problému a vyhledat adekvátní pomoc.</w:t>
            </w:r>
          </w:p>
          <w:p w14:paraId="08BBEAF4" w14:textId="77777777" w:rsidR="000C0C52" w:rsidRDefault="00000000">
            <w:pPr>
              <w:spacing w:before="240" w:after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Pro děti a dospívajících, kteří mají potíže a potřebují podporu, hraje velkou roli prostředí a především harmonické vztahy s rodiči; bez změny prostředí jsou změny stavů u samotných dětí velmi nepravděpodobné. Je proto důležité pracovat s rodiči, aby chápali, co se děje s jejich potomky a jak je podporovat. Psychologická práce je především zaměřena na to, aby rodiče viděli a slyšeli své děti, rozuměli tomu, co se s nimi děje, a věděli, co mají dělat v konkrétních situacích. Stejně tak, aby sami rodiče měli více obnovujících a regenerujících psychiku zdrojů. </w:t>
            </w:r>
          </w:p>
          <w:p w14:paraId="08BBEAF5" w14:textId="77777777" w:rsidR="000C0C52" w:rsidRDefault="00000000">
            <w:pPr>
              <w:spacing w:before="240" w:after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Popis jednotlivých činností: </w:t>
            </w:r>
          </w:p>
          <w:p w14:paraId="08BBEAF6" w14:textId="77777777" w:rsidR="000C0C52" w:rsidRDefault="00000000">
            <w:pPr>
              <w:numPr>
                <w:ilvl w:val="0"/>
                <w:numId w:val="5"/>
              </w:numPr>
              <w:spacing w:before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Přednášky -  </w:t>
            </w:r>
            <w:r>
              <w:rPr>
                <w:rFonts w:ascii="Arial" w:eastAsia="Arial" w:hAnsi="Arial"/>
                <w:sz w:val="22"/>
                <w:szCs w:val="22"/>
              </w:rPr>
              <w:t>zaměřený na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rodiče adolescentů od externích lektorů-odborníků na danou problematiku (dospělý psychiatr (1 přednáška), dětský a adolescentní psychiatr (1 přednáška), dva dětské a adolescentní psychoterapeuti (2 přednášky)). Přednášky jsou otevřené (může přijít kdokoliv), plánuje se přímý online přenos s možnosti zpětného zhlédnutí. Témata přednášek zahrnují způsoby, jak postřehnout obtíže u dětí a jak je možné dítě podpořit, kdy a ke kterým specialistům se obrátit pro pomoc, jak zlepšit vztahy a komunikaci apod. Následně každá přednáška bude zpracovaná i v textovém </w:t>
            </w:r>
            <w:r>
              <w:rPr>
                <w:rFonts w:ascii="Arial" w:eastAsia="Arial" w:hAnsi="Arial"/>
                <w:sz w:val="22"/>
                <w:szCs w:val="22"/>
              </w:rPr>
              <w:lastRenderedPageBreak/>
              <w:t xml:space="preserve">formátu, který bude publikovaný formou článků na webu a </w:t>
            </w:r>
            <w:proofErr w:type="spellStart"/>
            <w:r>
              <w:rPr>
                <w:rFonts w:ascii="Arial" w:eastAsia="Arial" w:hAnsi="Arial"/>
                <w:sz w:val="22"/>
                <w:szCs w:val="22"/>
              </w:rPr>
              <w:t>soc.sítích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centra a bude dostupný pro partnery organizace pro potřeby jejich klientů. </w:t>
            </w:r>
          </w:p>
          <w:p w14:paraId="08BBEAF7" w14:textId="77777777" w:rsidR="000C0C52" w:rsidRDefault="00000000">
            <w:pPr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Podpůrné skupiny. </w:t>
            </w:r>
            <w:r>
              <w:rPr>
                <w:rFonts w:ascii="Arial" w:eastAsia="Arial" w:hAnsi="Arial"/>
                <w:sz w:val="22"/>
                <w:szCs w:val="22"/>
              </w:rPr>
              <w:t>Celkově plánujeme otevřít 4 podpůrné skupiny. Jedna skupina pro rodiče mladších dětí a tři skupiny pro rodiče adolescentů. V každé skupině bude maximálně 10 lidí. Setkání skupin probíhá 1x za 2 týdny, čili 2 setkání/</w:t>
            </w:r>
            <w:proofErr w:type="spellStart"/>
            <w:r>
              <w:rPr>
                <w:rFonts w:ascii="Arial" w:eastAsia="Arial" w:hAnsi="Arial"/>
                <w:sz w:val="22"/>
                <w:szCs w:val="22"/>
              </w:rPr>
              <w:t>měs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pro každou skupinu. První tři setkání skupiny jsou otevřeného formátu, kam může přijít kdokoliv, po ustálení členů budou skupiny uzavřené a to na půl roku poté dojde k obnovení členů. Předpokládaná délka jednoho setkání skupiny - 3 hodiny, z toho 2 hodiny práce se skupinou a 1 hodinu diskuse a reakce vedoucích, plus 2 hodiny přípravy. Každá skupina má 2 vedoucí odborníky. </w:t>
            </w:r>
          </w:p>
          <w:p w14:paraId="08BBEAF8" w14:textId="77777777" w:rsidR="000C0C52" w:rsidRDefault="00000000">
            <w:pPr>
              <w:numPr>
                <w:ilvl w:val="0"/>
                <w:numId w:val="5"/>
              </w:numPr>
              <w:spacing w:after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Sezení ve formátu Q&amp;A / přednášky / cvičení během cyklu (doplnění k podpůrným skupinám).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Frekvence - jednou za 3 měsíce (což znamená 2krát během jednoho cyklu, celkem 4krát během ročního projektu) s vedoucími skupin; na přání a při potřebě je možné zapojit externí lektory. Cílová skupina - účastníci všech podpůrných skupin dohromady. Formát bude zvoleny dle aktuálních potřeb účastníků skupin. Délka trvání jednoho sezení je 2 hodiny ( minimálně 2 hodiny přípravy na každé setkání).</w:t>
            </w:r>
          </w:p>
          <w:p w14:paraId="08BBEAF9" w14:textId="77777777" w:rsidR="000C0C52" w:rsidRDefault="000C0C52">
            <w:pPr>
              <w:spacing w:before="240" w:after="240" w:line="276" w:lineRule="auto"/>
              <w:rPr>
                <w:rFonts w:ascii="Arial" w:eastAsia="Arial" w:hAnsi="Arial"/>
                <w:sz w:val="22"/>
                <w:szCs w:val="22"/>
              </w:rPr>
            </w:pPr>
          </w:p>
          <w:p w14:paraId="08BBEAFA" w14:textId="77777777" w:rsidR="000C0C52" w:rsidRDefault="00000000">
            <w:pPr>
              <w:spacing w:before="240" w:after="240" w:line="276" w:lineRule="auto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2. LOGOPEDCKÁ PEČE PRO DĚTÍ UKRJINSKÝCH UPRCHLIKŮ </w:t>
            </w:r>
          </w:p>
          <w:p w14:paraId="08BBEAFB" w14:textId="77777777" w:rsidR="000C0C52" w:rsidRDefault="00000000">
            <w:pPr>
              <w:spacing w:before="240" w:after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Tato část projektu má za cíl poskytnout kvalitní logopedickou péči dětem, které se ocitly v nepříznivé situaci kvůli válce na Ukrajině. Projekt se zaměřuje na zabezpečení práce dvou logopedů, kteří budou moci pracovat s dětmi v jejich mateřském jazyce, tedy ukrajinštině. Tato skutečnost je zásadní pro efektivní a účinnou komunikaci a terapeutický proces. Každý logoped bude pracovat 15 hodin měsíčně, což umožní poskytnout konzistentní a individuální péči, která je nezbytná pro zlepšení jazykových schopností a celkového zdraví dětí. Dostupnost logopedické konzultace je zajištěná za pomocí před zápisu. </w:t>
            </w:r>
          </w:p>
          <w:p w14:paraId="08BBEAFC" w14:textId="77777777" w:rsidR="000C0C52" w:rsidRDefault="00000000">
            <w:pPr>
              <w:spacing w:before="240" w:after="240" w:line="276" w:lineRule="auto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Poskytnutá podpora umožní dosáhnout následujících cílů:</w:t>
            </w:r>
          </w:p>
          <w:p w14:paraId="08BBEAFD" w14:textId="77777777" w:rsidR="000C0C52" w:rsidRDefault="00000000">
            <w:pPr>
              <w:numPr>
                <w:ilvl w:val="0"/>
                <w:numId w:val="1"/>
              </w:numPr>
              <w:spacing w:before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Přispění k mezigeneračnímu porozumění mezi rodiči a děti </w:t>
            </w:r>
          </w:p>
          <w:p w14:paraId="08BBEAFE" w14:textId="77777777" w:rsidR="000C0C52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Vytvoření příznivého a </w:t>
            </w:r>
            <w:proofErr w:type="spellStart"/>
            <w:r>
              <w:rPr>
                <w:rFonts w:ascii="Arial" w:eastAsia="Arial" w:hAnsi="Arial"/>
                <w:sz w:val="22"/>
                <w:szCs w:val="22"/>
              </w:rPr>
              <w:t>chapájícího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  <w:szCs w:val="22"/>
              </w:rPr>
              <w:t>prostředi</w:t>
            </w:r>
            <w:proofErr w:type="spellEnd"/>
            <w:r>
              <w:rPr>
                <w:rFonts w:ascii="Arial" w:eastAsia="Arial" w:hAnsi="Arial"/>
                <w:sz w:val="22"/>
                <w:szCs w:val="22"/>
              </w:rPr>
              <w:t xml:space="preserve"> pro dětí a adolescenty skrz práci s rodiči </w:t>
            </w:r>
          </w:p>
          <w:p w14:paraId="08BBEAFF" w14:textId="77777777" w:rsidR="000C0C52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Tvorba a šíření materiálů, které budou dostupné i pro jiné uprchlíky, kteří nejsou klienty centra a které zažívají podobné problémy  </w:t>
            </w:r>
          </w:p>
          <w:p w14:paraId="08BBEB00" w14:textId="77777777" w:rsidR="000C0C52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Poskytnutí kvalitní logopedické péče pro děti ukrajinských uprchlíků v mateřském jazyce.</w:t>
            </w:r>
          </w:p>
          <w:p w14:paraId="08BBEB01" w14:textId="77777777" w:rsidR="000C0C52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Zlepšení jazykových schopností a komunikace u dětí, které se ocitly ve stresujícím prostředí kvůli konfliktům a uprchlictví.</w:t>
            </w:r>
          </w:p>
          <w:p w14:paraId="08BBEB02" w14:textId="77777777" w:rsidR="000C0C52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Podpora psychosociálního zdraví a adaptace dětí v novém prostředí.</w:t>
            </w:r>
          </w:p>
          <w:p w14:paraId="08BBEB03" w14:textId="77777777" w:rsidR="000C0C52" w:rsidRDefault="00000000">
            <w:pPr>
              <w:numPr>
                <w:ilvl w:val="0"/>
                <w:numId w:val="1"/>
              </w:numPr>
              <w:spacing w:after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Vytvoření prostředí, kde budou děti cítit bezpečí a péči, což pozitivně ovlivní jejich celkový vývoj.</w:t>
            </w:r>
          </w:p>
        </w:tc>
      </w:tr>
    </w:tbl>
    <w:p w14:paraId="08BBEB05" w14:textId="77777777" w:rsidR="000C0C52" w:rsidRDefault="000C0C52">
      <w:pPr>
        <w:spacing w:line="200" w:lineRule="auto"/>
        <w:rPr>
          <w:rFonts w:cs="Calibri"/>
        </w:rPr>
      </w:pPr>
    </w:p>
    <w:p w14:paraId="08BBEB06" w14:textId="77777777" w:rsidR="000C0C52" w:rsidRDefault="000C0C52">
      <w:pPr>
        <w:spacing w:line="200" w:lineRule="auto"/>
        <w:rPr>
          <w:rFonts w:cs="Calibri"/>
        </w:rPr>
      </w:pPr>
    </w:p>
    <w:p w14:paraId="08BBEB07" w14:textId="77777777" w:rsidR="000C0C52" w:rsidRDefault="00000000">
      <w:p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2.2 Časový harmonogram projektu</w:t>
      </w:r>
    </w:p>
    <w:p w14:paraId="08BBEB08" w14:textId="77777777" w:rsidR="000C0C52" w:rsidRDefault="000C0C52">
      <w:pPr>
        <w:spacing w:line="200" w:lineRule="auto"/>
        <w:rPr>
          <w:rFonts w:cs="Calibri"/>
          <w:sz w:val="24"/>
          <w:szCs w:val="24"/>
        </w:rPr>
      </w:pP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551"/>
      </w:tblGrid>
      <w:tr w:rsidR="000C0C52" w14:paraId="08BBEB0B" w14:textId="77777777">
        <w:tc>
          <w:tcPr>
            <w:tcW w:w="7083" w:type="dxa"/>
          </w:tcPr>
          <w:p w14:paraId="08BBEB09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Aktivita</w:t>
            </w:r>
          </w:p>
        </w:tc>
        <w:tc>
          <w:tcPr>
            <w:tcW w:w="2551" w:type="dxa"/>
          </w:tcPr>
          <w:p w14:paraId="08BBEB0A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Období realizace</w:t>
            </w:r>
          </w:p>
        </w:tc>
      </w:tr>
      <w:tr w:rsidR="000C0C52" w14:paraId="08BBEB0E" w14:textId="77777777">
        <w:trPr>
          <w:trHeight w:val="425"/>
        </w:trPr>
        <w:tc>
          <w:tcPr>
            <w:tcW w:w="7083" w:type="dxa"/>
          </w:tcPr>
          <w:p w14:paraId="08BBEB0C" w14:textId="77777777" w:rsidR="000C0C52" w:rsidRDefault="00000000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ascii="Arial" w:eastAsia="Arial" w:hAnsi="Arial"/>
                <w:sz w:val="22"/>
                <w:szCs w:val="22"/>
              </w:rPr>
              <w:lastRenderedPageBreak/>
              <w:t>Přednášky</w:t>
            </w:r>
          </w:p>
        </w:tc>
        <w:tc>
          <w:tcPr>
            <w:tcW w:w="2551" w:type="dxa"/>
          </w:tcPr>
          <w:p w14:paraId="08BBEB0D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12.2023-12.2024</w:t>
            </w:r>
          </w:p>
        </w:tc>
      </w:tr>
      <w:tr w:rsidR="000C0C52" w14:paraId="08BBEB11" w14:textId="77777777">
        <w:trPr>
          <w:trHeight w:val="185"/>
        </w:trPr>
        <w:tc>
          <w:tcPr>
            <w:tcW w:w="7083" w:type="dxa"/>
          </w:tcPr>
          <w:p w14:paraId="08BBEB0F" w14:textId="77777777" w:rsidR="000C0C52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Podpůrné skupiny</w:t>
            </w:r>
          </w:p>
        </w:tc>
        <w:tc>
          <w:tcPr>
            <w:tcW w:w="2551" w:type="dxa"/>
          </w:tcPr>
          <w:p w14:paraId="08BBEB10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11.2023-12.2024</w:t>
            </w:r>
          </w:p>
        </w:tc>
      </w:tr>
      <w:tr w:rsidR="000C0C52" w14:paraId="08BBEB14" w14:textId="77777777">
        <w:trPr>
          <w:trHeight w:val="285"/>
        </w:trPr>
        <w:tc>
          <w:tcPr>
            <w:tcW w:w="7083" w:type="dxa"/>
          </w:tcPr>
          <w:p w14:paraId="08BBEB12" w14:textId="77777777" w:rsidR="000C0C52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Sezení ve formátu Q&amp;A / přednášky / cvičení během cyklu</w:t>
            </w:r>
          </w:p>
        </w:tc>
        <w:tc>
          <w:tcPr>
            <w:tcW w:w="2551" w:type="dxa"/>
          </w:tcPr>
          <w:p w14:paraId="08BBEB13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12.2023-12.2024</w:t>
            </w:r>
          </w:p>
        </w:tc>
      </w:tr>
      <w:tr w:rsidR="000C0C52" w14:paraId="08BBEB17" w14:textId="77777777">
        <w:trPr>
          <w:trHeight w:val="260"/>
        </w:trPr>
        <w:tc>
          <w:tcPr>
            <w:tcW w:w="7083" w:type="dxa"/>
          </w:tcPr>
          <w:p w14:paraId="08BBEB15" w14:textId="77777777" w:rsidR="000C0C52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Logopedická poradna </w:t>
            </w:r>
          </w:p>
        </w:tc>
        <w:tc>
          <w:tcPr>
            <w:tcW w:w="2551" w:type="dxa"/>
          </w:tcPr>
          <w:p w14:paraId="08BBEB16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1.2024-12.2024</w:t>
            </w:r>
          </w:p>
        </w:tc>
      </w:tr>
    </w:tbl>
    <w:p w14:paraId="08BBEB18" w14:textId="77777777" w:rsidR="000C0C52" w:rsidRDefault="000C0C52">
      <w:pPr>
        <w:spacing w:line="200" w:lineRule="auto"/>
        <w:rPr>
          <w:rFonts w:cs="Calibri"/>
        </w:rPr>
      </w:pPr>
    </w:p>
    <w:p w14:paraId="08BBEB19" w14:textId="77777777" w:rsidR="000C0C52" w:rsidRDefault="000C0C52">
      <w:pPr>
        <w:spacing w:line="200" w:lineRule="auto"/>
        <w:rPr>
          <w:rFonts w:cs="Calibri"/>
          <w:sz w:val="22"/>
          <w:szCs w:val="22"/>
        </w:rPr>
      </w:pPr>
    </w:p>
    <w:p w14:paraId="08BBEB1A" w14:textId="77777777" w:rsidR="000C0C52" w:rsidRDefault="00000000">
      <w:p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2.3 Rozpočet projektu</w:t>
      </w:r>
    </w:p>
    <w:p w14:paraId="08BBEB1B" w14:textId="77777777" w:rsidR="000C0C52" w:rsidRDefault="000C0C52">
      <w:pPr>
        <w:spacing w:line="200" w:lineRule="auto"/>
        <w:rPr>
          <w:rFonts w:cs="Calibri"/>
        </w:rPr>
      </w:pP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551"/>
      </w:tblGrid>
      <w:tr w:rsidR="000C0C52" w14:paraId="08BBEB1E" w14:textId="77777777">
        <w:trPr>
          <w:trHeight w:val="450"/>
        </w:trPr>
        <w:tc>
          <w:tcPr>
            <w:tcW w:w="7083" w:type="dxa"/>
            <w:vAlign w:val="center"/>
          </w:tcPr>
          <w:p w14:paraId="08BBEB1C" w14:textId="77777777" w:rsidR="000C0C52" w:rsidRDefault="00000000">
            <w:pPr>
              <w:tabs>
                <w:tab w:val="left" w:pos="720"/>
              </w:tabs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Celkové náklady na realizaci projektu v Kč</w:t>
            </w:r>
          </w:p>
        </w:tc>
        <w:tc>
          <w:tcPr>
            <w:tcW w:w="2551" w:type="dxa"/>
            <w:vAlign w:val="center"/>
          </w:tcPr>
          <w:p w14:paraId="08BBEB1D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488 900 Kč</w:t>
            </w:r>
          </w:p>
        </w:tc>
      </w:tr>
      <w:tr w:rsidR="000C0C52" w14:paraId="08BBEB21" w14:textId="77777777">
        <w:trPr>
          <w:trHeight w:val="425"/>
        </w:trPr>
        <w:tc>
          <w:tcPr>
            <w:tcW w:w="7083" w:type="dxa"/>
            <w:vAlign w:val="center"/>
          </w:tcPr>
          <w:p w14:paraId="08BBEB1F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Celková požadovaná výše dotace v Kč</w:t>
            </w:r>
            <w:r>
              <w:rPr>
                <w:rFonts w:cs="Calibri"/>
                <w:sz w:val="24"/>
                <w:szCs w:val="24"/>
              </w:rPr>
              <w:t xml:space="preserve"> (v příloze uveďte podrobný položkový rozpis požadavku)</w:t>
            </w:r>
          </w:p>
        </w:tc>
        <w:tc>
          <w:tcPr>
            <w:tcW w:w="2551" w:type="dxa"/>
            <w:vAlign w:val="center"/>
          </w:tcPr>
          <w:p w14:paraId="08BBEB20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488 900 Kč</w:t>
            </w:r>
          </w:p>
        </w:tc>
      </w:tr>
      <w:tr w:rsidR="000C0C52" w14:paraId="08BBEB24" w14:textId="77777777">
        <w:trPr>
          <w:trHeight w:val="403"/>
        </w:trPr>
        <w:tc>
          <w:tcPr>
            <w:tcW w:w="7083" w:type="dxa"/>
            <w:vAlign w:val="center"/>
          </w:tcPr>
          <w:p w14:paraId="08BBEB22" w14:textId="77777777" w:rsidR="000C0C52" w:rsidRDefault="00000000">
            <w:pPr>
              <w:tabs>
                <w:tab w:val="left" w:pos="720"/>
              </w:tabs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Podíl požadované výše dotace v %</w:t>
            </w:r>
          </w:p>
        </w:tc>
        <w:tc>
          <w:tcPr>
            <w:tcW w:w="2551" w:type="dxa"/>
            <w:vAlign w:val="center"/>
          </w:tcPr>
          <w:p w14:paraId="08BBEB23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</w:t>
            </w:r>
          </w:p>
        </w:tc>
      </w:tr>
    </w:tbl>
    <w:p w14:paraId="08BBEB25" w14:textId="77777777" w:rsidR="000C0C52" w:rsidRDefault="000C0C52">
      <w:pPr>
        <w:spacing w:line="200" w:lineRule="auto"/>
        <w:rPr>
          <w:rFonts w:cs="Calibri"/>
        </w:rPr>
      </w:pPr>
    </w:p>
    <w:p w14:paraId="08BBEB26" w14:textId="77777777" w:rsidR="000C0C52" w:rsidRDefault="000C0C52">
      <w:pPr>
        <w:spacing w:line="200" w:lineRule="auto"/>
        <w:rPr>
          <w:rFonts w:cs="Calibri"/>
        </w:rPr>
      </w:pPr>
    </w:p>
    <w:p w14:paraId="08BBEB27" w14:textId="77777777" w:rsidR="000C0C52" w:rsidRDefault="000C0C52">
      <w:pPr>
        <w:spacing w:line="200" w:lineRule="auto"/>
        <w:rPr>
          <w:rFonts w:cs="Calibri"/>
        </w:rPr>
      </w:pPr>
    </w:p>
    <w:p w14:paraId="08BBEB28" w14:textId="77777777" w:rsidR="000C0C52" w:rsidRDefault="000C0C52">
      <w:pPr>
        <w:spacing w:line="200" w:lineRule="auto"/>
        <w:rPr>
          <w:rFonts w:cs="Calibri"/>
        </w:rPr>
      </w:pPr>
    </w:p>
    <w:p w14:paraId="08BBEB29" w14:textId="77777777" w:rsidR="000C0C52" w:rsidRDefault="000C0C52">
      <w:pPr>
        <w:spacing w:line="200" w:lineRule="auto"/>
        <w:rPr>
          <w:rFonts w:cs="Calibri"/>
          <w:b/>
          <w:sz w:val="28"/>
          <w:szCs w:val="28"/>
        </w:rPr>
      </w:pPr>
    </w:p>
    <w:p w14:paraId="08BBEB2A" w14:textId="77777777" w:rsidR="000C0C52" w:rsidRDefault="00000000">
      <w:pPr>
        <w:spacing w:line="20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2.4 Cílové skupiny projektu (odpovídající zaškrtněte)</w:t>
      </w:r>
    </w:p>
    <w:p w14:paraId="08BBEB2B" w14:textId="77777777" w:rsidR="000C0C52" w:rsidRDefault="000C0C52">
      <w:pPr>
        <w:spacing w:line="200" w:lineRule="auto"/>
        <w:rPr>
          <w:rFonts w:cs="Calibri"/>
        </w:rPr>
      </w:pPr>
    </w:p>
    <w:tbl>
      <w:tblPr>
        <w:tblStyle w:val="a9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268"/>
        <w:gridCol w:w="6520"/>
      </w:tblGrid>
      <w:tr w:rsidR="000C0C52" w14:paraId="08BBEB2F" w14:textId="77777777">
        <w:trPr>
          <w:trHeight w:val="453"/>
        </w:trPr>
        <w:tc>
          <w:tcPr>
            <w:tcW w:w="426" w:type="dxa"/>
          </w:tcPr>
          <w:p w14:paraId="08BBEB2C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BEB2D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Cílová skupina</w:t>
            </w:r>
          </w:p>
        </w:tc>
        <w:tc>
          <w:tcPr>
            <w:tcW w:w="6520" w:type="dxa"/>
          </w:tcPr>
          <w:p w14:paraId="08BBEB2E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Stručný popis práce s cílovou skupinou</w:t>
            </w:r>
          </w:p>
        </w:tc>
      </w:tr>
      <w:tr w:rsidR="000C0C52" w14:paraId="08BBEB33" w14:textId="77777777">
        <w:trPr>
          <w:trHeight w:val="453"/>
        </w:trPr>
        <w:tc>
          <w:tcPr>
            <w:tcW w:w="426" w:type="dxa"/>
          </w:tcPr>
          <w:p w14:paraId="08BBEB30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BEB31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Dospělí</w:t>
            </w:r>
          </w:p>
        </w:tc>
        <w:tc>
          <w:tcPr>
            <w:tcW w:w="6520" w:type="dxa"/>
          </w:tcPr>
          <w:p w14:paraId="08BBEB32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C0C52" w14:paraId="08BBEB37" w14:textId="77777777">
        <w:trPr>
          <w:trHeight w:val="402"/>
        </w:trPr>
        <w:tc>
          <w:tcPr>
            <w:tcW w:w="426" w:type="dxa"/>
          </w:tcPr>
          <w:p w14:paraId="08BBEB34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BEB35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Děti </w:t>
            </w:r>
          </w:p>
        </w:tc>
        <w:tc>
          <w:tcPr>
            <w:tcW w:w="6520" w:type="dxa"/>
          </w:tcPr>
          <w:p w14:paraId="08BBEB36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Individuální sezení s logopedem </w:t>
            </w:r>
          </w:p>
        </w:tc>
      </w:tr>
      <w:tr w:rsidR="000C0C52" w14:paraId="08BBEB3D" w14:textId="77777777">
        <w:trPr>
          <w:trHeight w:val="424"/>
        </w:trPr>
        <w:tc>
          <w:tcPr>
            <w:tcW w:w="426" w:type="dxa"/>
          </w:tcPr>
          <w:p w14:paraId="08BBEB38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BEB39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Rodiče s dětmi</w:t>
            </w:r>
          </w:p>
        </w:tc>
        <w:tc>
          <w:tcPr>
            <w:tcW w:w="6520" w:type="dxa"/>
          </w:tcPr>
          <w:p w14:paraId="08BBEB3A" w14:textId="77777777" w:rsidR="000C0C52" w:rsidRDefault="00000000">
            <w:pPr>
              <w:numPr>
                <w:ilvl w:val="0"/>
                <w:numId w:val="6"/>
              </w:numPr>
              <w:spacing w:before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lekce </w:t>
            </w:r>
          </w:p>
          <w:p w14:paraId="08BBEB3B" w14:textId="77777777" w:rsidR="000C0C52" w:rsidRDefault="00000000">
            <w:pPr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podpůrné skupiny </w:t>
            </w:r>
          </w:p>
          <w:p w14:paraId="08BBEB3C" w14:textId="77777777" w:rsidR="000C0C52" w:rsidRDefault="00000000">
            <w:pPr>
              <w:numPr>
                <w:ilvl w:val="0"/>
                <w:numId w:val="6"/>
              </w:numPr>
              <w:spacing w:after="240" w:line="276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sezení Q&amp;A</w:t>
            </w:r>
          </w:p>
        </w:tc>
      </w:tr>
      <w:tr w:rsidR="000C0C52" w14:paraId="08BBEB41" w14:textId="77777777">
        <w:trPr>
          <w:trHeight w:val="424"/>
        </w:trPr>
        <w:tc>
          <w:tcPr>
            <w:tcW w:w="426" w:type="dxa"/>
          </w:tcPr>
          <w:p w14:paraId="08BBEB3E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BEB3F" w14:textId="77777777" w:rsidR="000C0C52" w:rsidRDefault="00000000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Jiné:</w:t>
            </w:r>
          </w:p>
        </w:tc>
        <w:tc>
          <w:tcPr>
            <w:tcW w:w="6520" w:type="dxa"/>
          </w:tcPr>
          <w:p w14:paraId="08BBEB40" w14:textId="77777777" w:rsidR="000C0C52" w:rsidRDefault="000C0C52">
            <w:pPr>
              <w:tabs>
                <w:tab w:val="left" w:pos="720"/>
              </w:tabs>
              <w:rPr>
                <w:rFonts w:cs="Calibri"/>
                <w:sz w:val="24"/>
                <w:szCs w:val="24"/>
              </w:rPr>
            </w:pPr>
          </w:p>
        </w:tc>
      </w:tr>
    </w:tbl>
    <w:p w14:paraId="08BBEB42" w14:textId="77777777" w:rsidR="000C0C52" w:rsidRDefault="000C0C52">
      <w:pPr>
        <w:spacing w:line="200" w:lineRule="auto"/>
        <w:rPr>
          <w:rFonts w:cs="Calibri"/>
        </w:rPr>
      </w:pPr>
    </w:p>
    <w:p w14:paraId="08BBEB43" w14:textId="77777777" w:rsidR="000C0C52" w:rsidRDefault="00000000">
      <w:pPr>
        <w:spacing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Pozn. V případě vykazování aktivit je nutné vést databázi klientů založené na předem stanovených indikátorech, které jsou:</w:t>
      </w:r>
    </w:p>
    <w:p w14:paraId="08BBEB44" w14:textId="77777777" w:rsidR="000C0C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Počet osob využívajících integrační aktivity</w:t>
      </w:r>
    </w:p>
    <w:p w14:paraId="08BBEB45" w14:textId="77777777" w:rsidR="000C0C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Počet dětí, které mají přístup k formálnímu/neformálnímu vzdělávání, včetně raného vzdělávání, prostřednictvím programů a systém posilujících služeb podporovaných ze strany UNICEF</w:t>
      </w:r>
    </w:p>
    <w:p w14:paraId="08BBEB46" w14:textId="77777777" w:rsidR="000C0C5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Počet dětí využívající učební materiály</w:t>
      </w:r>
    </w:p>
    <w:p w14:paraId="08BBEB47" w14:textId="77777777" w:rsidR="000C0C52" w:rsidRDefault="000C0C52">
      <w:pPr>
        <w:spacing w:line="200" w:lineRule="auto"/>
        <w:rPr>
          <w:rFonts w:cs="Calibri"/>
          <w:sz w:val="22"/>
          <w:szCs w:val="22"/>
        </w:rPr>
      </w:pPr>
    </w:p>
    <w:p w14:paraId="08BBEB48" w14:textId="77777777" w:rsidR="000C0C52" w:rsidRDefault="00000000">
      <w:pPr>
        <w:spacing w:line="200" w:lineRule="auto"/>
        <w:rPr>
          <w:rFonts w:cs="Calibri"/>
        </w:rPr>
      </w:pPr>
      <w:r>
        <w:rPr>
          <w:rFonts w:cs="Calibri"/>
          <w:sz w:val="22"/>
          <w:szCs w:val="22"/>
        </w:rPr>
        <w:t>Partner obdrží vzorový registrační formulář pro sbírání údajů o klientech.</w:t>
      </w:r>
    </w:p>
    <w:p w14:paraId="08BBEB49" w14:textId="77777777" w:rsidR="000C0C52" w:rsidRDefault="000C0C52">
      <w:pPr>
        <w:spacing w:line="200" w:lineRule="auto"/>
        <w:rPr>
          <w:rFonts w:cs="Calibri"/>
        </w:rPr>
      </w:pPr>
    </w:p>
    <w:p w14:paraId="08BBEB4A" w14:textId="77777777" w:rsidR="000C0C52" w:rsidRDefault="000C0C52">
      <w:pPr>
        <w:spacing w:line="200" w:lineRule="auto"/>
        <w:rPr>
          <w:rFonts w:cs="Calibri"/>
        </w:rPr>
      </w:pPr>
    </w:p>
    <w:p w14:paraId="08BBEB4B" w14:textId="77777777" w:rsidR="000C0C52" w:rsidRDefault="000C0C52">
      <w:pPr>
        <w:spacing w:line="200" w:lineRule="auto"/>
        <w:rPr>
          <w:rFonts w:cs="Calibri"/>
        </w:rPr>
      </w:pPr>
    </w:p>
    <w:p w14:paraId="08BBEB4C" w14:textId="77777777" w:rsidR="000C0C52" w:rsidRDefault="000C0C52">
      <w:pPr>
        <w:rPr>
          <w:rFonts w:cs="Calibri"/>
        </w:rPr>
      </w:pPr>
    </w:p>
    <w:sectPr w:rsidR="000C0C5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086F" w14:textId="77777777" w:rsidR="00A3163E" w:rsidRDefault="00A3163E">
      <w:r>
        <w:separator/>
      </w:r>
    </w:p>
  </w:endnote>
  <w:endnote w:type="continuationSeparator" w:id="0">
    <w:p w14:paraId="686BC8ED" w14:textId="77777777" w:rsidR="00A3163E" w:rsidRDefault="00A3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3AF4" w14:textId="77777777" w:rsidR="00A3163E" w:rsidRDefault="00A3163E">
      <w:r>
        <w:separator/>
      </w:r>
    </w:p>
  </w:footnote>
  <w:footnote w:type="continuationSeparator" w:id="0">
    <w:p w14:paraId="7264BA52" w14:textId="77777777" w:rsidR="00A3163E" w:rsidRDefault="00A3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EB4D" w14:textId="77777777" w:rsidR="000C0C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   </w:t>
    </w:r>
    <w:r>
      <w:rPr>
        <w:rFonts w:cs="Calibri"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8BBEB53" wp14:editId="08BBEB54">
          <wp:simplePos x="0" y="0"/>
          <wp:positionH relativeFrom="column">
            <wp:posOffset>-634</wp:posOffset>
          </wp:positionH>
          <wp:positionV relativeFrom="paragraph">
            <wp:posOffset>0</wp:posOffset>
          </wp:positionV>
          <wp:extent cx="2012233" cy="554517"/>
          <wp:effectExtent l="0" t="0" r="0" b="0"/>
          <wp:wrapNone/>
          <wp:docPr id="936201142" name="image3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2233" cy="5545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8BBEB55" wp14:editId="08BBEB56">
          <wp:simplePos x="0" y="0"/>
          <wp:positionH relativeFrom="column">
            <wp:posOffset>4487545</wp:posOffset>
          </wp:positionH>
          <wp:positionV relativeFrom="paragraph">
            <wp:posOffset>-53338</wp:posOffset>
          </wp:positionV>
          <wp:extent cx="1271270" cy="690880"/>
          <wp:effectExtent l="0" t="0" r="0" b="0"/>
          <wp:wrapNone/>
          <wp:docPr id="936201141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270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BBEB4E" w14:textId="77777777" w:rsidR="000C0C52" w:rsidRDefault="000C0C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</w:p>
  <w:p w14:paraId="08BBEB4F" w14:textId="77777777" w:rsidR="000C0C52" w:rsidRDefault="000C0C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</w:p>
  <w:p w14:paraId="08BBEB50" w14:textId="77777777" w:rsidR="000C0C52" w:rsidRDefault="000C0C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</w:p>
  <w:p w14:paraId="08BBEB51" w14:textId="77777777" w:rsidR="000C0C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EB52" w14:textId="77777777" w:rsidR="000C0C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BBEB57" wp14:editId="08BBEB58">
          <wp:simplePos x="0" y="0"/>
          <wp:positionH relativeFrom="column">
            <wp:posOffset>-82549</wp:posOffset>
          </wp:positionH>
          <wp:positionV relativeFrom="paragraph">
            <wp:posOffset>190500</wp:posOffset>
          </wp:positionV>
          <wp:extent cx="1866587" cy="514350"/>
          <wp:effectExtent l="0" t="0" r="0" b="0"/>
          <wp:wrapNone/>
          <wp:docPr id="936201139" name="image2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587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08BBEB59" wp14:editId="08BBEB5A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968771" cy="596512"/>
          <wp:effectExtent l="0" t="0" r="0" b="0"/>
          <wp:wrapNone/>
          <wp:docPr id="936201140" name="image4.png" descr="Obsah obrázku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sah obrázku logo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771" cy="596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22A0"/>
    <w:multiLevelType w:val="multilevel"/>
    <w:tmpl w:val="FCFCF1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18434A"/>
    <w:multiLevelType w:val="multilevel"/>
    <w:tmpl w:val="5DB6A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784B16"/>
    <w:multiLevelType w:val="multilevel"/>
    <w:tmpl w:val="90BE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BF668D3"/>
    <w:multiLevelType w:val="multilevel"/>
    <w:tmpl w:val="8C0ACD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0336CEB"/>
    <w:multiLevelType w:val="multilevel"/>
    <w:tmpl w:val="9CBC8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0D318C"/>
    <w:multiLevelType w:val="multilevel"/>
    <w:tmpl w:val="02F6D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6F26A02"/>
    <w:multiLevelType w:val="multilevel"/>
    <w:tmpl w:val="13668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4554669">
    <w:abstractNumId w:val="1"/>
  </w:num>
  <w:num w:numId="2" w16cid:durableId="1600135201">
    <w:abstractNumId w:val="0"/>
  </w:num>
  <w:num w:numId="3" w16cid:durableId="494146828">
    <w:abstractNumId w:val="6"/>
  </w:num>
  <w:num w:numId="4" w16cid:durableId="183711526">
    <w:abstractNumId w:val="3"/>
  </w:num>
  <w:num w:numId="5" w16cid:durableId="1223443742">
    <w:abstractNumId w:val="5"/>
  </w:num>
  <w:num w:numId="6" w16cid:durableId="1568806370">
    <w:abstractNumId w:val="4"/>
  </w:num>
  <w:num w:numId="7" w16cid:durableId="17497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52"/>
    <w:rsid w:val="000C0C52"/>
    <w:rsid w:val="007D47EC"/>
    <w:rsid w:val="00A3163E"/>
    <w:rsid w:val="00B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EA4F"/>
  <w15:docId w15:val="{7060BE07-2652-43B6-B60F-B5349AD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705"/>
    <w:rPr>
      <w:rFonts w:cs="Arial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22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1A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5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51B"/>
    <w:rPr>
      <w:rFonts w:ascii="Calibri" w:eastAsia="Calibri" w:hAnsi="Calibri" w:cs="Arial"/>
      <w:kern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45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51B"/>
    <w:rPr>
      <w:rFonts w:ascii="Calibri" w:eastAsia="Calibri" w:hAnsi="Calibri" w:cs="Arial"/>
      <w:kern w:val="0"/>
      <w:sz w:val="20"/>
      <w:szCs w:val="20"/>
      <w:lang w:eastAsia="cs-CZ"/>
    </w:rPr>
  </w:style>
  <w:style w:type="numbering" w:customStyle="1" w:styleId="Aktulnseznam1">
    <w:name w:val="Aktuální seznam1"/>
    <w:uiPriority w:val="99"/>
    <w:rsid w:val="0058488A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3pDOXAQyh/Ju2ZBt889++/mjiA==">CgMxLjAyCWlkLmdqZGd4czgAciExLWFlN2d5Y3RnQTVtNXlJV0Nzem44Z3NsUWQ2cFdROU0=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Dvořáčková</dc:creator>
  <cp:lastModifiedBy>Ludmila Dostálová</cp:lastModifiedBy>
  <cp:revision>3</cp:revision>
  <dcterms:created xsi:type="dcterms:W3CDTF">2023-04-14T14:21:00Z</dcterms:created>
  <dcterms:modified xsi:type="dcterms:W3CDTF">2023-11-13T13:43:00Z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krejci.alena@cizincijmk.cz</vt:lpwstr>
  </property>
  <property fmtid="{D5CDD505-2E9C-101B-9397-08002B2CF9AE}" pid="5" name="MSIP_Label_690ebb53-23a2-471a-9c6e-17bd0d11311e_SetDate">
    <vt:lpwstr>2023-04-13T17:54:51.5166846Z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