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4D23F694"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1F413E">
        <w:rPr>
          <w:rFonts w:ascii="Calibri" w:hAnsi="Calibri" w:cs="Calibri"/>
          <w:bCs/>
          <w:kern w:val="28"/>
          <w:sz w:val="32"/>
          <w:szCs w:val="32"/>
        </w:rPr>
        <w:t>4</w:t>
      </w:r>
      <w:r>
        <w:rPr>
          <w:rFonts w:ascii="Calibri" w:hAnsi="Calibri" w:cs="Calibri"/>
          <w:bCs/>
          <w:kern w:val="28"/>
          <w:sz w:val="32"/>
          <w:szCs w:val="32"/>
        </w:rPr>
        <w:t xml:space="preserve"> ke Smlouvě o užití, implementaci a provozní podpoře</w:t>
      </w:r>
    </w:p>
    <w:p w14:paraId="5D16320D" w14:textId="52ADFE4D"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1F413E" w:rsidRPr="001F413E">
        <w:rPr>
          <w:rFonts w:ascii="Calibri" w:hAnsi="Calibri" w:cs="Calibri"/>
          <w:bCs/>
          <w:kern w:val="28"/>
          <w:sz w:val="32"/>
          <w:szCs w:val="32"/>
        </w:rPr>
        <w:t>F-10-02104</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64F1F1BE" w:rsidR="00461316" w:rsidRPr="0000727D" w:rsidRDefault="008F1278" w:rsidP="00461316">
      <w:pPr>
        <w:pStyle w:val="Nadpis7"/>
        <w:tabs>
          <w:tab w:val="left" w:pos="2268"/>
        </w:tabs>
        <w:spacing w:before="240" w:after="60"/>
        <w:ind w:left="2268" w:firstLine="0"/>
        <w:jc w:val="both"/>
        <w:rPr>
          <w:rFonts w:ascii="Calibri" w:hAnsi="Calibri"/>
          <w:b/>
          <w:sz w:val="22"/>
          <w:szCs w:val="22"/>
          <w:highlight w:val="yellow"/>
        </w:rPr>
      </w:pPr>
      <w:r w:rsidRPr="008F1278">
        <w:rPr>
          <w:rFonts w:ascii="Calibri" w:hAnsi="Calibri"/>
          <w:b/>
          <w:sz w:val="22"/>
          <w:szCs w:val="22"/>
        </w:rPr>
        <w:t>Dům dětí a mládeže Stříbro, příspěvková organizace</w:t>
      </w:r>
    </w:p>
    <w:p w14:paraId="1E3B7AC2" w14:textId="42CC5F33"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1F413E" w:rsidRPr="001F413E">
        <w:rPr>
          <w:rFonts w:ascii="Calibri" w:hAnsi="Calibri"/>
          <w:sz w:val="22"/>
          <w:szCs w:val="22"/>
        </w:rPr>
        <w:t>349 01</w:t>
      </w:r>
      <w:r w:rsidR="001F413E">
        <w:rPr>
          <w:rFonts w:ascii="Calibri" w:hAnsi="Calibri"/>
          <w:sz w:val="22"/>
          <w:szCs w:val="22"/>
        </w:rPr>
        <w:t xml:space="preserve"> </w:t>
      </w:r>
      <w:r w:rsidR="001F413E" w:rsidRPr="001F413E">
        <w:rPr>
          <w:rFonts w:ascii="Calibri" w:hAnsi="Calibri"/>
          <w:sz w:val="22"/>
          <w:szCs w:val="22"/>
        </w:rPr>
        <w:t>Stříbro</w:t>
      </w:r>
      <w:r w:rsidR="001F413E">
        <w:rPr>
          <w:rFonts w:ascii="Calibri" w:hAnsi="Calibri"/>
          <w:sz w:val="22"/>
          <w:szCs w:val="22"/>
        </w:rPr>
        <w:t xml:space="preserve">, </w:t>
      </w:r>
      <w:r w:rsidR="001F413E" w:rsidRPr="001F413E">
        <w:rPr>
          <w:rFonts w:ascii="Calibri" w:hAnsi="Calibri"/>
          <w:sz w:val="22"/>
          <w:szCs w:val="22"/>
        </w:rPr>
        <w:t>Masarykovo náměstí 17</w:t>
      </w:r>
    </w:p>
    <w:p w14:paraId="6AE121D7" w14:textId="18989109"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1F413E" w:rsidRPr="001F413E">
        <w:rPr>
          <w:rFonts w:ascii="Calibri" w:hAnsi="Calibri"/>
          <w:sz w:val="22"/>
          <w:szCs w:val="22"/>
        </w:rPr>
        <w:t>Mgr. Roman Mužík</w:t>
      </w:r>
      <w:r w:rsidR="001F413E">
        <w:rPr>
          <w:rFonts w:ascii="Calibri" w:hAnsi="Calibri"/>
          <w:sz w:val="22"/>
          <w:szCs w:val="22"/>
        </w:rPr>
        <w:t>, ředitel</w:t>
      </w:r>
    </w:p>
    <w:p w14:paraId="59DC2C3D" w14:textId="0C40405F"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1F413E" w:rsidRPr="001F413E">
        <w:rPr>
          <w:rFonts w:ascii="Calibri" w:hAnsi="Calibri"/>
          <w:sz w:val="22"/>
          <w:szCs w:val="22"/>
        </w:rPr>
        <w:t>48326640</w:t>
      </w:r>
    </w:p>
    <w:p w14:paraId="6E9A192B" w14:textId="7BA973BE" w:rsidR="00461316" w:rsidRPr="001F413E" w:rsidRDefault="00461316" w:rsidP="00461316">
      <w:pPr>
        <w:tabs>
          <w:tab w:val="left" w:pos="2268"/>
        </w:tabs>
        <w:rPr>
          <w:rFonts w:ascii="Calibri" w:hAnsi="Calibri"/>
          <w:sz w:val="22"/>
          <w:szCs w:val="22"/>
        </w:rPr>
      </w:pPr>
      <w:r w:rsidRPr="001F413E">
        <w:rPr>
          <w:rFonts w:ascii="Calibri" w:hAnsi="Calibri"/>
          <w:b/>
          <w:sz w:val="22"/>
          <w:szCs w:val="22"/>
        </w:rPr>
        <w:t>DIČ:</w:t>
      </w:r>
      <w:r w:rsidRPr="001F413E">
        <w:rPr>
          <w:rFonts w:ascii="Calibri" w:hAnsi="Calibri"/>
          <w:sz w:val="22"/>
          <w:szCs w:val="22"/>
        </w:rPr>
        <w:tab/>
      </w:r>
      <w:r w:rsidR="001F413E" w:rsidRPr="001F413E">
        <w:rPr>
          <w:rFonts w:ascii="Calibri" w:hAnsi="Calibri"/>
          <w:sz w:val="22"/>
          <w:szCs w:val="22"/>
        </w:rPr>
        <w:t>---</w:t>
      </w:r>
    </w:p>
    <w:p w14:paraId="28C46DE0" w14:textId="1B54F9D7"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001F413E" w:rsidRPr="001F413E">
        <w:rPr>
          <w:rFonts w:ascii="Calibri" w:hAnsi="Calibri"/>
          <w:sz w:val="22"/>
          <w:szCs w:val="22"/>
        </w:rPr>
        <w:t>222180705/0300</w:t>
      </w:r>
      <w:r w:rsidR="001F413E">
        <w:rPr>
          <w:rFonts w:ascii="Calibri" w:hAnsi="Calibri"/>
          <w:sz w:val="22"/>
          <w:szCs w:val="22"/>
        </w:rPr>
        <w:t xml:space="preserve"> </w:t>
      </w:r>
      <w:r w:rsidR="001F413E">
        <w:rPr>
          <w:rFonts w:ascii="Calibri" w:hAnsi="Calibri" w:cs="Calibri"/>
          <w:sz w:val="22"/>
          <w:szCs w:val="22"/>
        </w:rPr>
        <w:t>– Československá obchodní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4F2F5630"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1F413E" w:rsidRPr="001F413E">
        <w:rPr>
          <w:rFonts w:ascii="Calibri" w:hAnsi="Calibri" w:cs="Calibri"/>
          <w:sz w:val="22"/>
          <w:szCs w:val="22"/>
        </w:rPr>
        <w:t>F-10-02104</w:t>
      </w:r>
      <w:r w:rsidRPr="00C216EE">
        <w:rPr>
          <w:rFonts w:ascii="Calibri" w:hAnsi="Calibri" w:cs="Calibri"/>
          <w:sz w:val="22"/>
          <w:szCs w:val="22"/>
        </w:rPr>
        <w:t xml:space="preserve"> ze dne </w:t>
      </w:r>
      <w:r w:rsidR="001F413E" w:rsidRPr="001F413E">
        <w:rPr>
          <w:rFonts w:ascii="Calibri" w:hAnsi="Calibri" w:cs="Calibri"/>
          <w:sz w:val="22"/>
          <w:szCs w:val="22"/>
        </w:rPr>
        <w:t>24.06.2011</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45F991D5"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1F413E" w:rsidRDefault="00015B18" w:rsidP="008C3A02">
      <w:pPr>
        <w:pStyle w:val="Seznam"/>
        <w:numPr>
          <w:ilvl w:val="0"/>
          <w:numId w:val="1"/>
        </w:numPr>
        <w:spacing w:before="120"/>
        <w:ind w:left="357" w:hanging="357"/>
        <w:jc w:val="both"/>
        <w:rPr>
          <w:rFonts w:ascii="Calibri" w:hAnsi="Calibri" w:cs="Calibri"/>
          <w:sz w:val="22"/>
          <w:szCs w:val="22"/>
        </w:rPr>
      </w:pPr>
      <w:r w:rsidRPr="001F413E">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02F86A2F" w14:textId="77777777" w:rsidR="001F413E" w:rsidRDefault="001F413E"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04252F73"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455D15">
              <w:rPr>
                <w:rFonts w:ascii="Calibri" w:hAnsi="Calibri"/>
                <w:sz w:val="22"/>
                <w:szCs w:val="22"/>
              </w:rPr>
              <w:t>Vendula Odvodyová</w:t>
            </w:r>
          </w:p>
        </w:tc>
        <w:tc>
          <w:tcPr>
            <w:tcW w:w="4876" w:type="dxa"/>
          </w:tcPr>
          <w:p w14:paraId="5EFFA443" w14:textId="0F56875F"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V</w:t>
            </w:r>
            <w:r w:rsidR="001F413E">
              <w:rPr>
                <w:rFonts w:ascii="Calibri" w:hAnsi="Calibri" w:cs="Arial"/>
                <w:sz w:val="22"/>
                <w:szCs w:val="22"/>
              </w:rPr>
              <w:t>e</w:t>
            </w:r>
            <w:r>
              <w:rPr>
                <w:rFonts w:ascii="Calibri" w:hAnsi="Calibri" w:cs="Arial"/>
                <w:sz w:val="22"/>
                <w:szCs w:val="22"/>
              </w:rPr>
              <w:t xml:space="preserve"> </w:t>
            </w:r>
            <w:r w:rsidR="001F413E" w:rsidRPr="001F413E">
              <w:rPr>
                <w:rFonts w:ascii="Calibri" w:hAnsi="Calibri" w:cs="Arial"/>
                <w:sz w:val="22"/>
                <w:szCs w:val="22"/>
              </w:rPr>
              <w:t>Stříb</w:t>
            </w:r>
            <w:r w:rsidR="001F413E">
              <w:rPr>
                <w:rFonts w:ascii="Calibri" w:hAnsi="Calibri" w:cs="Arial"/>
                <w:sz w:val="22"/>
                <w:szCs w:val="22"/>
              </w:rPr>
              <w:t>ře</w:t>
            </w:r>
            <w:r w:rsidR="001F413E" w:rsidRPr="001F413E">
              <w:rPr>
                <w:rFonts w:ascii="Calibri" w:hAnsi="Calibri" w:cs="Arial"/>
                <w:sz w:val="22"/>
                <w:szCs w:val="22"/>
              </w:rPr>
              <w:t xml:space="preserve"> </w:t>
            </w:r>
            <w:r>
              <w:rPr>
                <w:rFonts w:ascii="Calibri" w:hAnsi="Calibri" w:cs="Arial"/>
                <w:sz w:val="22"/>
                <w:szCs w:val="22"/>
              </w:rPr>
              <w:t>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6B7D7BAE"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1F413E" w:rsidRPr="001F413E">
              <w:rPr>
                <w:rFonts w:ascii="Calibri" w:hAnsi="Calibri"/>
                <w:sz w:val="22"/>
                <w:szCs w:val="22"/>
              </w:rPr>
              <w:t>Dům dětí a mládeže Stříbro, příspěvkov</w:t>
            </w:r>
            <w:r w:rsidR="001F413E">
              <w:rPr>
                <w:rFonts w:ascii="Calibri" w:hAnsi="Calibri"/>
                <w:sz w:val="22"/>
                <w:szCs w:val="22"/>
              </w:rPr>
              <w:t>ou</w:t>
            </w:r>
            <w:r w:rsidR="001F413E" w:rsidRPr="001F413E">
              <w:rPr>
                <w:rFonts w:ascii="Calibri" w:hAnsi="Calibri"/>
                <w:sz w:val="22"/>
                <w:szCs w:val="22"/>
              </w:rPr>
              <w:t xml:space="preserve"> organizac</w:t>
            </w:r>
            <w:r w:rsidR="001F413E">
              <w:rPr>
                <w:rFonts w:ascii="Calibri" w:hAnsi="Calibri"/>
                <w:sz w:val="22"/>
                <w:szCs w:val="22"/>
              </w:rPr>
              <w:t>i</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B6ECEB3" w14:textId="77777777" w:rsidR="001F413E" w:rsidRDefault="001F413E" w:rsidP="003F4603">
            <w:pPr>
              <w:widowControl w:val="0"/>
              <w:tabs>
                <w:tab w:val="center" w:pos="2552"/>
                <w:tab w:val="center" w:pos="6804"/>
              </w:tabs>
              <w:rPr>
                <w:rFonts w:ascii="Calibri" w:hAnsi="Calibri"/>
                <w:sz w:val="22"/>
                <w:szCs w:val="22"/>
              </w:rPr>
            </w:pPr>
            <w:r w:rsidRPr="001F413E">
              <w:rPr>
                <w:rFonts w:ascii="Calibri" w:hAnsi="Calibri"/>
                <w:sz w:val="22"/>
                <w:szCs w:val="22"/>
              </w:rPr>
              <w:t>Mgr. Roman Mužík</w:t>
            </w:r>
          </w:p>
          <w:p w14:paraId="02618701" w14:textId="2C19235F" w:rsidR="003F4603" w:rsidRDefault="001F413E" w:rsidP="003F4603">
            <w:pPr>
              <w:widowControl w:val="0"/>
              <w:tabs>
                <w:tab w:val="center" w:pos="2552"/>
                <w:tab w:val="center" w:pos="6804"/>
              </w:tabs>
              <w:rPr>
                <w:rFonts w:ascii="Calibri" w:hAnsi="Calibri" w:cs="Calibri"/>
                <w:sz w:val="22"/>
                <w:szCs w:val="22"/>
              </w:rPr>
            </w:pPr>
            <w:r>
              <w:rPr>
                <w:rFonts w:ascii="Calibri" w:hAnsi="Calibri"/>
                <w:sz w:val="22"/>
                <w:szCs w:val="22"/>
              </w:rPr>
              <w:t>ředitel</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1A2475F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3CBE3A8" w14:textId="4DD358CF" w:rsidR="0096775E" w:rsidRDefault="000A6E52" w:rsidP="0096775E">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5FE9746D" w14:textId="68BEEF2C" w:rsidR="0096775E" w:rsidRPr="007742E9" w:rsidRDefault="0096775E" w:rsidP="0096775E">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1F413E"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28E687CF"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577192B1" w:rsidR="001F413E" w:rsidRDefault="001F413E" w:rsidP="001F413E">
            <w:pPr>
              <w:ind w:right="220"/>
              <w:jc w:val="right"/>
              <w:rPr>
                <w:rFonts w:ascii="Calibri" w:hAnsi="Calibri" w:cs="Calibri"/>
                <w:sz w:val="22"/>
                <w:szCs w:val="22"/>
              </w:rPr>
            </w:pPr>
            <w:r>
              <w:rPr>
                <w:rFonts w:ascii="Calibri" w:hAnsi="Calibri" w:cs="Calibri"/>
                <w:sz w:val="22"/>
                <w:szCs w:val="22"/>
              </w:rPr>
              <w:t>5 120</w:t>
            </w:r>
          </w:p>
        </w:tc>
      </w:tr>
      <w:tr w:rsidR="001F413E"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2EF4DF7A"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16A7F83B" w:rsidR="001F413E" w:rsidRDefault="001F413E" w:rsidP="001F413E">
            <w:pPr>
              <w:ind w:right="220"/>
              <w:jc w:val="right"/>
              <w:rPr>
                <w:rFonts w:ascii="Calibri" w:hAnsi="Calibri" w:cs="Calibri"/>
                <w:sz w:val="22"/>
                <w:szCs w:val="22"/>
              </w:rPr>
            </w:pPr>
            <w:r>
              <w:rPr>
                <w:rFonts w:ascii="Calibri" w:hAnsi="Calibri" w:cs="Calibri"/>
                <w:sz w:val="22"/>
                <w:szCs w:val="22"/>
              </w:rPr>
              <w:t>125</w:t>
            </w:r>
          </w:p>
        </w:tc>
      </w:tr>
      <w:tr w:rsidR="001F413E"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032E058B"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65E43015" w:rsidR="001F413E" w:rsidRDefault="001F413E" w:rsidP="001F413E">
            <w:pPr>
              <w:ind w:right="220"/>
              <w:jc w:val="right"/>
              <w:rPr>
                <w:rFonts w:ascii="Calibri" w:hAnsi="Calibri" w:cs="Calibri"/>
                <w:sz w:val="22"/>
                <w:szCs w:val="22"/>
              </w:rPr>
            </w:pPr>
            <w:r>
              <w:rPr>
                <w:rFonts w:ascii="Calibri" w:hAnsi="Calibri" w:cs="Calibri"/>
                <w:sz w:val="22"/>
                <w:szCs w:val="22"/>
              </w:rPr>
              <w:t>1 500</w:t>
            </w:r>
          </w:p>
        </w:tc>
      </w:tr>
      <w:tr w:rsidR="001F413E"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17975E25"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5A285B95" w:rsidR="001F413E" w:rsidRDefault="001F413E" w:rsidP="001F413E">
            <w:pPr>
              <w:ind w:right="220"/>
              <w:jc w:val="right"/>
              <w:rPr>
                <w:rFonts w:ascii="Calibri" w:hAnsi="Calibri" w:cs="Calibri"/>
                <w:sz w:val="22"/>
                <w:szCs w:val="22"/>
              </w:rPr>
            </w:pPr>
            <w:r>
              <w:rPr>
                <w:rFonts w:ascii="Calibri" w:hAnsi="Calibri" w:cs="Calibri"/>
                <w:sz w:val="22"/>
                <w:szCs w:val="22"/>
              </w:rPr>
              <w:t>1 500</w:t>
            </w:r>
          </w:p>
        </w:tc>
      </w:tr>
      <w:tr w:rsidR="001F413E"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25037136"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2D8853D0" w:rsidR="001F413E" w:rsidRDefault="001F413E" w:rsidP="001F413E">
            <w:pPr>
              <w:ind w:right="220"/>
              <w:jc w:val="right"/>
              <w:rPr>
                <w:rFonts w:ascii="Calibri" w:hAnsi="Calibri" w:cs="Calibri"/>
                <w:sz w:val="22"/>
                <w:szCs w:val="22"/>
              </w:rPr>
            </w:pPr>
            <w:r>
              <w:rPr>
                <w:rFonts w:ascii="Calibri" w:hAnsi="Calibri" w:cs="Calibri"/>
                <w:sz w:val="22"/>
                <w:szCs w:val="22"/>
              </w:rPr>
              <w:t>1 500</w:t>
            </w:r>
          </w:p>
        </w:tc>
      </w:tr>
      <w:tr w:rsidR="001F413E"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101ADED7" w:rsidR="001F413E" w:rsidRDefault="001F413E" w:rsidP="001F413E">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1F413E" w:rsidRDefault="001F413E" w:rsidP="001F413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0530173C" w:rsidR="001F413E" w:rsidRDefault="001F413E" w:rsidP="001F413E">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2F751909" w:rsidR="007372EE" w:rsidRDefault="00F80793">
            <w:pPr>
              <w:spacing w:before="60" w:after="60"/>
              <w:ind w:left="357" w:hanging="357"/>
              <w:jc w:val="center"/>
              <w:rPr>
                <w:rFonts w:ascii="Calibri" w:hAnsi="Calibri" w:cs="Calibri"/>
                <w:sz w:val="22"/>
                <w:szCs w:val="22"/>
              </w:rPr>
            </w:pPr>
            <w:r>
              <w:rPr>
                <w:rFonts w:ascii="Calibri" w:hAnsi="Calibri" w:cs="Calibri"/>
                <w:sz w:val="22"/>
                <w:szCs w:val="22"/>
              </w:rPr>
              <w:t>1</w:t>
            </w:r>
            <w:r w:rsidR="007372EE">
              <w:rPr>
                <w:rFonts w:ascii="Calibri" w:hAnsi="Calibri" w:cs="Calibri"/>
                <w:sz w:val="22"/>
                <w:szCs w:val="22"/>
              </w:rPr>
              <w:t xml:space="preserve"> hodin</w:t>
            </w:r>
            <w:r>
              <w:rPr>
                <w:rFonts w:ascii="Calibri" w:hAnsi="Calibri" w:cs="Calibri"/>
                <w:sz w:val="22"/>
                <w:szCs w:val="22"/>
              </w:rPr>
              <w:t>a</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17196C0D" w:rsidR="001F3750" w:rsidRDefault="00F80793" w:rsidP="00D95D6D">
            <w:pPr>
              <w:ind w:right="213"/>
              <w:jc w:val="right"/>
              <w:rPr>
                <w:rFonts w:ascii="Calibri" w:hAnsi="Calibri" w:cs="Calibri"/>
                <w:sz w:val="22"/>
                <w:szCs w:val="22"/>
              </w:rPr>
            </w:pPr>
            <w:r>
              <w:rPr>
                <w:rFonts w:ascii="Calibri" w:hAnsi="Calibri" w:cs="Calibri"/>
                <w:sz w:val="22"/>
                <w:szCs w:val="22"/>
              </w:rPr>
              <w:t>11 245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00423041" w:rsidR="001F3750" w:rsidRDefault="00F80793" w:rsidP="00D95D6D">
            <w:pPr>
              <w:ind w:right="213"/>
              <w:jc w:val="right"/>
              <w:rPr>
                <w:rFonts w:ascii="Calibri" w:hAnsi="Calibri" w:cs="Calibri"/>
                <w:sz w:val="22"/>
                <w:szCs w:val="22"/>
              </w:rPr>
            </w:pPr>
            <w:r>
              <w:rPr>
                <w:rFonts w:ascii="Calibri" w:hAnsi="Calibri" w:cs="Calibri"/>
                <w:sz w:val="22"/>
                <w:szCs w:val="22"/>
              </w:rPr>
              <w:t>1 450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69A01817" w:rsidR="001F3750" w:rsidRDefault="00F80793" w:rsidP="00D95D6D">
            <w:pPr>
              <w:ind w:right="213"/>
              <w:jc w:val="right"/>
              <w:rPr>
                <w:rFonts w:ascii="Calibri" w:hAnsi="Calibri" w:cs="Calibri"/>
                <w:b/>
                <w:sz w:val="22"/>
                <w:szCs w:val="22"/>
              </w:rPr>
            </w:pPr>
            <w:r>
              <w:rPr>
                <w:rFonts w:ascii="Calibri" w:hAnsi="Calibri" w:cs="Calibri"/>
                <w:b/>
                <w:sz w:val="22"/>
                <w:szCs w:val="22"/>
              </w:rPr>
              <w:t>12 695,00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725D88DC" w:rsidR="001F3750" w:rsidRDefault="00F80793" w:rsidP="00D95D6D">
            <w:pPr>
              <w:ind w:right="213"/>
              <w:jc w:val="right"/>
              <w:rPr>
                <w:rFonts w:ascii="Calibri" w:hAnsi="Calibri" w:cs="Calibri"/>
                <w:b/>
                <w:sz w:val="22"/>
                <w:szCs w:val="22"/>
              </w:rPr>
            </w:pPr>
            <w:r>
              <w:rPr>
                <w:rFonts w:ascii="Calibri" w:hAnsi="Calibri" w:cs="Calibri"/>
                <w:b/>
                <w:sz w:val="22"/>
                <w:szCs w:val="22"/>
              </w:rPr>
              <w:t>15 360,95</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A28D" w14:textId="77777777" w:rsidR="005054A9" w:rsidRDefault="005054A9">
      <w:r>
        <w:separator/>
      </w:r>
    </w:p>
  </w:endnote>
  <w:endnote w:type="continuationSeparator" w:id="0">
    <w:p w14:paraId="3364DCE2" w14:textId="77777777" w:rsidR="005054A9" w:rsidRDefault="0050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1177A2"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812C" w14:textId="77777777" w:rsidR="005054A9" w:rsidRDefault="005054A9">
      <w:r>
        <w:separator/>
      </w:r>
    </w:p>
  </w:footnote>
  <w:footnote w:type="continuationSeparator" w:id="0">
    <w:p w14:paraId="293597A8" w14:textId="77777777" w:rsidR="005054A9" w:rsidRDefault="0050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670F852F"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1F413E" w:rsidRPr="001F413E">
                  <w:rPr>
                    <w:rFonts w:ascii="Calibri" w:hAnsi="Calibri"/>
                    <w:i/>
                  </w:rPr>
                  <w:t>F-10-02104</w:t>
                </w:r>
                <w:r w:rsidR="001F413E">
                  <w:rPr>
                    <w:rFonts w:ascii="Calibri" w:hAnsi="Calibri"/>
                    <w:i/>
                  </w:rPr>
                  <w:t>-04</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7435"/>
    <w:rsid w:val="000F7444"/>
    <w:rsid w:val="00112C87"/>
    <w:rsid w:val="00114AFC"/>
    <w:rsid w:val="001150AA"/>
    <w:rsid w:val="00115DEE"/>
    <w:rsid w:val="001177A2"/>
    <w:rsid w:val="00121E7D"/>
    <w:rsid w:val="0012305F"/>
    <w:rsid w:val="00125CC2"/>
    <w:rsid w:val="00134BEF"/>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1F413E"/>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C47A9"/>
    <w:rsid w:val="003E3B5B"/>
    <w:rsid w:val="003F1EB8"/>
    <w:rsid w:val="003F4603"/>
    <w:rsid w:val="0040120C"/>
    <w:rsid w:val="004028E4"/>
    <w:rsid w:val="004046BF"/>
    <w:rsid w:val="0041252E"/>
    <w:rsid w:val="00413CD1"/>
    <w:rsid w:val="00415A91"/>
    <w:rsid w:val="0042702D"/>
    <w:rsid w:val="00443D18"/>
    <w:rsid w:val="004503DE"/>
    <w:rsid w:val="00451C4B"/>
    <w:rsid w:val="00455056"/>
    <w:rsid w:val="00455D15"/>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54A9"/>
    <w:rsid w:val="00506572"/>
    <w:rsid w:val="005113BF"/>
    <w:rsid w:val="00525B5A"/>
    <w:rsid w:val="005262C7"/>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C7F43"/>
    <w:rsid w:val="006E3782"/>
    <w:rsid w:val="006E57F6"/>
    <w:rsid w:val="006E5958"/>
    <w:rsid w:val="006E6888"/>
    <w:rsid w:val="006F1FEF"/>
    <w:rsid w:val="006F2C8C"/>
    <w:rsid w:val="006F6CB4"/>
    <w:rsid w:val="00703F6F"/>
    <w:rsid w:val="00720A6B"/>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1278"/>
    <w:rsid w:val="008F4298"/>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5508B"/>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4ABD"/>
    <w:rsid w:val="00C52A06"/>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E7848"/>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0793"/>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2473</Words>
  <Characters>14591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17030</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2023-10-02T16:05:00Z</dcterms:created>
  <dcterms:modified xsi:type="dcterms:W3CDTF">2023-10-02T16:05:00Z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