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1190700129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Mateřská</w:t>
      </w:r>
      <w:r>
        <w:rPr>
          <w:spacing w:val="-7"/>
        </w:rPr>
        <w:t> </w:t>
      </w:r>
      <w:r>
        <w:rPr/>
        <w:t>škola</w:t>
      </w:r>
      <w:r>
        <w:rPr>
          <w:spacing w:val="-6"/>
        </w:rPr>
        <w:t> </w:t>
      </w:r>
      <w:r>
        <w:rPr/>
        <w:t>U</w:t>
      </w:r>
      <w:r>
        <w:rPr>
          <w:spacing w:val="-8"/>
        </w:rPr>
        <w:t> </w:t>
      </w:r>
      <w:r>
        <w:rPr/>
        <w:t>Dvoru,</w:t>
      </w:r>
      <w:r>
        <w:rPr>
          <w:spacing w:val="-6"/>
        </w:rPr>
        <w:t> </w:t>
      </w:r>
      <w:r>
        <w:rPr/>
        <w:t>příspěvková</w:t>
      </w:r>
      <w:r>
        <w:rPr>
          <w:spacing w:val="-3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122" w:val="left" w:leader="none"/>
        </w:tabs>
        <w:spacing w:line="237" w:lineRule="auto" w:before="2"/>
        <w:ind w:left="242" w:right="2228"/>
        <w:jc w:val="left"/>
      </w:pPr>
      <w:r>
        <w:rPr/>
        <w:t>kontaktní adresa:</w:t>
        <w:tab/>
        <w:t>U</w:t>
      </w:r>
      <w:r>
        <w:rPr>
          <w:spacing w:val="-6"/>
        </w:rPr>
        <w:t> </w:t>
      </w:r>
      <w:r>
        <w:rPr/>
        <w:t>Dvoru</w:t>
      </w:r>
      <w:r>
        <w:rPr>
          <w:spacing w:val="-5"/>
        </w:rPr>
        <w:t> </w:t>
      </w:r>
      <w:r>
        <w:rPr/>
        <w:t>1255/22,</w:t>
      </w:r>
      <w:r>
        <w:rPr>
          <w:spacing w:val="-6"/>
        </w:rPr>
        <w:t> </w:t>
      </w:r>
      <w:r>
        <w:rPr/>
        <w:t>Mariánské</w:t>
      </w:r>
      <w:r>
        <w:rPr>
          <w:spacing w:val="-6"/>
        </w:rPr>
        <w:t> </w:t>
      </w:r>
      <w:r>
        <w:rPr/>
        <w:t>Hory,</w:t>
      </w:r>
      <w:r>
        <w:rPr>
          <w:spacing w:val="-6"/>
        </w:rPr>
        <w:t> </w:t>
      </w:r>
      <w:r>
        <w:rPr/>
        <w:t>709</w:t>
      </w:r>
      <w:r>
        <w:rPr>
          <w:spacing w:val="-5"/>
        </w:rPr>
        <w:t> </w:t>
      </w:r>
      <w:r>
        <w:rPr/>
        <w:t>00</w:t>
      </w:r>
      <w:r>
        <w:rPr>
          <w:spacing w:val="-5"/>
        </w:rPr>
        <w:t> </w:t>
      </w:r>
      <w:r>
        <w:rPr/>
        <w:t>Ostrava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70984204</w:t>
      </w:r>
    </w:p>
    <w:p>
      <w:pPr>
        <w:pStyle w:val="BodyText"/>
        <w:tabs>
          <w:tab w:pos="3122" w:val="left" w:leader="none"/>
        </w:tabs>
        <w:spacing w:before="2"/>
        <w:ind w:left="24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Renatou</w:t>
      </w:r>
      <w:r>
        <w:rPr>
          <w:spacing w:val="1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74236761/0100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1190700129 o poskytnutí finančních prostředků ze Státního fondu životního prostředí ČR ze dne 20.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2020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7/2019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845"/>
        <w:jc w:val="left"/>
      </w:pPr>
      <w:r>
        <w:rPr/>
        <w:t>„Přírodní</w:t>
      </w:r>
      <w:r>
        <w:rPr>
          <w:spacing w:val="-7"/>
        </w:rPr>
        <w:t> </w:t>
      </w:r>
      <w:r>
        <w:rPr/>
        <w:t>zahrada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MŠ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Dvoru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Ostravě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Mariánských</w:t>
      </w:r>
      <w:r>
        <w:rPr>
          <w:spacing w:val="-6"/>
        </w:rPr>
        <w:t> </w:t>
      </w:r>
      <w:r>
        <w:rPr>
          <w:spacing w:val="-2"/>
        </w:rPr>
        <w:t>Horách“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3"/>
        </w:rPr>
        <w:t> </w:t>
      </w:r>
      <w:r>
        <w:rPr/>
        <w:t>2020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2022.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276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876,56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7"/>
        </w:rPr>
        <w:t> </w:t>
      </w:r>
      <w:r>
        <w:rPr/>
        <w:t>stě</w:t>
      </w:r>
      <w:r>
        <w:rPr>
          <w:spacing w:val="-6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šest</w:t>
      </w:r>
      <w:r>
        <w:rPr>
          <w:spacing w:val="-7"/>
        </w:rPr>
        <w:t> </w:t>
      </w:r>
      <w:r>
        <w:rPr/>
        <w:t>tisíc</w:t>
      </w:r>
      <w:r>
        <w:rPr>
          <w:spacing w:val="-4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7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šest</w:t>
      </w:r>
      <w:r>
        <w:rPr>
          <w:spacing w:val="-4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šest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</w:t>
      </w:r>
      <w:r>
        <w:rPr>
          <w:spacing w:val="65"/>
          <w:sz w:val="20"/>
        </w:rPr>
        <w:t> </w:t>
      </w:r>
      <w:r>
        <w:rPr>
          <w:sz w:val="20"/>
        </w:rPr>
        <w:t>a</w:t>
      </w:r>
      <w:r>
        <w:rPr>
          <w:spacing w:val="66"/>
          <w:sz w:val="20"/>
        </w:rPr>
        <w:t> </w:t>
      </w:r>
      <w:r>
        <w:rPr>
          <w:sz w:val="20"/>
        </w:rPr>
        <w:t>činí</w:t>
      </w:r>
      <w:r>
        <w:rPr>
          <w:spacing w:val="67"/>
          <w:sz w:val="20"/>
        </w:rPr>
        <w:t> </w:t>
      </w:r>
      <w:r>
        <w:rPr>
          <w:sz w:val="20"/>
        </w:rPr>
        <w:t>325 737,14</w:t>
      </w:r>
      <w:r>
        <w:rPr>
          <w:spacing w:val="66"/>
          <w:sz w:val="20"/>
        </w:rPr>
        <w:t> </w:t>
      </w:r>
      <w:r>
        <w:rPr>
          <w:sz w:val="20"/>
        </w:rPr>
        <w:t>Kč</w:t>
      </w:r>
      <w:r>
        <w:rPr>
          <w:spacing w:val="63"/>
          <w:sz w:val="20"/>
        </w:rPr>
        <w:t> </w:t>
      </w:r>
      <w:r>
        <w:rPr>
          <w:sz w:val="20"/>
        </w:rPr>
        <w:t>(z</w:t>
      </w:r>
      <w:r>
        <w:rPr>
          <w:spacing w:val="67"/>
          <w:sz w:val="20"/>
        </w:rPr>
        <w:t> </w:t>
      </w:r>
      <w:r>
        <w:rPr>
          <w:sz w:val="20"/>
        </w:rPr>
        <w:t>toho</w:t>
      </w:r>
      <w:r>
        <w:rPr>
          <w:spacing w:val="66"/>
          <w:sz w:val="20"/>
        </w:rPr>
        <w:t> </w:t>
      </w:r>
      <w:r>
        <w:rPr>
          <w:sz w:val="20"/>
        </w:rPr>
        <w:t>částka</w:t>
      </w:r>
      <w:r>
        <w:rPr>
          <w:spacing w:val="64"/>
          <w:sz w:val="20"/>
        </w:rPr>
        <w:t> </w:t>
      </w:r>
      <w:r>
        <w:rPr>
          <w:sz w:val="20"/>
        </w:rPr>
        <w:t>ve</w:t>
      </w:r>
      <w:r>
        <w:rPr>
          <w:spacing w:val="63"/>
          <w:sz w:val="20"/>
        </w:rPr>
        <w:t> </w:t>
      </w:r>
      <w:r>
        <w:rPr>
          <w:sz w:val="20"/>
        </w:rPr>
        <w:t>výši</w:t>
      </w:r>
      <w:r>
        <w:rPr>
          <w:spacing w:val="65"/>
          <w:sz w:val="20"/>
        </w:rPr>
        <w:t> </w:t>
      </w:r>
      <w:r>
        <w:rPr>
          <w:sz w:val="20"/>
        </w:rPr>
        <w:t>317 103,14 Kč</w:t>
      </w:r>
      <w:r>
        <w:rPr>
          <w:spacing w:val="63"/>
          <w:sz w:val="20"/>
        </w:rPr>
        <w:t> </w:t>
      </w:r>
      <w:r>
        <w:rPr>
          <w:sz w:val="20"/>
        </w:rPr>
        <w:t>odpovídá</w:t>
      </w:r>
      <w:r>
        <w:rPr>
          <w:spacing w:val="66"/>
          <w:sz w:val="20"/>
        </w:rPr>
        <w:t> </w:t>
      </w:r>
      <w:r>
        <w:rPr>
          <w:sz w:val="20"/>
        </w:rPr>
        <w:t>investičním</w:t>
      </w:r>
      <w:r>
        <w:rPr>
          <w:spacing w:val="65"/>
          <w:sz w:val="20"/>
        </w:rPr>
        <w:t> </w:t>
      </w:r>
      <w:r>
        <w:rPr>
          <w:sz w:val="20"/>
        </w:rPr>
        <w:t>výdajům a částka ve výši 8 634,00 Kč odpovídá neinvestičním 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akce)</w:t>
      </w:r>
      <w:r>
        <w:rPr>
          <w:spacing w:val="-8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překročí</w:t>
      </w:r>
      <w:r>
        <w:rPr>
          <w:spacing w:val="-9"/>
          <w:sz w:val="20"/>
        </w:rPr>
        <w:t> </w:t>
      </w:r>
      <w:r>
        <w:rPr>
          <w:sz w:val="20"/>
        </w:rPr>
        <w:t>základ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(popřípadě jeho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postupu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akce),</w:t>
      </w:r>
      <w:r>
        <w:rPr>
          <w:spacing w:val="40"/>
          <w:sz w:val="20"/>
        </w:rPr>
        <w:t> </w:t>
      </w:r>
      <w:r>
        <w:rPr>
          <w:sz w:val="20"/>
        </w:rPr>
        <w:t>uhradí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částku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 Výzvy, s výjimkou výdajů na 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poskytována</w:t>
      </w:r>
      <w:r>
        <w:rPr>
          <w:spacing w:val="39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39"/>
          <w:sz w:val="20"/>
        </w:rPr>
        <w:t> </w:t>
      </w:r>
      <w:r>
        <w:rPr>
          <w:sz w:val="20"/>
        </w:rPr>
        <w:t>prostředků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39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průběžně</w:t>
      </w:r>
      <w:r>
        <w:rPr>
          <w:spacing w:val="-9"/>
          <w:sz w:val="20"/>
        </w:rPr>
        <w:t> </w:t>
      </w:r>
      <w:r>
        <w:rPr>
          <w:sz w:val="20"/>
        </w:rPr>
        <w:t>postupem</w:t>
      </w:r>
      <w:r>
        <w:rPr>
          <w:spacing w:val="-10"/>
          <w:sz w:val="20"/>
        </w:rPr>
        <w:t> </w:t>
      </w:r>
      <w:r>
        <w:rPr>
          <w:sz w:val="20"/>
        </w:rPr>
        <w:t>stanoveným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bodech</w:t>
      </w:r>
      <w:r>
        <w:rPr>
          <w:spacing w:val="-11"/>
          <w:sz w:val="20"/>
        </w:rPr>
        <w:t> </w:t>
      </w:r>
      <w:r>
        <w:rPr>
          <w:sz w:val="20"/>
        </w:rPr>
        <w:t>10–15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1"/>
          <w:sz w:val="20"/>
        </w:rPr>
        <w:t> </w:t>
      </w:r>
      <w:r>
        <w:rPr>
          <w:sz w:val="20"/>
        </w:rPr>
        <w:t>aby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276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876,56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25"/>
          <w:sz w:val="20"/>
        </w:rPr>
        <w:t> </w:t>
      </w:r>
      <w:r>
        <w:rPr>
          <w:sz w:val="20"/>
        </w:rPr>
        <w:t>ČR“)</w:t>
      </w:r>
      <w:r>
        <w:rPr>
          <w:spacing w:val="2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24"/>
          <w:sz w:val="20"/>
        </w:rPr>
        <w:t> </w:t>
      </w:r>
      <w:r>
        <w:rPr>
          <w:sz w:val="20"/>
        </w:rPr>
        <w:t>žádostí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24"/>
          <w:sz w:val="20"/>
        </w:rPr>
        <w:t> </w:t>
      </w:r>
      <w:r>
        <w:rPr>
          <w:sz w:val="20"/>
        </w:rPr>
        <w:t>finančních</w:t>
      </w:r>
      <w:r>
        <w:rPr>
          <w:spacing w:val="24"/>
          <w:sz w:val="20"/>
        </w:rPr>
        <w:t> </w:t>
      </w:r>
      <w:r>
        <w:rPr>
          <w:sz w:val="20"/>
        </w:rPr>
        <w:t>prostředků,</w:t>
      </w:r>
      <w:r>
        <w:rPr>
          <w:spacing w:val="24"/>
          <w:sz w:val="20"/>
        </w:rPr>
        <w:t> </w:t>
      </w:r>
      <w:r>
        <w:rPr>
          <w:sz w:val="20"/>
        </w:rPr>
        <w:t>(bod</w:t>
      </w:r>
      <w:r>
        <w:rPr>
          <w:spacing w:val="24"/>
          <w:sz w:val="20"/>
        </w:rPr>
        <w:t> </w:t>
      </w:r>
      <w:r>
        <w:rPr>
          <w:sz w:val="20"/>
        </w:rPr>
        <w:t>11),</w:t>
      </w:r>
      <w:r>
        <w:rPr>
          <w:spacing w:val="24"/>
          <w:sz w:val="20"/>
        </w:rPr>
        <w:t> </w:t>
      </w:r>
      <w:r>
        <w:rPr>
          <w:sz w:val="20"/>
        </w:rPr>
        <w:t>příslušné</w:t>
      </w:r>
      <w:r>
        <w:rPr>
          <w:spacing w:val="23"/>
          <w:sz w:val="20"/>
        </w:rPr>
        <w:t> </w:t>
      </w:r>
      <w:r>
        <w:rPr>
          <w:sz w:val="20"/>
        </w:rPr>
        <w:t>doklady</w:t>
      </w:r>
      <w:r>
        <w:rPr>
          <w:spacing w:val="24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oprávněnost</w:t>
      </w:r>
      <w:r>
        <w:rPr>
          <w:spacing w:val="-12"/>
        </w:rPr>
        <w:t> </w:t>
      </w:r>
      <w:r>
        <w:rPr/>
        <w:t>vynaložených</w:t>
      </w:r>
      <w:r>
        <w:rPr>
          <w:spacing w:val="-10"/>
        </w:rPr>
        <w:t> </w:t>
      </w:r>
      <w:r>
        <w:rPr/>
        <w:t>finančních</w:t>
      </w:r>
      <w:r>
        <w:rPr>
          <w:spacing w:val="-10"/>
        </w:rPr>
        <w:t> </w:t>
      </w:r>
      <w:r>
        <w:rPr>
          <w:spacing w:val="-2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nehradil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8"/>
          <w:sz w:val="20"/>
        </w:rPr>
        <w:t> </w:t>
      </w:r>
      <w:r>
        <w:rPr>
          <w:sz w:val="20"/>
        </w:rPr>
        <w:t>zdrojů 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3"/>
          <w:sz w:val="20"/>
        </w:rPr>
        <w:t> </w:t>
      </w:r>
      <w:r>
        <w:rPr>
          <w:sz w:val="20"/>
        </w:rPr>
        <w:t>základ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4"/>
          <w:sz w:val="20"/>
        </w:rPr>
        <w:t> </w:t>
      </w:r>
      <w:r>
        <w:rPr>
          <w:sz w:val="20"/>
        </w:rPr>
        <w:t>Ustanovení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tím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4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6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odpovídající</w:t>
      </w:r>
      <w:r>
        <w:rPr>
          <w:spacing w:val="-8"/>
        </w:rPr>
        <w:t> </w:t>
      </w:r>
      <w:r>
        <w:rPr/>
        <w:t>změnu</w:t>
      </w:r>
      <w:r>
        <w:rPr>
          <w:spacing w:val="-6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7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</w:t>
      </w:r>
      <w:r>
        <w:rPr>
          <w:spacing w:val="80"/>
          <w:sz w:val="20"/>
        </w:rPr>
        <w:t>  </w:t>
      </w:r>
      <w:r>
        <w:rPr>
          <w:sz w:val="20"/>
        </w:rPr>
        <w:t>dle</w:t>
      </w:r>
      <w:r>
        <w:rPr>
          <w:spacing w:val="80"/>
          <w:sz w:val="20"/>
        </w:rPr>
        <w:t>  </w:t>
      </w:r>
      <w:r>
        <w:rPr>
          <w:sz w:val="20"/>
        </w:rPr>
        <w:t>Fondem</w:t>
      </w:r>
      <w:r>
        <w:rPr>
          <w:spacing w:val="79"/>
          <w:sz w:val="20"/>
        </w:rPr>
        <w:t>  </w:t>
      </w:r>
      <w:r>
        <w:rPr>
          <w:sz w:val="20"/>
        </w:rPr>
        <w:t>akceptovaného</w:t>
      </w:r>
      <w:r>
        <w:rPr>
          <w:spacing w:val="80"/>
          <w:sz w:val="20"/>
        </w:rPr>
        <w:t>  </w:t>
      </w:r>
      <w:r>
        <w:rPr>
          <w:sz w:val="20"/>
        </w:rPr>
        <w:t>finančně</w:t>
      </w:r>
      <w:r>
        <w:rPr>
          <w:spacing w:val="80"/>
          <w:sz w:val="20"/>
        </w:rPr>
        <w:t>  </w:t>
      </w:r>
      <w:r>
        <w:rPr>
          <w:sz w:val="20"/>
        </w:rPr>
        <w:t>platebního</w:t>
      </w:r>
      <w:r>
        <w:rPr>
          <w:spacing w:val="80"/>
          <w:sz w:val="20"/>
        </w:rPr>
        <w:t>  </w:t>
      </w:r>
      <w:r>
        <w:rPr>
          <w:sz w:val="20"/>
        </w:rPr>
        <w:t>kalendáře</w:t>
      </w:r>
      <w:r>
        <w:rPr>
          <w:spacing w:val="80"/>
          <w:sz w:val="20"/>
        </w:rPr>
        <w:t>  </w:t>
      </w:r>
      <w:r>
        <w:rPr>
          <w:sz w:val="20"/>
        </w:rPr>
        <w:t>v AIS</w:t>
      </w:r>
      <w:r>
        <w:rPr>
          <w:spacing w:val="80"/>
          <w:sz w:val="20"/>
        </w:rPr>
        <w:t>  </w:t>
      </w:r>
      <w:r>
        <w:rPr>
          <w:sz w:val="20"/>
        </w:rPr>
        <w:t>SFŽP</w:t>
      </w:r>
      <w:r>
        <w:rPr>
          <w:spacing w:val="80"/>
          <w:sz w:val="20"/>
        </w:rPr>
        <w:t>  </w:t>
      </w:r>
      <w:r>
        <w:rPr>
          <w:sz w:val="20"/>
        </w:rPr>
        <w:t>ČR a na základě žádosti o</w:t>
      </w:r>
      <w:r>
        <w:rPr>
          <w:spacing w:val="-1"/>
          <w:sz w:val="20"/>
        </w:rPr>
        <w:t> </w:t>
      </w:r>
      <w:r>
        <w:rPr>
          <w:sz w:val="20"/>
        </w:rPr>
        <w:t>uvolnění finančních prostředků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obsahovat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78"/>
          <w:sz w:val="20"/>
        </w:rPr>
        <w:t> </w:t>
      </w:r>
      <w:r>
        <w:rPr>
          <w:sz w:val="20"/>
        </w:rPr>
        <w:t>bankovních</w:t>
      </w:r>
      <w:r>
        <w:rPr>
          <w:spacing w:val="78"/>
          <w:sz w:val="20"/>
        </w:rPr>
        <w:t> </w:t>
      </w:r>
      <w:r>
        <w:rPr>
          <w:sz w:val="20"/>
        </w:rPr>
        <w:t>výpisů</w:t>
      </w:r>
      <w:r>
        <w:rPr>
          <w:spacing w:val="80"/>
          <w:sz w:val="20"/>
        </w:rPr>
        <w:t> </w:t>
      </w:r>
      <w:r>
        <w:rPr>
          <w:sz w:val="20"/>
        </w:rPr>
        <w:t>dokladující</w:t>
      </w:r>
      <w:r>
        <w:rPr>
          <w:spacing w:val="78"/>
          <w:sz w:val="20"/>
        </w:rPr>
        <w:t> </w:t>
      </w:r>
      <w:r>
        <w:rPr>
          <w:sz w:val="20"/>
        </w:rPr>
        <w:t>uhrazení</w:t>
      </w:r>
      <w:r>
        <w:rPr>
          <w:spacing w:val="78"/>
          <w:sz w:val="20"/>
        </w:rPr>
        <w:t> </w:t>
      </w:r>
      <w:r>
        <w:rPr>
          <w:sz w:val="20"/>
        </w:rPr>
        <w:t>faktur</w:t>
      </w:r>
      <w:r>
        <w:rPr>
          <w:spacing w:val="78"/>
          <w:sz w:val="20"/>
        </w:rPr>
        <w:t> </w:t>
      </w:r>
      <w:r>
        <w:rPr>
          <w:sz w:val="20"/>
        </w:rPr>
        <w:t>zhotoviteli,</w:t>
      </w:r>
      <w:r>
        <w:rPr>
          <w:spacing w:val="78"/>
          <w:sz w:val="20"/>
        </w:rPr>
        <w:t> </w:t>
      </w:r>
      <w:r>
        <w:rPr>
          <w:sz w:val="20"/>
        </w:rPr>
        <w:t>případně</w:t>
      </w:r>
      <w:r>
        <w:rPr>
          <w:spacing w:val="80"/>
          <w:sz w:val="20"/>
        </w:rPr>
        <w:t> </w:t>
      </w:r>
      <w:r>
        <w:rPr>
          <w:sz w:val="20"/>
        </w:rPr>
        <w:t>doklady,</w:t>
      </w:r>
      <w:r>
        <w:rPr>
          <w:spacing w:val="78"/>
          <w:sz w:val="20"/>
        </w:rPr>
        <w:t> </w:t>
      </w:r>
      <w:r>
        <w:rPr>
          <w:sz w:val="20"/>
        </w:rPr>
        <w:t>že</w:t>
      </w:r>
      <w:r>
        <w:rPr>
          <w:spacing w:val="77"/>
          <w:sz w:val="20"/>
        </w:rPr>
        <w:t> </w:t>
      </w:r>
      <w:r>
        <w:rPr>
          <w:sz w:val="20"/>
        </w:rPr>
        <w:t>došlo ke skutečnému uhrazení výdajů, včetně 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uvolnění</w:t>
      </w:r>
      <w:r>
        <w:rPr>
          <w:spacing w:val="-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 a</w:t>
      </w:r>
      <w:r>
        <w:rPr>
          <w:spacing w:val="-1"/>
          <w:sz w:val="20"/>
        </w:rPr>
        <w:t> </w:t>
      </w:r>
      <w:r>
        <w:rPr>
          <w:sz w:val="20"/>
        </w:rPr>
        <w:t>předložením kopií</w:t>
      </w:r>
      <w:r>
        <w:rPr>
          <w:spacing w:val="-1"/>
          <w:sz w:val="20"/>
        </w:rPr>
        <w:t> </w:t>
      </w:r>
      <w:r>
        <w:rPr>
          <w:sz w:val="20"/>
        </w:rPr>
        <w:t>faktur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mj.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1"/>
          <w:sz w:val="20"/>
        </w:rPr>
        <w:t> </w:t>
      </w:r>
      <w:r>
        <w:rPr>
          <w:sz w:val="20"/>
        </w:rPr>
        <w:t>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53"/>
          <w:w w:val="150"/>
          <w:sz w:val="20"/>
        </w:rPr>
        <w:t> </w:t>
      </w:r>
      <w:r>
        <w:rPr>
          <w:sz w:val="20"/>
        </w:rPr>
        <w:t>mohou</w:t>
      </w:r>
      <w:r>
        <w:rPr>
          <w:spacing w:val="76"/>
          <w:sz w:val="20"/>
        </w:rPr>
        <w:t> </w:t>
      </w:r>
      <w:r>
        <w:rPr>
          <w:sz w:val="20"/>
        </w:rPr>
        <w:t>být</w:t>
      </w:r>
      <w:r>
        <w:rPr>
          <w:spacing w:val="79"/>
          <w:sz w:val="20"/>
        </w:rPr>
        <w:t> </w:t>
      </w:r>
      <w:r>
        <w:rPr>
          <w:sz w:val="20"/>
        </w:rPr>
        <w:t>předloženy</w:t>
      </w:r>
      <w:r>
        <w:rPr>
          <w:spacing w:val="78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52"/>
          <w:w w:val="150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3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7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9"/>
        </w:rPr>
        <w:t> </w:t>
      </w:r>
      <w:r>
        <w:rPr/>
        <w:t>odpovídá</w:t>
      </w:r>
      <w:r>
        <w:rPr>
          <w:spacing w:val="-10"/>
        </w:rPr>
        <w:t> </w:t>
      </w:r>
      <w:r>
        <w:rPr/>
        <w:t>termínům</w:t>
      </w:r>
      <w:r>
        <w:rPr>
          <w:spacing w:val="-7"/>
        </w:rPr>
        <w:t> </w:t>
      </w:r>
      <w:r>
        <w:rPr/>
        <w:t>realizace</w:t>
      </w:r>
      <w:r>
        <w:rPr>
          <w:spacing w:val="-2"/>
        </w:rPr>
        <w:t>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 Tyto pokyny mohou být uvedeny</w:t>
      </w:r>
      <w:r>
        <w:rPr>
          <w:spacing w:val="40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9"/>
        <w:ind w:left="261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4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923" w:right="115"/>
      </w:pPr>
      <w:r>
        <w:rPr/>
        <w:t>„Přírodní zahrada u MŠ U Dvoru v Ostravě – Mariánských Horách“ ze dne 6. 4. 2020,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9" w:hanging="286"/>
        <w:jc w:val="both"/>
        <w:rPr>
          <w:sz w:val="20"/>
        </w:rPr>
      </w:pPr>
      <w:r>
        <w:rPr>
          <w:sz w:val="20"/>
        </w:rPr>
        <w:t>v období od 6/2020 do 12/2022 pořídil předměty uvedené v aktualizovaném rozpočtu projektu ze dne 21. 2. 2023 a vysadil minimálně jeden stanovištně vhodný strom, přičemž se zavazuje zajistit následnou péči o 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páté) po dobu 3</w:t>
      </w:r>
      <w:r>
        <w:rPr>
          <w:spacing w:val="-2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923" w:right="110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</w:t>
      </w:r>
      <w:r>
        <w:rPr>
          <w:spacing w:val="-2"/>
        </w:rPr>
        <w:t> </w:t>
      </w:r>
      <w:r>
        <w:rPr/>
        <w:t>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8"/>
          <w:sz w:val="20"/>
        </w:rPr>
        <w:t> </w:t>
      </w:r>
      <w:r>
        <w:rPr>
          <w:sz w:val="20"/>
        </w:rPr>
        <w:t>veřejnost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fázích</w:t>
      </w:r>
      <w:r>
        <w:rPr>
          <w:spacing w:val="-8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8"/>
          <w:sz w:val="20"/>
        </w:rPr>
        <w:t> </w:t>
      </w:r>
      <w:r>
        <w:rPr>
          <w:sz w:val="20"/>
        </w:rPr>
        <w:t>plánování,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projektu)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8"/>
          <w:sz w:val="20"/>
        </w:rPr>
        <w:t> </w:t>
      </w:r>
      <w:r>
        <w:rPr>
          <w:sz w:val="20"/>
        </w:rPr>
        <w:t>to relevantní, splní povinnost podle čl. 10 písm. k) 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92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2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1"/>
          <w:sz w:val="20"/>
        </w:rPr>
        <w:t> </w:t>
      </w:r>
      <w:r>
        <w:rPr>
          <w:sz w:val="20"/>
        </w:rPr>
        <w:t>zákon</w:t>
      </w:r>
      <w:r>
        <w:rPr>
          <w:spacing w:val="3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6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6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4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0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zakázek, stanovená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Směrnici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2"/>
          <w:sz w:val="20"/>
        </w:rPr>
        <w:t> </w:t>
      </w:r>
      <w:r>
        <w:rPr>
          <w:sz w:val="20"/>
        </w:rPr>
        <w:t>příloh) a v aktuálních Pokynech pro zadávání veřejných zakázek v OPŽP 2014-2020, které jsou zveřejněny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hyperlink r:id="rId6">
        <w:r>
          <w:rPr>
            <w:sz w:val="20"/>
          </w:rPr>
          <w:t>www.sfzp.cz,</w:t>
        </w:r>
      </w:hyperlink>
      <w:r>
        <w:rPr>
          <w:spacing w:val="-10"/>
          <w:sz w:val="20"/>
        </w:rPr>
        <w:t> </w:t>
      </w:r>
      <w:r>
        <w:rPr>
          <w:sz w:val="20"/>
        </w:rPr>
        <w:t>sekce</w:t>
      </w:r>
      <w:r>
        <w:rPr>
          <w:spacing w:val="-14"/>
          <w:sz w:val="20"/>
        </w:rPr>
        <w:t> </w:t>
      </w:r>
      <w:r>
        <w:rPr>
          <w:sz w:val="20"/>
        </w:rPr>
        <w:t>Národní</w:t>
      </w:r>
      <w:r>
        <w:rPr>
          <w:spacing w:val="-13"/>
          <w:sz w:val="20"/>
        </w:rPr>
        <w:t> </w:t>
      </w:r>
      <w:r>
        <w:rPr>
          <w:sz w:val="20"/>
        </w:rPr>
        <w:t>program</w:t>
      </w:r>
      <w:r>
        <w:rPr>
          <w:spacing w:val="-12"/>
          <w:sz w:val="20"/>
        </w:rPr>
        <w:t> </w:t>
      </w:r>
      <w:r>
        <w:rPr>
          <w:sz w:val="20"/>
        </w:rPr>
        <w:t>Životní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programu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1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 Specifické</w:t>
      </w:r>
      <w:r>
        <w:rPr>
          <w:spacing w:val="37"/>
        </w:rPr>
        <w:t> </w:t>
      </w:r>
      <w:r>
        <w:rPr/>
        <w:t>povinnosti</w:t>
      </w:r>
      <w:r>
        <w:rPr>
          <w:spacing w:val="37"/>
        </w:rPr>
        <w:t> </w:t>
      </w:r>
      <w:r>
        <w:rPr/>
        <w:t>relevantní</w:t>
      </w:r>
      <w:r>
        <w:rPr>
          <w:spacing w:val="35"/>
        </w:rPr>
        <w:t> </w:t>
      </w:r>
      <w:r>
        <w:rPr/>
        <w:t>pouze</w:t>
      </w:r>
      <w:r>
        <w:rPr>
          <w:spacing w:val="34"/>
        </w:rPr>
        <w:t> </w:t>
      </w:r>
      <w:r>
        <w:rPr/>
        <w:t>pro</w:t>
      </w:r>
      <w:r>
        <w:rPr>
          <w:spacing w:val="36"/>
        </w:rPr>
        <w:t> </w:t>
      </w:r>
      <w:r>
        <w:rPr/>
        <w:t>OPŽP</w:t>
      </w:r>
      <w:r>
        <w:rPr>
          <w:spacing w:val="36"/>
        </w:rPr>
        <w:t> </w:t>
      </w:r>
      <w:r>
        <w:rPr/>
        <w:t>2014-2020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na</w:t>
      </w:r>
      <w:r>
        <w:rPr>
          <w:spacing w:val="35"/>
        </w:rPr>
        <w:t> </w:t>
      </w:r>
      <w:r>
        <w:rPr/>
        <w:t>příjemce</w:t>
      </w:r>
      <w:r>
        <w:rPr>
          <w:spacing w:val="34"/>
        </w:rPr>
        <w:t> </w:t>
      </w:r>
      <w:r>
        <w:rPr/>
        <w:t>podpory</w:t>
      </w:r>
      <w:r>
        <w:rPr>
          <w:spacing w:val="35"/>
        </w:rPr>
        <w:t> </w:t>
      </w:r>
      <w:r>
        <w:rPr/>
        <w:t>nevztahují. V této souvislosti příjemce podpory prohlašuje, že uvedená pravidla byla 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0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1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63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3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první,</w:t>
      </w:r>
      <w:r>
        <w:rPr>
          <w:spacing w:val="40"/>
          <w:sz w:val="20"/>
        </w:rPr>
        <w:t> </w:t>
      </w:r>
      <w:r>
        <w:rPr>
          <w:sz w:val="20"/>
        </w:rPr>
        <w:t>druhou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třetí</w:t>
      </w:r>
      <w:r>
        <w:rPr>
          <w:spacing w:val="40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8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III</w:t>
      </w:r>
      <w:r>
        <w:rPr>
          <w:spacing w:val="-3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2 až</w:t>
      </w:r>
      <w:r>
        <w:rPr>
          <w:spacing w:val="-2"/>
          <w:sz w:val="20"/>
        </w:rPr>
        <w:t> </w:t>
      </w:r>
      <w:r>
        <w:rPr>
          <w:sz w:val="20"/>
        </w:rPr>
        <w:t>8,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zejména</w:t>
      </w:r>
      <w:r>
        <w:rPr>
          <w:spacing w:val="-3"/>
          <w:sz w:val="20"/>
        </w:rPr>
        <w:t> </w:t>
      </w:r>
      <w:r>
        <w:rPr>
          <w:sz w:val="20"/>
        </w:rPr>
        <w:t>tehdy,</w:t>
      </w:r>
      <w:r>
        <w:rPr>
          <w:spacing w:val="-3"/>
          <w:sz w:val="20"/>
        </w:rPr>
        <w:t> </w:t>
      </w:r>
      <w:r>
        <w:rPr>
          <w:sz w:val="20"/>
        </w:rPr>
        <w:t>kdy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 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87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8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2023-07-26T12:35:59Z</dcterms:created>
  <dcterms:modified xsi:type="dcterms:W3CDTF">2023-07-26T12:35:59Z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2023-07-26T00:00:00Z</vt:filetime>
  </property>
</Properties>
</file>