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Smlouva č. </w:t>
      </w:r>
      <w:r>
        <w:rPr>
          <w:rFonts w:ascii="Arial" w:eastAsia="Arial" w:hAnsi="Arial" w:cs="Arial"/>
          <w:b/>
          <w:color w:val="FF0000"/>
          <w:sz w:val="20"/>
          <w:szCs w:val="20"/>
        </w:rPr>
        <w:t>TKC/2023/02/JT</w:t>
      </w:r>
    </w:p>
    <w:p w:rsidR="00E302CF" w:rsidRDefault="00E302C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 poskytování telekomunikačních služeb pronájmu datového okruhu a poskytnutí připojení do internetu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TKC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system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s.r.o.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Zastoupena: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Ing. Jiřím Tkáčem, jednatelem společnosti,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 sídlem: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Nám. Minoritů 89/13, 794 01 Krnov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27776069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CZ27776069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Bankovní spojení: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xxxxxxxxxxxx</w:t>
      </w:r>
      <w:proofErr w:type="spellEnd"/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ind w:left="3540" w:hanging="3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Zápis v obchodním rejstříku: </w:t>
      </w:r>
      <w:r>
        <w:rPr>
          <w:rFonts w:ascii="Arial" w:eastAsia="Arial" w:hAnsi="Arial" w:cs="Arial"/>
          <w:sz w:val="20"/>
          <w:szCs w:val="20"/>
        </w:rPr>
        <w:tab/>
        <w:t>Společnost zapsaná u rejstříkového soudu v Ostravě, oddíl C, vložka 41546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pro účely této sml</w:t>
      </w:r>
      <w:r>
        <w:rPr>
          <w:rFonts w:ascii="Arial" w:eastAsia="Arial" w:hAnsi="Arial" w:cs="Arial"/>
          <w:sz w:val="20"/>
          <w:szCs w:val="20"/>
        </w:rPr>
        <w:t xml:space="preserve">ouvy jen: </w:t>
      </w:r>
      <w:r>
        <w:rPr>
          <w:rFonts w:ascii="Arial" w:eastAsia="Arial" w:hAnsi="Arial" w:cs="Arial"/>
          <w:sz w:val="20"/>
          <w:szCs w:val="20"/>
        </w:rPr>
        <w:tab/>
        <w:t>Poskytovatel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Obchodní firma: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Verdana" w:eastAsia="Verdana" w:hAnsi="Verdana" w:cs="Verdana"/>
          <w:b/>
          <w:color w:val="555555"/>
          <w:sz w:val="18"/>
          <w:szCs w:val="18"/>
        </w:rPr>
        <w:t>Sdružené zdravotnické zařízení Krnov, příspěvková organizace</w:t>
      </w:r>
      <w:r>
        <w:rPr>
          <w:rFonts w:ascii="Verdana" w:eastAsia="Verdana" w:hAnsi="Verdana" w:cs="Verdana"/>
          <w:b/>
          <w:color w:val="555555"/>
          <w:sz w:val="18"/>
          <w:szCs w:val="18"/>
        </w:rPr>
        <w:br/>
      </w:r>
      <w:r>
        <w:rPr>
          <w:rFonts w:ascii="Verdana" w:eastAsia="Verdana" w:hAnsi="Verdana" w:cs="Verdana"/>
          <w:b/>
          <w:color w:val="555555"/>
          <w:sz w:val="18"/>
          <w:szCs w:val="18"/>
        </w:rPr>
        <w:tab/>
      </w:r>
      <w:r>
        <w:rPr>
          <w:rFonts w:ascii="Verdana" w:eastAsia="Verdana" w:hAnsi="Verdana" w:cs="Verdana"/>
          <w:b/>
          <w:color w:val="555555"/>
          <w:sz w:val="18"/>
          <w:szCs w:val="18"/>
        </w:rPr>
        <w:tab/>
      </w:r>
      <w:r>
        <w:rPr>
          <w:rFonts w:ascii="Verdana" w:eastAsia="Verdana" w:hAnsi="Verdana" w:cs="Verdana"/>
          <w:b/>
          <w:color w:val="555555"/>
          <w:sz w:val="18"/>
          <w:szCs w:val="18"/>
        </w:rPr>
        <w:tab/>
      </w:r>
      <w:r>
        <w:rPr>
          <w:rFonts w:ascii="Verdana" w:eastAsia="Verdana" w:hAnsi="Verdana" w:cs="Verdana"/>
          <w:b/>
          <w:color w:val="555555"/>
          <w:sz w:val="18"/>
          <w:szCs w:val="18"/>
        </w:rPr>
        <w:tab/>
      </w:r>
      <w:r>
        <w:rPr>
          <w:rFonts w:ascii="Verdana" w:eastAsia="Verdana" w:hAnsi="Verdana" w:cs="Verdana"/>
          <w:b/>
          <w:color w:val="555555"/>
          <w:sz w:val="18"/>
          <w:szCs w:val="18"/>
        </w:rPr>
        <w:tab/>
      </w:r>
      <w:r>
        <w:rPr>
          <w:rFonts w:ascii="Arial" w:eastAsia="Arial" w:hAnsi="Arial" w:cs="Arial"/>
          <w:b/>
          <w:sz w:val="20"/>
          <w:szCs w:val="20"/>
        </w:rPr>
        <w:t>s.r.o.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Pr="001B6F4B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Zastoupena: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B6F4B">
        <w:rPr>
          <w:rFonts w:ascii="Arial" w:eastAsia="Arial" w:hAnsi="Arial" w:cs="Arial"/>
          <w:color w:val="202D40"/>
          <w:sz w:val="20"/>
          <w:szCs w:val="20"/>
        </w:rPr>
        <w:t xml:space="preserve">MUDr. Ladislav </w:t>
      </w:r>
      <w:proofErr w:type="spellStart"/>
      <w:r w:rsidRPr="001B6F4B">
        <w:rPr>
          <w:rFonts w:ascii="Arial" w:eastAsia="Arial" w:hAnsi="Arial" w:cs="Arial"/>
          <w:color w:val="202D40"/>
          <w:sz w:val="20"/>
          <w:szCs w:val="20"/>
        </w:rPr>
        <w:t>Václavec</w:t>
      </w:r>
      <w:proofErr w:type="spellEnd"/>
      <w:r w:rsidRPr="001B6F4B">
        <w:rPr>
          <w:rFonts w:ascii="Arial" w:eastAsia="Arial" w:hAnsi="Arial" w:cs="Arial"/>
          <w:color w:val="202D40"/>
          <w:sz w:val="20"/>
          <w:szCs w:val="20"/>
        </w:rPr>
        <w:t>, MBA</w:t>
      </w:r>
      <w:r w:rsidRPr="001B6F4B"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B6F4B">
        <w:rPr>
          <w:rFonts w:ascii="Arial" w:eastAsia="Arial" w:hAnsi="Arial" w:cs="Arial"/>
          <w:sz w:val="20"/>
          <w:szCs w:val="20"/>
        </w:rPr>
        <w:t>Technická kontaktní osoba:</w:t>
      </w:r>
      <w:r w:rsidRPr="001B6F4B">
        <w:rPr>
          <w:rFonts w:ascii="Arial" w:eastAsia="Arial" w:hAnsi="Arial" w:cs="Arial"/>
          <w:sz w:val="20"/>
          <w:szCs w:val="20"/>
        </w:rPr>
        <w:tab/>
      </w:r>
      <w:r w:rsidRPr="001B6F4B"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xxxxx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xxxxxx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Se sídlem: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I.P.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Pavlova 552/9, 794 01 Krnov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lČ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00844641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CZ00844641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Bankovní spojení: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xxxxxxxxxxxxx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Dále pro účely této smlouvy jen: </w:t>
      </w:r>
      <w:r>
        <w:rPr>
          <w:rFonts w:ascii="Arial" w:eastAsia="Arial" w:hAnsi="Arial" w:cs="Arial"/>
          <w:sz w:val="20"/>
          <w:szCs w:val="20"/>
        </w:rPr>
        <w:tab/>
        <w:t>Klient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uzavírají v souladu s ustanovením § 1746 odst. 2 zákona č. 89/2012 Sb. občanského zákoníku, v platném znění (dále </w:t>
      </w:r>
      <w:proofErr w:type="gramStart"/>
      <w:r>
        <w:rPr>
          <w:rFonts w:ascii="Arial" w:eastAsia="Arial" w:hAnsi="Arial" w:cs="Arial"/>
          <w:sz w:val="20"/>
          <w:szCs w:val="20"/>
        </w:rPr>
        <w:t>jen ,,občanský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zákoník") tuto smlouvu o poskytování služeb v oblasti přenosu dat (dále jen ,,smlouva"):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Předmět smlouvy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1.1. Poskytovatel</w:t>
      </w:r>
      <w:r>
        <w:rPr>
          <w:rFonts w:ascii="Arial" w:eastAsia="Arial" w:hAnsi="Arial" w:cs="Arial"/>
          <w:sz w:val="20"/>
          <w:szCs w:val="20"/>
        </w:rPr>
        <w:t xml:space="preserve"> poskytne v bodě </w:t>
      </w:r>
      <w:proofErr w:type="spellStart"/>
      <w:r>
        <w:rPr>
          <w:rFonts w:ascii="Arial" w:eastAsia="Arial" w:hAnsi="Arial" w:cs="Arial"/>
          <w:sz w:val="20"/>
          <w:szCs w:val="20"/>
        </w:rPr>
        <w:t>serverovna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SZZ přípojku do internetu o kapacitě 150/150 Mbps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1.2. Poskytovatel se zavazuje zajistit Klientovi související monitoring a technickou podporu.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1.3. Garantovaná úroveň služeb (SLA) - </w:t>
      </w:r>
      <w:proofErr w:type="spellStart"/>
      <w:r>
        <w:rPr>
          <w:rFonts w:ascii="Arial" w:eastAsia="Arial" w:hAnsi="Arial" w:cs="Arial"/>
          <w:sz w:val="20"/>
          <w:szCs w:val="20"/>
        </w:rPr>
        <w:t>Service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Level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Agreement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(SLA) je definice, </w:t>
      </w:r>
      <w:r>
        <w:rPr>
          <w:rFonts w:ascii="Arial" w:eastAsia="Arial" w:hAnsi="Arial" w:cs="Arial"/>
          <w:sz w:val="20"/>
          <w:szCs w:val="20"/>
        </w:rPr>
        <w:t>která přesně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specifikuje parametry služeb. Poskytovatel garantuje dostupnost služby dle přílohy č. 1 ČI. 4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odst. 4.1.1 této smlouvy.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1.4. Klient se zavazuje za pronájem výše specifikovaných služeb zaplatit poskytovateli sjednanou cenu.</w:t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br/>
        <w:t>2. Cena a platebn</w:t>
      </w:r>
      <w:r>
        <w:rPr>
          <w:rFonts w:ascii="Arial" w:eastAsia="Arial" w:hAnsi="Arial" w:cs="Arial"/>
          <w:b/>
          <w:sz w:val="20"/>
          <w:szCs w:val="20"/>
        </w:rPr>
        <w:t>í podmínky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2.1. Cena jednorázového poplatku za zřízení služeb specifikovaných v odst. </w:t>
      </w:r>
      <w:proofErr w:type="gramStart"/>
      <w:r>
        <w:rPr>
          <w:rFonts w:ascii="Arial" w:eastAsia="Arial" w:hAnsi="Arial" w:cs="Arial"/>
          <w:sz w:val="20"/>
          <w:szCs w:val="20"/>
        </w:rPr>
        <w:t>1.1</w:t>
      </w:r>
      <w:proofErr w:type="gramEnd"/>
      <w:r>
        <w:rPr>
          <w:rFonts w:ascii="Arial" w:eastAsia="Arial" w:hAnsi="Arial" w:cs="Arial"/>
          <w:sz w:val="20"/>
          <w:szCs w:val="20"/>
        </w:rPr>
        <w:t>. a 1.2. této smlouvy je 15000 Kč.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2.2. Cena měsíčního poplatku za poskytnutí služeb specifikovaných v odst. </w:t>
      </w:r>
      <w:proofErr w:type="gramStart"/>
      <w:r>
        <w:rPr>
          <w:rFonts w:ascii="Arial" w:eastAsia="Arial" w:hAnsi="Arial" w:cs="Arial"/>
          <w:sz w:val="20"/>
          <w:szCs w:val="20"/>
        </w:rPr>
        <w:t>1.1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 a 1.2. této smlouvy je 5500 Kč. 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2.3. Uvedené ce</w:t>
      </w:r>
      <w:r>
        <w:rPr>
          <w:rFonts w:ascii="Arial" w:eastAsia="Arial" w:hAnsi="Arial" w:cs="Arial"/>
          <w:sz w:val="20"/>
          <w:szCs w:val="20"/>
        </w:rPr>
        <w:t>ny jsou bez DPH. K fakturované ceně bude připočtena DPH ve výši dle sazby platné v době uskutečnění zdanitelného plnění.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2.4. Klient se zavazuje zaplatit sjednanou cenu na účet Poskytovatele uvedený na faktuře, jako variabilní symbol se uvede číslo faktur</w:t>
      </w:r>
      <w:r>
        <w:rPr>
          <w:rFonts w:ascii="Arial" w:eastAsia="Arial" w:hAnsi="Arial" w:cs="Arial"/>
          <w:sz w:val="20"/>
          <w:szCs w:val="20"/>
        </w:rPr>
        <w:t>y. Fakturovaná částka je splatná 21 dnů ode dne vystavení faktury.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2.5. Všechny daňové doklady musí obsahovat veškeré náležitosti daňového dokladu dle zákona č. 235/2004 Sb. v platném znění. Nebude-li daňový doklad uvedené náležitosti obsahovat, může být</w:t>
      </w:r>
      <w:r>
        <w:rPr>
          <w:rFonts w:ascii="Arial" w:eastAsia="Arial" w:hAnsi="Arial" w:cs="Arial"/>
          <w:sz w:val="20"/>
          <w:szCs w:val="20"/>
        </w:rPr>
        <w:t xml:space="preserve"> poskytovateli vrácen k opravě a doplnění s tím, že ode dne vystavení daňového dokladu, který obsahuje všechny stanovené náležitosti, běží nová lhůta splatnosti.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 Platnost smlouvy a zánik smluvního vztahu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3.1. Tato smlouva se sjednává na dobu určitou </w:t>
      </w:r>
      <w:r>
        <w:rPr>
          <w:rFonts w:ascii="Arial" w:eastAsia="Arial" w:hAnsi="Arial" w:cs="Arial"/>
          <w:sz w:val="20"/>
          <w:szCs w:val="20"/>
        </w:rPr>
        <w:t xml:space="preserve">s úvazkem na 24 měsíců ode dne předání služby. 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3.1.2. Výpovědní lhůta začíná běžet první den měsíce následujícího po měsíci, v němž byla doručena protistraně.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3.2. Smlouva je platná dnem podpisu obou smluvních stran.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3.3. Poskytovatel je oprávněn od sm</w:t>
      </w:r>
      <w:r>
        <w:rPr>
          <w:rFonts w:ascii="Arial" w:eastAsia="Arial" w:hAnsi="Arial" w:cs="Arial"/>
          <w:sz w:val="20"/>
          <w:szCs w:val="20"/>
        </w:rPr>
        <w:t xml:space="preserve">louvy odstoupit pouze v případě, že Klient závažně poruší povinnosti, vyplývající z této smlouvy. Klient je oprávněn odstoupit od smlouvy pouze v případě podstatného porušení smlouvy ze strany Poskytovatele, tak jak je uvedeno v ČI. 6.5 této smlouvy. </w:t>
      </w:r>
    </w:p>
    <w:p w:rsidR="00E302CF" w:rsidRDefault="00E302CF">
      <w:pPr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 Tato smlouva může být ukončena pouze na základě odst. 3.1 a odst. 3.3 tohoto článku nebo na základě dohody stran.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3.5. Právní účinky odstoupení nastávají dnem doručení jeho písemného vyhotovení některé ze smluvních stran. V pochybnostech platí, že od</w:t>
      </w:r>
      <w:r>
        <w:rPr>
          <w:rFonts w:ascii="Arial" w:eastAsia="Arial" w:hAnsi="Arial" w:cs="Arial"/>
          <w:sz w:val="20"/>
          <w:szCs w:val="20"/>
        </w:rPr>
        <w:t>stoupení je doručeno třetím kalendářním dnem ode dne jeho prokazatelného odeslání.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3.6. Poskytování služeb končí posledním dnem sjednaným dohodou nebo posledním dnem výpovědní lhůty.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3.7. Veškeré peněžité pohledávky a závazky vyplývající ze smlouvy budou</w:t>
      </w:r>
      <w:r>
        <w:rPr>
          <w:rFonts w:ascii="Arial" w:eastAsia="Arial" w:hAnsi="Arial" w:cs="Arial"/>
          <w:sz w:val="20"/>
          <w:szCs w:val="20"/>
        </w:rPr>
        <w:t xml:space="preserve"> vyrovnány nejpozději do 30 kalendářních dnů po ukončení smlouvy.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3.8 O předání služeb bude vyhotoven předávací protokol, který se stane nedílnou součástí smlouvy jako příloha č. 2.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4. Povinnosti poskytovatele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 Poskytovatel garantuje, že telekomunikační infrastruktura jeho sítě je ve stavu a v takové kvalitě, aby poskytované služby odpovídaly příslušným technickým a provozním standardům a podmínkám stanoveným ve smlouvě.</w:t>
      </w:r>
      <w:r>
        <w:rPr>
          <w:rFonts w:ascii="Arial" w:eastAsia="Arial" w:hAnsi="Arial" w:cs="Arial"/>
          <w:sz w:val="20"/>
          <w:szCs w:val="20"/>
        </w:rPr>
        <w:br/>
        <w:t>Závazné technické podmínky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827"/>
        <w:gridCol w:w="2835"/>
      </w:tblGrid>
      <w:tr w:rsidR="00E302CF">
        <w:tc>
          <w:tcPr>
            <w:tcW w:w="1413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Pořadí</w:t>
            </w:r>
          </w:p>
        </w:tc>
        <w:tc>
          <w:tcPr>
            <w:tcW w:w="3827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pis vlastnosti služby</w:t>
            </w:r>
          </w:p>
        </w:tc>
        <w:tc>
          <w:tcPr>
            <w:tcW w:w="2835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Parametr</w:t>
            </w:r>
          </w:p>
        </w:tc>
      </w:tr>
      <w:tr w:rsidR="00E302CF">
        <w:tc>
          <w:tcPr>
            <w:tcW w:w="1413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Agregace</w:t>
            </w:r>
          </w:p>
        </w:tc>
        <w:tc>
          <w:tcPr>
            <w:tcW w:w="2835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1:1</w:t>
            </w:r>
          </w:p>
        </w:tc>
      </w:tr>
      <w:tr w:rsidR="00E302CF">
        <w:tc>
          <w:tcPr>
            <w:tcW w:w="1413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Prostupnost IPv4</w:t>
            </w:r>
          </w:p>
        </w:tc>
        <w:tc>
          <w:tcPr>
            <w:tcW w:w="2835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Částečně omezená</w:t>
            </w:r>
          </w:p>
        </w:tc>
      </w:tr>
      <w:tr w:rsidR="00E302CF">
        <w:tc>
          <w:tcPr>
            <w:tcW w:w="1413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Prostupnost IPv6</w:t>
            </w:r>
          </w:p>
        </w:tc>
        <w:tc>
          <w:tcPr>
            <w:tcW w:w="2835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Částečně omezená</w:t>
            </w:r>
          </w:p>
        </w:tc>
      </w:tr>
      <w:tr w:rsidR="00E302CF">
        <w:tc>
          <w:tcPr>
            <w:tcW w:w="1413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Předávací rozhraní</w:t>
            </w:r>
          </w:p>
        </w:tc>
        <w:tc>
          <w:tcPr>
            <w:tcW w:w="2835" w:type="dxa"/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Ethernet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cat5E nebo vyšší</w:t>
            </w:r>
          </w:p>
        </w:tc>
      </w:tr>
    </w:tbl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4.2. Poskytovatel se zavazuje poskytnout Klientovi podporu při řešení případných problémů souvisejících s poskytovanými službami prostřednictvím dohledového centra (NOC) po výzvě Klienta.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 Všechny služby budou předány v lokalitě klienta na společném ro</w:t>
      </w:r>
      <w:r>
        <w:rPr>
          <w:rFonts w:ascii="Arial" w:eastAsia="Arial" w:hAnsi="Arial" w:cs="Arial"/>
          <w:sz w:val="20"/>
          <w:szCs w:val="20"/>
        </w:rPr>
        <w:t xml:space="preserve">zhraní </w:t>
      </w:r>
      <w:proofErr w:type="spellStart"/>
      <w:r>
        <w:rPr>
          <w:rFonts w:ascii="Arial" w:eastAsia="Arial" w:hAnsi="Arial" w:cs="Arial"/>
          <w:sz w:val="20"/>
          <w:szCs w:val="20"/>
        </w:rPr>
        <w:t>Ethernet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cat5E nebo vyšším pomocí 802.3Q </w:t>
      </w:r>
      <w:proofErr w:type="spellStart"/>
      <w:r>
        <w:rPr>
          <w:rFonts w:ascii="Arial" w:eastAsia="Arial" w:hAnsi="Arial" w:cs="Arial"/>
          <w:sz w:val="20"/>
          <w:szCs w:val="20"/>
        </w:rPr>
        <w:t>tagů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br/>
        <w:t>5. Povinnosti klienta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5.1. Klient je povinen zajistit, aby telekomunikační zařízení, které připojuje na zařízení Poskytovatel</w:t>
      </w:r>
      <w:r>
        <w:rPr>
          <w:rFonts w:ascii="Arial" w:eastAsia="Arial" w:hAnsi="Arial" w:cs="Arial"/>
          <w:sz w:val="20"/>
          <w:szCs w:val="20"/>
        </w:rPr>
        <w:t>e, mělo platná technická a bezpečnostní osvědčení povinná pro provoz v České republice. Klient odpovídá za stav svého telekomunikačního zařízení včetně nastavení parametrů, které připojuje na zařízení Poskytovatele.</w:t>
      </w:r>
    </w:p>
    <w:p w:rsidR="00E302CF" w:rsidRDefault="001650C3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5.2. Případné závady související s p</w:t>
      </w:r>
      <w:r>
        <w:rPr>
          <w:rFonts w:ascii="Arial" w:eastAsia="Arial" w:hAnsi="Arial" w:cs="Arial"/>
          <w:sz w:val="20"/>
          <w:szCs w:val="20"/>
        </w:rPr>
        <w:t>oskytovanou službou dle této smlouvy je Klient povinen neprodleně oznamovat Poskytovateli prokazatelným způsobem. Na závady, u kterých nebude možné prokázat jejich doručeni, nebude brán zřetel při případných reklamacích a slevách za poskytnuté služby.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6. </w:t>
      </w:r>
      <w:r>
        <w:rPr>
          <w:rFonts w:ascii="Arial" w:eastAsia="Arial" w:hAnsi="Arial" w:cs="Arial"/>
          <w:b/>
          <w:sz w:val="20"/>
          <w:szCs w:val="20"/>
        </w:rPr>
        <w:t>Sankční ustanovení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 Pokud Poskytovatel nebude moci zajistit sjednané služby, a to prokazatelně z důvodů poruchy na své straně, sníží se celková cena dle odst. 2.2 poměrně, dle podmínek přílohy č. 1 (SLA), ČI. 4 odst. 4.1.1 této smlouvy.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6.2. Výše uve</w:t>
      </w:r>
      <w:r>
        <w:rPr>
          <w:rFonts w:ascii="Arial" w:eastAsia="Arial" w:hAnsi="Arial" w:cs="Arial"/>
          <w:sz w:val="20"/>
          <w:szCs w:val="20"/>
        </w:rPr>
        <w:t>dené ustanovení 6.1 tohoto odstavce neplatí v těchto případech: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 vznikla-li porucha za okolností vylučujících odpovědnost Poskytovatele, nebo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proofErr w:type="gramStart"/>
      <w:r>
        <w:rPr>
          <w:rFonts w:ascii="Arial" w:eastAsia="Arial" w:hAnsi="Arial" w:cs="Arial"/>
          <w:sz w:val="20"/>
          <w:szCs w:val="20"/>
        </w:rPr>
        <w:t>došlo</w:t>
      </w:r>
      <w:proofErr w:type="gramEnd"/>
      <w:r>
        <w:rPr>
          <w:rFonts w:ascii="Arial" w:eastAsia="Arial" w:hAnsi="Arial" w:cs="Arial"/>
          <w:sz w:val="20"/>
          <w:szCs w:val="20"/>
        </w:rPr>
        <w:t>-li k přerušení provozu na základě předchozí domluvy mezi Poskytovatelem a Klientem (např. z důvodu upgrade či úpravy systému Poskytovatele).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6.3. V případě, že některá ze smluvních stran nesplní včas svůj peněžitý závazek dle této smlouvy, dohodl</w:t>
      </w:r>
      <w:r>
        <w:rPr>
          <w:rFonts w:ascii="Arial" w:eastAsia="Arial" w:hAnsi="Arial" w:cs="Arial"/>
          <w:sz w:val="20"/>
          <w:szCs w:val="20"/>
        </w:rPr>
        <w:t>y si smluvní strany smluvní pokutu ve výši 0,5 % z dlužné částky za každý den prodlení.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6.4. Pokud bude Klient v prodlení se zaplacením ceny plnění dle odst. 2.1 a odst. 2.2 tohoto článku více než 30 kalendářních dnů po lhůtě splatnosti, bude mu zaslána v</w:t>
      </w:r>
      <w:r>
        <w:rPr>
          <w:rFonts w:ascii="Arial" w:eastAsia="Arial" w:hAnsi="Arial" w:cs="Arial"/>
          <w:sz w:val="20"/>
          <w:szCs w:val="20"/>
        </w:rPr>
        <w:t>ýzva k zaplacení. Po 5 dnech od odeslání výzvy je Poskytovatel oprávněn poskytování služeb dočasně přerušit a znovu je zahájit po zaplacení dlužné částky.</w:t>
      </w:r>
    </w:p>
    <w:p w:rsidR="00E302CF" w:rsidRDefault="00E302CF">
      <w:pPr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6.5. Za podstatné porušení Smlouvy ze strany Poskytovatele je považováno zaviněné neposkytnutí Služb</w:t>
      </w:r>
      <w:r>
        <w:rPr>
          <w:rFonts w:ascii="Arial" w:eastAsia="Arial" w:hAnsi="Arial" w:cs="Arial"/>
          <w:sz w:val="20"/>
          <w:szCs w:val="20"/>
        </w:rPr>
        <w:t>y ve sjednaném rozsahu.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7. Závěrečná ustanovení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7.1. Vztahy vyplývající z této smlouvy se řídí výhradně českým právem.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7.2. Strany si nepřejí, aby nad rámec výslovných ustanovení této smlouvy byla jakákoliv práva a povinnosti dovozovány z dosavadní či budoucí praxe zavedené mezi stranami či zvyklostí zachovávaných obecně či v odvětví týkajícím se předmětu plnění této smlou</w:t>
      </w:r>
      <w:r>
        <w:rPr>
          <w:rFonts w:ascii="Arial" w:eastAsia="Arial" w:hAnsi="Arial" w:cs="Arial"/>
          <w:sz w:val="20"/>
          <w:szCs w:val="20"/>
        </w:rPr>
        <w:t>vy, ledaže je ve smlouvě výslovně sjednáno jinak. Vedle shora uvedeného si strany potvrzují, že si nejsou vědomy žádných dosud mezi nimi zavedených obchodních zvyklostí a praxe.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7.3, Pro vyloučení pochybnosti se uvádí, že žádný dluh dle této smlouvy není </w:t>
      </w:r>
      <w:r>
        <w:rPr>
          <w:rFonts w:ascii="Arial" w:eastAsia="Arial" w:hAnsi="Arial" w:cs="Arial"/>
          <w:sz w:val="20"/>
          <w:szCs w:val="20"/>
        </w:rPr>
        <w:t>fixním závazkem podle § 1980 občanského zákoníku.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7.4. Úmysl stran vyjádřený v této smlouvě spočívá zejména v založení závazkového obchodněprávního vztahu trvalého a jistého, ve kterém strany této smlouvy zajímá především řádné plnění vzájemných práv a po</w:t>
      </w:r>
      <w:r>
        <w:rPr>
          <w:rFonts w:ascii="Arial" w:eastAsia="Arial" w:hAnsi="Arial" w:cs="Arial"/>
          <w:sz w:val="20"/>
          <w:szCs w:val="20"/>
        </w:rPr>
        <w:t>vinnosti vyplývajících jim z této smlouvy, a to zejména s přihlédnutím k hodnotě vzájemně si poskytovaných plnění.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7.5. Vztahy výslovně neupravené touto smlouvou se řídí příslušnými ustanoveními o nájemní smlouvě v občanském zákoníku. V ostatních záležito</w:t>
      </w:r>
      <w:r>
        <w:rPr>
          <w:rFonts w:ascii="Arial" w:eastAsia="Arial" w:hAnsi="Arial" w:cs="Arial"/>
          <w:sz w:val="20"/>
          <w:szCs w:val="20"/>
        </w:rPr>
        <w:t xml:space="preserve">stech se užije, s přihlédnutím k z. </w:t>
      </w:r>
      <w:proofErr w:type="gramStart"/>
      <w:r>
        <w:rPr>
          <w:rFonts w:ascii="Arial" w:eastAsia="Arial" w:hAnsi="Arial" w:cs="Arial"/>
          <w:sz w:val="20"/>
          <w:szCs w:val="20"/>
        </w:rPr>
        <w:t>č.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127/2005 Sb., o elektronických komunikacích, ve znění pozdějších předpisů. V případě, že některé ustanovení této smlouvy je nebo se stane neplatné či neúčinné, zůstávají ostatní ustanovení této smlouvy platná a účinná</w:t>
      </w:r>
      <w:r>
        <w:rPr>
          <w:rFonts w:ascii="Arial" w:eastAsia="Arial" w:hAnsi="Arial" w:cs="Arial"/>
          <w:sz w:val="20"/>
          <w:szCs w:val="20"/>
        </w:rPr>
        <w:t>. Strany se zavazují nahradit neplatné či neúčinné ustanovení této smlouvy ustanovením jiným, platným a účinným, které svým obsahem a smyslem odpovídá nejlépe obsahu a smyslu ustanovení původního.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7.6. Veškeré z této smlouvy v budoucnu vzešlé majetkové sp</w:t>
      </w:r>
      <w:r>
        <w:rPr>
          <w:rFonts w:ascii="Arial" w:eastAsia="Arial" w:hAnsi="Arial" w:cs="Arial"/>
          <w:sz w:val="20"/>
          <w:szCs w:val="20"/>
        </w:rPr>
        <w:t>ory se strany zavazují řešit v řízení před obecným českým soudem.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7.7. Smlouvu lze měnit a doplňovat pouze písemnými dodatky oboustranně odsouhlasenými a podepsanými oprávněnými zástupci smluvních stran.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7.8. Smlouva je vyhotovena ve dvou stejnopisech, z</w:t>
      </w:r>
      <w:r>
        <w:rPr>
          <w:rFonts w:ascii="Arial" w:eastAsia="Arial" w:hAnsi="Arial" w:cs="Arial"/>
          <w:sz w:val="20"/>
          <w:szCs w:val="20"/>
        </w:rPr>
        <w:t xml:space="preserve"> nichž každá ze smluvních stran obdrží po jednom vyhotovení.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7.9. Smluvní strany prohlašují, že smlouvu uzavřely po vzájemném projednání, podle jejich pravé svobodné vůle, určitě, vážně a srozumitelně, nikoliv v tísni ani za pro ně nápadně nevýhodných pod</w:t>
      </w:r>
      <w:r>
        <w:rPr>
          <w:rFonts w:ascii="Arial" w:eastAsia="Arial" w:hAnsi="Arial" w:cs="Arial"/>
          <w:sz w:val="20"/>
          <w:szCs w:val="20"/>
        </w:rPr>
        <w:t>mínek a to dle zákona č. 127/2005 Sb., o telekomunikacích, ve znění pozdějších předpisů a zákona č. 89/2012 Sb. občanský zákoník v platném znění, s čímž zákazník výslovně uděluje souhlas. Tato Smlouva nabývá platnosti dnem podpisu a nahrazuje všechny předc</w:t>
      </w:r>
      <w:r>
        <w:rPr>
          <w:rFonts w:ascii="Arial" w:eastAsia="Arial" w:hAnsi="Arial" w:cs="Arial"/>
          <w:sz w:val="20"/>
          <w:szCs w:val="20"/>
        </w:rPr>
        <w:t>hozí smlouvy o poskytování telekomunikačních služeb.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7.10. Klient podpisem smlouvy potvrzuje, že byl seznámen se Všeobecnými podmínkami pro poskytování telekomunikačních služeb poskytovatele, jejichž aktuální znění je umístěno na firemní webové stránce - </w:t>
      </w:r>
      <w:r>
        <w:rPr>
          <w:rFonts w:ascii="Arial" w:eastAsia="Arial" w:hAnsi="Arial" w:cs="Arial"/>
          <w:sz w:val="20"/>
          <w:szCs w:val="20"/>
        </w:rPr>
        <w:t>www.tkcsystem.cz.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20321</wp:posOffset>
                </wp:positionV>
                <wp:extent cx="2371725" cy="1038225"/>
                <wp:effectExtent l="0" t="0" r="0" b="0"/>
                <wp:wrapSquare wrapText="bothSides" distT="45720" distB="45720" distL="114300" distR="114300"/>
                <wp:docPr id="218" name="Obdélní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4900" y="3265650"/>
                          <a:ext cx="236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302CF" w:rsidRDefault="00E302C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20321</wp:posOffset>
                </wp:positionV>
                <wp:extent cx="2371725" cy="1038225"/>
                <wp:effectExtent b="0" l="0" r="0" t="0"/>
                <wp:wrapSquare wrapText="bothSides" distB="45720" distT="45720" distL="114300" distR="114300"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Seznam příloh: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1: Dohoda o úrovni poskytovaných služeb (SLA)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 č. 2: Předávací protokol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1952624" cy="1007445"/>
            <wp:effectExtent l="0" t="0" r="0" b="0"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4" cy="1007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1.2.2023</w:t>
      </w:r>
      <w:proofErr w:type="gram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1.2.2023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 Poskytovatele: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Za Klienta: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otisk razítka: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otisk razítka:</w:t>
      </w:r>
    </w:p>
    <w:p w:rsidR="00E302CF" w:rsidRDefault="001650C3">
      <w:r>
        <w:br w:type="page"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Příloha č. 1 ke smlouvě č. </w:t>
      </w:r>
      <w:r>
        <w:rPr>
          <w:rFonts w:ascii="Arial" w:eastAsia="Arial" w:hAnsi="Arial" w:cs="Arial"/>
          <w:b/>
          <w:color w:val="FF0000"/>
          <w:sz w:val="20"/>
          <w:szCs w:val="20"/>
        </w:rPr>
        <w:t>TKC/2023/02/JT</w:t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Dohoda o úrovni poskytovaných služeb (SLA)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Úvodní ustanoveni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1.1. Tato Dohoda o úrovni poskytovaných služeb (SLA), uzavíraná dle ustanovení § 1746 odst. 2 zákona Č.89/2012 Sb. (občanský zákoník) v účinném zně</w:t>
      </w:r>
      <w:r>
        <w:rPr>
          <w:rFonts w:ascii="Arial" w:eastAsia="Arial" w:hAnsi="Arial" w:cs="Arial"/>
          <w:sz w:val="20"/>
          <w:szCs w:val="20"/>
        </w:rPr>
        <w:t xml:space="preserve">ní, je nedílnou součásti Smlouvy o poskytování telekomunikačních služeb č. </w:t>
      </w:r>
      <w:r>
        <w:rPr>
          <w:rFonts w:ascii="Arial" w:eastAsia="Arial" w:hAnsi="Arial" w:cs="Arial"/>
          <w:b/>
          <w:color w:val="FF0000"/>
          <w:sz w:val="20"/>
          <w:szCs w:val="20"/>
        </w:rPr>
        <w:t>TKC/2023/02/JT</w:t>
      </w:r>
      <w:r>
        <w:rPr>
          <w:rFonts w:ascii="Arial" w:eastAsia="Arial" w:hAnsi="Arial" w:cs="Arial"/>
          <w:sz w:val="20"/>
          <w:szCs w:val="20"/>
        </w:rPr>
        <w:t xml:space="preserve"> a tvoří její přílohu č. 1.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1.2. Předmětem dohody SLA je poskytování technické podpory a garance dostupnosti Služby Klientovi včetně garance servisních zásahů od nahl</w:t>
      </w:r>
      <w:r>
        <w:rPr>
          <w:rFonts w:ascii="Arial" w:eastAsia="Arial" w:hAnsi="Arial" w:cs="Arial"/>
          <w:sz w:val="20"/>
          <w:szCs w:val="20"/>
        </w:rPr>
        <w:t>ášení Poruchy Klientem.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1.3. Služba je definována Smlouvou, může se jednat o konektivitu, napájení, popř. kombinaci.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1.4. Základními garantovanými parametry dohody SLA jsou Dostupnost Služby, doba Zřízení Služby a termín odstranění Poruchy.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1.5. V přípa</w:t>
      </w:r>
      <w:r>
        <w:rPr>
          <w:rFonts w:ascii="Arial" w:eastAsia="Arial" w:hAnsi="Arial" w:cs="Arial"/>
          <w:sz w:val="20"/>
          <w:szCs w:val="20"/>
        </w:rPr>
        <w:t>dě nutného servisního zásahu na straně Poskytovatele budou informace o tomto zásahu zaslány Klientovy nejpozději 4 dny před tímto zásahem, resp. výpadkem.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1.6. Poskytovatel si vyhrazuje právo změnit rozsah a úroveň poskytovaného servisního zajištěni v tét</w:t>
      </w:r>
      <w:r>
        <w:rPr>
          <w:rFonts w:ascii="Arial" w:eastAsia="Arial" w:hAnsi="Arial" w:cs="Arial"/>
          <w:sz w:val="20"/>
          <w:szCs w:val="20"/>
        </w:rPr>
        <w:t xml:space="preserve">o dohodě SLA, v případě, že dojde k významné změně v tržních podmínkách nebo ke změně iniciované rozhodnutím příslušného správního orgánu, které by mohly ovlivnit schopnosti Poskytovatele poskytovat Služby. Takové změny musí být Klientovi oznámeny písemně </w:t>
      </w:r>
      <w:r>
        <w:rPr>
          <w:rFonts w:ascii="Arial" w:eastAsia="Arial" w:hAnsi="Arial" w:cs="Arial"/>
          <w:sz w:val="20"/>
          <w:szCs w:val="20"/>
        </w:rPr>
        <w:t>a to nejméně šedesát (60) dnů před nabytím účinnosti.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1.7. Pokud by ustanovení této dohody SLA byla v rozporu s ustanoveními obsaženými ve Smlouvě, platí přednostně ustanovení Smlouvy.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Přehled poskytovaných garanci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2.1. Závazná úroveň poskytovaných Služeb a servisních zásahů je uvedena v následující tabulce: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tbl>
      <w:tblPr>
        <w:tblStyle w:val="a0"/>
        <w:tblW w:w="7371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6"/>
        <w:gridCol w:w="3615"/>
      </w:tblGrid>
      <w:tr w:rsidR="00E302CF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Popis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Metrika závazku</w:t>
            </w:r>
          </w:p>
        </w:tc>
      </w:tr>
      <w:tr w:rsidR="00E302CF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Garantovaná Dostupnost Služby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Dle domluvené hodnoty ČI. 4.1</w:t>
            </w:r>
          </w:p>
        </w:tc>
      </w:tr>
      <w:tr w:rsidR="00E302CF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Reakční doba na ohlášení Poruchy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30 minut od prvního kontaktu</w:t>
            </w:r>
          </w:p>
        </w:tc>
      </w:tr>
      <w:tr w:rsidR="00E302CF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Lokalizace a příjezd na místo Poruchy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3 hodin od oznámení poruchy</w:t>
            </w:r>
          </w:p>
        </w:tc>
      </w:tr>
      <w:tr w:rsidR="00E302CF"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Obnovení provozu Služby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12 hodin od oznámení poruchy</w:t>
            </w:r>
          </w:p>
        </w:tc>
      </w:tr>
    </w:tbl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  <w:t>3. Definice a výklad použitých pojmů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 Dostupnost Služby se vyjadřuje v % funkčnosti Služby za kalendářní měsíc podle násle</w:t>
      </w:r>
      <w:r>
        <w:rPr>
          <w:rFonts w:ascii="Arial" w:eastAsia="Arial" w:hAnsi="Arial" w:cs="Arial"/>
          <w:sz w:val="20"/>
          <w:szCs w:val="20"/>
        </w:rPr>
        <w:t>dujícího předpisu: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(720 - doba trvání plánovaných prací v období - (doba trvání všech Poruch v období) x 100</w:t>
      </w:r>
    </w:p>
    <w:p w:rsidR="00E302CF" w:rsidRDefault="001650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-------------------------------------------------------------------------------------------------------------------------</w:t>
      </w:r>
      <w:r>
        <w:rPr>
          <w:rFonts w:ascii="Arial" w:eastAsia="Arial" w:hAnsi="Arial" w:cs="Arial"/>
          <w:sz w:val="20"/>
          <w:szCs w:val="20"/>
        </w:rPr>
        <w:br/>
        <w:t>(720 - doba trvání plánov</w:t>
      </w:r>
      <w:r>
        <w:rPr>
          <w:rFonts w:ascii="Arial" w:eastAsia="Arial" w:hAnsi="Arial" w:cs="Arial"/>
          <w:sz w:val="20"/>
          <w:szCs w:val="20"/>
        </w:rPr>
        <w:t>aných prací v období)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kde délka kalendářního měsíce pro výpočet Dostupnosti Služby je standardizována na 720 hodin.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 Eskalace je akt komunikace mezi jednotlivými stupni řízení Poskytovatele a Klienta, jejímž cílem je získat dodatečnou technickou podporu při odstraňování poruch, závad nebo jiných potíží.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3.3. Porucha (dále též i závada) je stav, který částečně nebo </w:t>
      </w:r>
      <w:r>
        <w:rPr>
          <w:rFonts w:ascii="Arial" w:eastAsia="Arial" w:hAnsi="Arial" w:cs="Arial"/>
          <w:sz w:val="20"/>
          <w:szCs w:val="20"/>
        </w:rPr>
        <w:t>úplně znemožňuje používat Službu nebo snižuje stanovenou kvalitu Služby.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3.4. Termínem Služba nebo Služby se v dohodě SLA rozumí produkty služeb elektronických komunikací a činnosti, k jejichž poskytování se Poskytovatel zavázal ve Smlouvě, kterou Smluvní</w:t>
      </w:r>
      <w:r>
        <w:rPr>
          <w:rFonts w:ascii="Arial" w:eastAsia="Arial" w:hAnsi="Arial" w:cs="Arial"/>
          <w:sz w:val="20"/>
          <w:szCs w:val="20"/>
        </w:rPr>
        <w:t xml:space="preserve"> Strany mezi sebou uzavřely a na základě které jsou Služby poskytovány a zároveň kde se Poskytovatel zavazuje k poskytování garance kvalitativních parametrů.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3.5. Smluvní Strany je společné označení pro Poskytovatele a Klienta.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3.6. Výpadek služby je čas</w:t>
      </w:r>
      <w:r>
        <w:rPr>
          <w:rFonts w:ascii="Arial" w:eastAsia="Arial" w:hAnsi="Arial" w:cs="Arial"/>
          <w:sz w:val="20"/>
          <w:szCs w:val="20"/>
        </w:rPr>
        <w:t>ový interval, který je dán počtem minut od nahlášení poruchy po obnovení Služby.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3.7. Zřízení Služby značí datum, ke kterému Poskytovatel zaručuje zprovoznění Služby Klientovi.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Poskytovatel toto datum potvrdí Klientovi písemně, po přijetí objednávky nebo </w:t>
      </w:r>
      <w:r>
        <w:rPr>
          <w:rFonts w:ascii="Arial" w:eastAsia="Arial" w:hAnsi="Arial" w:cs="Arial"/>
          <w:sz w:val="20"/>
          <w:szCs w:val="20"/>
        </w:rPr>
        <w:t>uzavření smlouvy.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4. Dostupnost služeb a záruky za spolehlivost provozu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 Poskytované Služby jsou udržovány a monitorovány 24 hodin denně, každý den v roce. Poskytovatel bere na vědomí, že spolehlivost Služby je pro Klienta kriticky důležitý parametr</w:t>
      </w:r>
      <w:r>
        <w:rPr>
          <w:rFonts w:ascii="Arial" w:eastAsia="Arial" w:hAnsi="Arial" w:cs="Arial"/>
          <w:sz w:val="20"/>
          <w:szCs w:val="20"/>
        </w:rPr>
        <w:t>. Poskytovatel v tomto ohledu posiluje své závazky nabídkou kompenzaci, pokud dojde ke snížení spolehlivosti provozu nad rámec následujících ujednání. Pokud není ve smlouvě stanoveno jinak, platí ujednání SLA dle článku 4.1.1.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4.1.1. Následující tabulka o</w:t>
      </w:r>
      <w:r>
        <w:rPr>
          <w:rFonts w:ascii="Arial" w:eastAsia="Arial" w:hAnsi="Arial" w:cs="Arial"/>
          <w:sz w:val="20"/>
          <w:szCs w:val="20"/>
        </w:rPr>
        <w:t>dráží záměr celkové spolehlivosti provozu a záruku za spolehlivost provozu, pokud dojde k poruše, úroveň l: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tbl>
      <w:tblPr>
        <w:tblStyle w:val="a1"/>
        <w:tblW w:w="10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6"/>
        <w:gridCol w:w="3134"/>
        <w:gridCol w:w="3403"/>
      </w:tblGrid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Měsíční dostupnost služby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Počet hodin výpadku v měsíci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výše smluvní pokuty v %</w:t>
            </w:r>
          </w:p>
        </w:tc>
      </w:tr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100,00% - 99,40%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99,39% - 98,90%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98,89% - 98,40%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2%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98,39% - 97,00%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5%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96,99% - 95,00%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94,99% - 90,00%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50%</w:t>
            </w:r>
          </w:p>
        </w:tc>
      </w:tr>
      <w:tr w:rsidR="00E302CF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 menší než 90%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více než 72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5. Hlášení poruch nebo závad a proces jejich odstraňováni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5.1. Pro oznamování poruch a dalších požadavků je k dispozici tyto kontakty: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Adresa: </w:t>
      </w:r>
      <w:r>
        <w:rPr>
          <w:rFonts w:ascii="Arial" w:eastAsia="Arial" w:hAnsi="Arial" w:cs="Arial"/>
          <w:sz w:val="20"/>
          <w:szCs w:val="20"/>
        </w:rPr>
        <w:tab/>
        <w:t>Nám. minoritů 89/13 79401 Krnov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Telefon: </w:t>
      </w:r>
      <w:r>
        <w:rPr>
          <w:rFonts w:ascii="Arial" w:eastAsia="Arial" w:hAnsi="Arial" w:cs="Arial"/>
          <w:sz w:val="20"/>
          <w:szCs w:val="20"/>
        </w:rPr>
        <w:tab/>
        <w:t>554 610 915</w:t>
      </w:r>
      <w:r>
        <w:rPr>
          <w:rFonts w:ascii="Arial" w:eastAsia="Arial" w:hAnsi="Arial" w:cs="Arial"/>
          <w:sz w:val="20"/>
          <w:szCs w:val="20"/>
        </w:rPr>
        <w:br/>
        <w:t xml:space="preserve">Mobil: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xxx</w:t>
      </w:r>
      <w:proofErr w:type="spellEnd"/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xxxx</w:t>
      </w:r>
      <w:r>
        <w:rPr>
          <w:rFonts w:ascii="Arial" w:eastAsia="Arial" w:hAnsi="Arial" w:cs="Arial"/>
          <w:sz w:val="20"/>
          <w:szCs w:val="20"/>
        </w:rPr>
        <w:t>@tkcsystem.cz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5.2. Zjistí-li Klient poruchu nebo závadu Služby, ohlásí tuto sku</w:t>
      </w:r>
      <w:r>
        <w:rPr>
          <w:rFonts w:ascii="Arial" w:eastAsia="Arial" w:hAnsi="Arial" w:cs="Arial"/>
          <w:sz w:val="20"/>
          <w:szCs w:val="20"/>
        </w:rPr>
        <w:t>tečnost telefonicky, e-mailem nebo písemně.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5.3. Nahlášení poruchy nebo závady je prováděno dle následující procedury: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Klient: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 sdělí svoji identifikaci (jméno/kontakt/společnost/adresa),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b. </w:t>
      </w:r>
      <w:proofErr w:type="gramStart"/>
      <w:r>
        <w:rPr>
          <w:rFonts w:ascii="Arial" w:eastAsia="Arial" w:hAnsi="Arial" w:cs="Arial"/>
          <w:sz w:val="20"/>
          <w:szCs w:val="20"/>
        </w:rPr>
        <w:t>sdělí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číslo Služby uvedené na předávacím protokolu, pokud je mu známo,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c. poskytne informace týkající se poruchy nebo závady,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d. odsouhlasí začátek poruchy s operátorem poskytovatele.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Poskytovatel: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a. sdělí svoji identifikaci,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b. </w:t>
      </w:r>
      <w:proofErr w:type="gramStart"/>
      <w:r>
        <w:rPr>
          <w:rFonts w:ascii="Arial" w:eastAsia="Arial" w:hAnsi="Arial" w:cs="Arial"/>
          <w:sz w:val="20"/>
          <w:szCs w:val="20"/>
        </w:rPr>
        <w:t>potvrdí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převzetí hlášení poruchy od Klienta,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c. odsouhlasí Začátek poruchy s Klientem,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d. dohodne s Klientem způsob a úroveň komunikace pro výměnu informací týkajících se diagnostiky problému a jeho odstranění.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5.4. Pokud oznamovatel poruchy nebo záv</w:t>
      </w:r>
      <w:r>
        <w:rPr>
          <w:rFonts w:ascii="Arial" w:eastAsia="Arial" w:hAnsi="Arial" w:cs="Arial"/>
          <w:sz w:val="20"/>
          <w:szCs w:val="20"/>
        </w:rPr>
        <w:t>ady nedokáže Službu během oznámení poruchy přesně specifikovat, je za Začátek poruchy považován čas, kdy byla porucha Služba plně identifikována.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5.5. Poskytovatel se zavazuje potvrdit příjem hlášení o poruše nejpozději do 30 (třiceti) minut od jeho obdrž</w:t>
      </w:r>
      <w:r>
        <w:rPr>
          <w:rFonts w:ascii="Arial" w:eastAsia="Arial" w:hAnsi="Arial" w:cs="Arial"/>
          <w:sz w:val="20"/>
          <w:szCs w:val="20"/>
        </w:rPr>
        <w:t>ení.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Odpověď' na ohlášení Poruchy obsahuje tyto náležitosti: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br/>
        <w:t>Poskytovatel: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a. sdělí svoji identifikaci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b. </w:t>
      </w:r>
      <w:proofErr w:type="gramStart"/>
      <w:r>
        <w:rPr>
          <w:rFonts w:ascii="Arial" w:eastAsia="Arial" w:hAnsi="Arial" w:cs="Arial"/>
          <w:sz w:val="20"/>
          <w:szCs w:val="20"/>
        </w:rPr>
        <w:t>přidělí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číslo Poruchy,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c. určí Začátek poruchy, který byl odsouhlasen Klientem nebo stanoven podle odstavce 5.4 této dohody SLA,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 oznámí příči</w:t>
      </w:r>
      <w:r>
        <w:rPr>
          <w:rFonts w:ascii="Arial" w:eastAsia="Arial" w:hAnsi="Arial" w:cs="Arial"/>
          <w:sz w:val="20"/>
          <w:szCs w:val="20"/>
        </w:rPr>
        <w:t>nu poruchy, pokud je v daný okamžik známa,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e. </w:t>
      </w:r>
      <w:proofErr w:type="gramStart"/>
      <w:r>
        <w:rPr>
          <w:rFonts w:ascii="Arial" w:eastAsia="Arial" w:hAnsi="Arial" w:cs="Arial"/>
          <w:sz w:val="20"/>
          <w:szCs w:val="20"/>
        </w:rPr>
        <w:t>informuje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krocích podniknutých k opravě poruchy,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f. </w:t>
      </w:r>
      <w:proofErr w:type="gramStart"/>
      <w:r>
        <w:rPr>
          <w:rFonts w:ascii="Arial" w:eastAsia="Arial" w:hAnsi="Arial" w:cs="Arial"/>
          <w:sz w:val="20"/>
          <w:szCs w:val="20"/>
        </w:rPr>
        <w:t>oznámí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předběžný termín obnovení Služby.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5.6. Za obnovení Služby se považuje stav, kdy je Porucha odstraněna, parametry služby jsou ve shodě s původní te</w:t>
      </w:r>
      <w:r>
        <w:rPr>
          <w:rFonts w:ascii="Arial" w:eastAsia="Arial" w:hAnsi="Arial" w:cs="Arial"/>
          <w:sz w:val="20"/>
          <w:szCs w:val="20"/>
        </w:rPr>
        <w:t>chnickou specifikaci Služby a Klient je informován, že Porucha byla odstraněna.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5.7. Čas obnovení Služby je dán okamžikem, kdy je kontaktní osobě Klienta oznámeno, že porucha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byla odstraněna. Pokud je kontaktní osoba Klienta nedostupná, považuje se za čas</w:t>
      </w:r>
      <w:r>
        <w:rPr>
          <w:rFonts w:ascii="Arial" w:eastAsia="Arial" w:hAnsi="Arial" w:cs="Arial"/>
          <w:sz w:val="20"/>
          <w:szCs w:val="20"/>
        </w:rPr>
        <w:t xml:space="preserve"> obnovení Služby okamžik, kdy byla započata snaha o kontakt.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5.8. Klient potvrdí Poskytovateli, že provoz jeho zařízení je bezporuchový do třiceti (30) minut po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obdržení informace o dokončení opravy. Pokud Klient v této lhůtě nereaguje, předpokládá se, že</w:t>
      </w:r>
      <w:r>
        <w:rPr>
          <w:rFonts w:ascii="Arial" w:eastAsia="Arial" w:hAnsi="Arial" w:cs="Arial"/>
          <w:sz w:val="20"/>
          <w:szCs w:val="20"/>
        </w:rPr>
        <w:t xml:space="preserve"> potvrdil odstranění Poruchy a že je Služba plně obnovena.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5.9. Pokud operátor Poskytovatele a kontaktní osoba Klienta nedojdou k souladu v otázce, že porucha byla odstraněna a že jsou obnoveny původní technické parametry Služby, budou uplatněny procedury</w:t>
      </w:r>
      <w:r>
        <w:rPr>
          <w:rFonts w:ascii="Arial" w:eastAsia="Arial" w:hAnsi="Arial" w:cs="Arial"/>
          <w:sz w:val="20"/>
          <w:szCs w:val="20"/>
        </w:rPr>
        <w:t xml:space="preserve"> Eskalace.</w:t>
      </w:r>
    </w:p>
    <w:p w:rsidR="00E302CF" w:rsidRDefault="00E302CF">
      <w:pPr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5.10. Jakmile je odsouhlaseno odstranění poruchy, bude Klientovi písemně doručena zpráva o odstranění Poruchy. Tato zpráva bude obsahovat: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 identifikaci operátora Poskytovatele,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proofErr w:type="gramStart"/>
      <w:r>
        <w:rPr>
          <w:rFonts w:ascii="Arial" w:eastAsia="Arial" w:hAnsi="Arial" w:cs="Arial"/>
          <w:sz w:val="20"/>
          <w:szCs w:val="20"/>
        </w:rPr>
        <w:t>identifikaci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Služby a poruchy,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c. začátek poruchy,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 popis příčin a způsobu poruchy,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e. </w:t>
      </w:r>
      <w:proofErr w:type="gramStart"/>
      <w:r>
        <w:rPr>
          <w:rFonts w:ascii="Arial" w:eastAsia="Arial" w:hAnsi="Arial" w:cs="Arial"/>
          <w:sz w:val="20"/>
          <w:szCs w:val="20"/>
        </w:rPr>
        <w:t>vyjádření</w:t>
      </w:r>
      <w:proofErr w:type="gramEnd"/>
      <w:r>
        <w:rPr>
          <w:rFonts w:ascii="Arial" w:eastAsia="Arial" w:hAnsi="Arial" w:cs="Arial"/>
          <w:sz w:val="20"/>
          <w:szCs w:val="20"/>
        </w:rPr>
        <w:t>, zda se jedná o dočasnou (provizorní) či definitivní opravu poruchy.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5.11. Pokud Poskytovatel provede pouze dočasnou opravu poruchy je povinen nejpozději do pěti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(5) pracovních dnů od dokončení dočasné opra</w:t>
      </w:r>
      <w:r>
        <w:rPr>
          <w:rFonts w:ascii="Arial" w:eastAsia="Arial" w:hAnsi="Arial" w:cs="Arial"/>
          <w:sz w:val="20"/>
          <w:szCs w:val="20"/>
        </w:rPr>
        <w:t>vy oznámit Klientovi termín provedení definitivní opravy. V tomto případě neplatí povinnost informovat Klienta o této plánované opravě předem.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5.12. Poskytovatel má právo účtovat Klientovi náklady spojené se zjišťováním a odstraňováním poruchy v případě, </w:t>
      </w:r>
      <w:r>
        <w:rPr>
          <w:rFonts w:ascii="Arial" w:eastAsia="Arial" w:hAnsi="Arial" w:cs="Arial"/>
          <w:sz w:val="20"/>
          <w:szCs w:val="20"/>
        </w:rPr>
        <w:t>že po nahlášení poruchy Klientem objektivně zjistí, že: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 závada není na straně Poskytovatele, nebo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</w:t>
      </w:r>
      <w:proofErr w:type="gramStart"/>
      <w:r>
        <w:rPr>
          <w:rFonts w:ascii="Arial" w:eastAsia="Arial" w:hAnsi="Arial" w:cs="Arial"/>
          <w:sz w:val="20"/>
          <w:szCs w:val="20"/>
        </w:rPr>
        <w:t>závadu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zavinil Klient, nebo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c. závada vůbec nenastala.</w:t>
      </w:r>
    </w:p>
    <w:p w:rsidR="00E302CF" w:rsidRDefault="001650C3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br/>
      </w: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6. Proces eskalace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6.1. Pokud vznikne situace, kdy technici Poskytovatele nebudou schopni</w:t>
      </w:r>
      <w:r>
        <w:rPr>
          <w:rFonts w:ascii="Arial" w:eastAsia="Arial" w:hAnsi="Arial" w:cs="Arial"/>
          <w:sz w:val="20"/>
          <w:szCs w:val="20"/>
        </w:rPr>
        <w:t xml:space="preserve"> samostatně odstranit nahlášenou poruchu, je zahájen proces Eskalace, který umožňuje využít znalosti specialistů, respektive zapojit do řešení problémů vyšší složky managementu.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6.2. Procesní schéma Eskalace sestává z 3 úrovní. Některé z podmínek pro zahájení Eskalace na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jednotlivých úrovních uvádí následující tabulka: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tbl>
      <w:tblPr>
        <w:tblStyle w:val="a2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7"/>
        <w:gridCol w:w="5027"/>
      </w:tblGrid>
      <w:tr w:rsidR="00E302CF"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Eskalace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Typická podmínka pro zahájení eskalace</w:t>
            </w:r>
          </w:p>
        </w:tc>
      </w:tr>
      <w:tr w:rsidR="00E302CF"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úroveň 1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technik Poskytovatele již v počátečním stádiu pozná, že nahlášenou poruchu nedokáže řešit bez dodatečných zdrojů</w:t>
            </w:r>
          </w:p>
        </w:tc>
      </w:tr>
      <w:tr w:rsidR="00E302CF"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úroveň. 2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 nutné rychlé nebo dočasné náhradní řešení umožňující odstranění poruchy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2CF"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úroveň 3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problém není možno vyřešit v akceptovatelném č</w:t>
            </w:r>
            <w:r>
              <w:rPr>
                <w:rFonts w:ascii="Arial" w:eastAsia="Arial" w:hAnsi="Arial" w:cs="Arial"/>
                <w:sz w:val="20"/>
                <w:szCs w:val="20"/>
              </w:rPr>
              <w:t>asovém rámci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6.3. Technici Poskytovatele mají k dispozici aktualizované kontaktní informace na osoby z vyšší eskalační úrovně tak, aby v případě potřeby mohly být předány Klientovi.</w:t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6.4. Základní tabulka eskalačních kontaktů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011"/>
        <w:gridCol w:w="2011"/>
        <w:gridCol w:w="2231"/>
        <w:gridCol w:w="1797"/>
      </w:tblGrid>
      <w:tr w:rsidR="00E302CF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Eskalační úroveň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Jméno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Funkce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</w:t>
            </w:r>
          </w:p>
          <w:p w:rsidR="00E302CF" w:rsidRDefault="00E302C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02CF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Operátor ve službě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Dohledový technik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support@tkcsystem.cz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E302CF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IP specialista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xxxxx</w:t>
            </w:r>
            <w:r>
              <w:rPr>
                <w:rFonts w:ascii="Arial" w:eastAsia="Arial" w:hAnsi="Arial" w:cs="Arial"/>
                <w:sz w:val="20"/>
                <w:szCs w:val="20"/>
              </w:rPr>
              <w:t>@tkcsystem.cz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E302CF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Jednatel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9" w:history="1">
              <w:r w:rsidRPr="001B5EEE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xxxxx@tkcsystem.cz</w:t>
              </w:r>
            </w:hyperlink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CF" w:rsidRDefault="001650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  <w:proofErr w:type="spellEnd"/>
          </w:p>
        </w:tc>
      </w:tr>
    </w:tbl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7. Zánik a zrušení smlouvy</w:t>
      </w:r>
    </w:p>
    <w:p w:rsidR="00E302CF" w:rsidRDefault="001650C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7.1. Tato smlouva se zrušuje či zaniká, kromě dalších případů stanovených v této smlouvě či podmínkách: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7.1.1 Odstoupením od smlouvy: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Operátor je oprávněn od této smlouvy odstoupit pro podstatné porušení smluvních povinností ze strany účastníka, kterým se rozumí soustavné neplacení za poskytnuté služby – existence tří nezaplacených vyúčtování ceny. </w:t>
      </w:r>
      <w:r>
        <w:rPr>
          <w:rFonts w:ascii="Arial" w:eastAsia="Arial" w:hAnsi="Arial" w:cs="Arial"/>
          <w:sz w:val="20"/>
          <w:szCs w:val="20"/>
        </w:rPr>
        <w:br/>
        <w:t>Účastník je oprávněn od této smlouvy o</w:t>
      </w:r>
      <w:r>
        <w:rPr>
          <w:rFonts w:ascii="Arial" w:eastAsia="Arial" w:hAnsi="Arial" w:cs="Arial"/>
          <w:sz w:val="20"/>
          <w:szCs w:val="20"/>
        </w:rPr>
        <w:t xml:space="preserve">dstoupit pro podstatné porušení smluvních povinností ze strany operátora, kterým se rozumí zejména prodlení s poskytováním služeb delší než 30 dnů. </w:t>
      </w:r>
      <w:r>
        <w:rPr>
          <w:rFonts w:ascii="Arial" w:eastAsia="Arial" w:hAnsi="Arial" w:cs="Arial"/>
          <w:sz w:val="20"/>
          <w:szCs w:val="20"/>
        </w:rPr>
        <w:br/>
        <w:t>Oznámení o odstoupení musí být písemné a doručeno druhé smluvní straně. Odstoupením od smlouvy tato smlouva</w:t>
      </w:r>
      <w:r>
        <w:rPr>
          <w:rFonts w:ascii="Arial" w:eastAsia="Arial" w:hAnsi="Arial" w:cs="Arial"/>
          <w:sz w:val="20"/>
          <w:szCs w:val="20"/>
        </w:rPr>
        <w:t xml:space="preserve"> zaniká, když projev vůle jedné ze smluvních stran je doručen druhé smluvní straně. </w:t>
      </w:r>
      <w:r>
        <w:rPr>
          <w:rFonts w:ascii="Arial" w:eastAsia="Arial" w:hAnsi="Arial" w:cs="Arial"/>
          <w:sz w:val="20"/>
          <w:szCs w:val="20"/>
        </w:rPr>
        <w:br/>
        <w:t>7.1.2 Výpovědí:</w:t>
      </w:r>
      <w:r>
        <w:rPr>
          <w:rFonts w:ascii="Arial" w:eastAsia="Arial" w:hAnsi="Arial" w:cs="Arial"/>
          <w:sz w:val="20"/>
          <w:szCs w:val="20"/>
        </w:rPr>
        <w:br/>
        <w:t xml:space="preserve"> Každá ze smluvních stran je oprávněná podat výpověď z této smlouvy i bez uvedení důvodu, a to po skončení minimální doby kontraktu tj. 36 měsíců. Výpověď </w:t>
      </w:r>
      <w:r>
        <w:rPr>
          <w:rFonts w:ascii="Arial" w:eastAsia="Arial" w:hAnsi="Arial" w:cs="Arial"/>
          <w:sz w:val="20"/>
          <w:szCs w:val="20"/>
        </w:rPr>
        <w:t xml:space="preserve">musí být písemná a výpovědní lhůta v délce 90 dnů počíná běžet prvním dnem následujícím po dni jejího doručení druhé smluvní straně. </w:t>
      </w:r>
      <w:r>
        <w:rPr>
          <w:rFonts w:ascii="Arial" w:eastAsia="Arial" w:hAnsi="Arial" w:cs="Arial"/>
          <w:sz w:val="20"/>
          <w:szCs w:val="20"/>
        </w:rPr>
        <w:br/>
        <w:t>7.1.3 Uplynutím doby, na kterou byla tato smlouva uzavřena.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E302C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E302CF" w:rsidRDefault="001650C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8. Závěrečná ustanovení</w:t>
      </w:r>
      <w:r>
        <w:rPr>
          <w:rFonts w:ascii="Arial" w:eastAsia="Arial" w:hAnsi="Arial" w:cs="Arial"/>
          <w:b/>
          <w:sz w:val="20"/>
          <w:szCs w:val="20"/>
        </w:rPr>
        <w:br/>
      </w: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8.1. Tuto dohodu SLA lze změnit neb</w:t>
      </w:r>
      <w:r>
        <w:rPr>
          <w:rFonts w:ascii="Arial" w:eastAsia="Arial" w:hAnsi="Arial" w:cs="Arial"/>
          <w:sz w:val="20"/>
          <w:szCs w:val="20"/>
        </w:rPr>
        <w:t>o zrušit pouze písemným dodatkem podepsaným zástupci obou Smluvních Stran.</w:t>
      </w:r>
      <w:r>
        <w:rPr>
          <w:rFonts w:ascii="Arial" w:eastAsia="Arial" w:hAnsi="Arial" w:cs="Arial"/>
          <w:sz w:val="20"/>
          <w:szCs w:val="20"/>
        </w:rPr>
        <w:br/>
      </w:r>
    </w:p>
    <w:p w:rsidR="00E302CF" w:rsidRDefault="00E302CF">
      <w:pPr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 Poskytovatele: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Za Klienta: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E302CF">
      <w:pPr>
        <w:rPr>
          <w:rFonts w:ascii="Arial" w:eastAsia="Arial" w:hAnsi="Arial" w:cs="Arial"/>
          <w:sz w:val="20"/>
          <w:szCs w:val="20"/>
        </w:rPr>
      </w:pPr>
    </w:p>
    <w:p w:rsidR="00E302CF" w:rsidRDefault="001650C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otisk razítka: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otisk razítka: </w:t>
      </w: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8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50"/>
        <w:gridCol w:w="1680"/>
        <w:gridCol w:w="2670"/>
        <w:gridCol w:w="2310"/>
      </w:tblGrid>
      <w:tr w:rsidR="00E302CF">
        <w:trPr>
          <w:trHeight w:val="345"/>
        </w:trPr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Příloha č. 2 – Předávací protokol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4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</w:rPr>
            </w:pPr>
          </w:p>
          <w:tbl>
            <w:tblPr>
              <w:tblStyle w:val="a5"/>
              <w:tblW w:w="300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008"/>
            </w:tblGrid>
            <w:tr w:rsidR="00E302CF">
              <w:trPr>
                <w:trHeight w:val="345"/>
              </w:trPr>
              <w:tc>
                <w:tcPr>
                  <w:tcW w:w="3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302CF" w:rsidRDefault="001650C3">
                  <w:pPr>
                    <w:spacing w:after="0" w:line="240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Dodatek č. 1 ke smlouvě č. TKC/2023/02/JT 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ze dne …………………</w:t>
                  </w:r>
                  <w:proofErr w:type="gramStart"/>
                  <w:r>
                    <w:rPr>
                      <w:b/>
                      <w:color w:val="000000"/>
                      <w:sz w:val="28"/>
                      <w:szCs w:val="28"/>
                    </w:rPr>
                    <w:t>…..</w:t>
                  </w:r>
                  <w:proofErr w:type="gramEnd"/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</w:tbl>
          <w:p w:rsidR="00E302CF" w:rsidRDefault="00E302C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7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PŘEDÁVACÍ PROTOKOL SLUŽBY</w:t>
            </w:r>
          </w:p>
        </w:tc>
      </w:tr>
      <w:tr w:rsidR="00E302CF">
        <w:trPr>
          <w:trHeight w:val="4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DATOVÝ OKRUH</w:t>
            </w:r>
          </w:p>
        </w:tc>
      </w:tr>
      <w:tr w:rsidR="00E302CF">
        <w:trPr>
          <w:trHeight w:val="31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Poskytovatele </w:t>
            </w:r>
            <w:r>
              <w:rPr>
                <w:b/>
                <w:color w:val="000000"/>
                <w:sz w:val="24"/>
                <w:szCs w:val="24"/>
              </w:rPr>
              <w:br/>
              <w:t xml:space="preserve">TKC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s.r.o.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58421</wp:posOffset>
                  </wp:positionH>
                  <wp:positionV relativeFrom="paragraph">
                    <wp:posOffset>-1240789</wp:posOffset>
                  </wp:positionV>
                  <wp:extent cx="1533525" cy="1085850"/>
                  <wp:effectExtent l="0" t="0" r="0" b="0"/>
                  <wp:wrapNone/>
                  <wp:docPr id="2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Ke smlouvě č.: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TKC/2023/02/JT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Účastník: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TKC </w:t>
            </w:r>
            <w:proofErr w:type="spellStart"/>
            <w:r>
              <w:rPr>
                <w:color w:val="000000"/>
                <w:sz w:val="20"/>
                <w:szCs w:val="20"/>
              </w:rPr>
              <w:t>system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s. r. o.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Číslo specifikace/verze: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primární datový okruh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okruhu: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EM_TKC_ETH20230125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Nahrazuje specifikaci </w:t>
            </w:r>
            <w:proofErr w:type="gramStart"/>
            <w:r>
              <w:rPr>
                <w:color w:val="000000"/>
                <w:sz w:val="20"/>
                <w:szCs w:val="20"/>
              </w:rPr>
              <w:t>č. :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--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Požadavek: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zřízení</w:t>
            </w:r>
          </w:p>
        </w:tc>
      </w:tr>
      <w:tr w:rsidR="00E302CF">
        <w:trPr>
          <w:trHeight w:val="300"/>
        </w:trPr>
        <w:tc>
          <w:tcPr>
            <w:tcW w:w="7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Technická specifikace je sjednána na dobu neurčitou s minimální dobou trvání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měsíce</w:t>
            </w:r>
          </w:p>
        </w:tc>
      </w:tr>
      <w:tr w:rsidR="00E302CF">
        <w:trPr>
          <w:trHeight w:val="194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Koncový bod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serverovna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SZZ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Identifikace: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Krnov, TKC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Ulice: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I.P.</w:t>
            </w:r>
            <w:proofErr w:type="gramEnd"/>
            <w:r>
              <w:rPr>
                <w:sz w:val="20"/>
                <w:szCs w:val="20"/>
              </w:rPr>
              <w:t xml:space="preserve"> Pavlova 552/9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PSČ, město: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79401, Krnov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Místnost, stojan: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Serverovna</w:t>
            </w:r>
            <w:proofErr w:type="spellEnd"/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Rozhraní: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metalické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Konektor: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RJ45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Koncový bod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TKCsystem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Identifikace: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Krnov, TKC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Ulice: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nám. Minoritů 89/13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PSČ, město: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794 01, Krnov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Místnost, stojan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TKC, 5/6 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Rozhraní: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metalické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Konektor: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RJ45</w:t>
            </w:r>
          </w:p>
        </w:tc>
      </w:tr>
      <w:tr w:rsidR="00E302CF">
        <w:trPr>
          <w:trHeight w:val="16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Kontaktní osoba Poskytovatele: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Jméno: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Bc. </w:t>
            </w:r>
            <w:proofErr w:type="spellStart"/>
            <w:r>
              <w:rPr>
                <w:color w:val="000000"/>
                <w:sz w:val="20"/>
                <w:szCs w:val="20"/>
              </w:rPr>
              <w:t>Xxxxx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Funkce: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 specialista IP sítě a služeb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xxx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xxx</w:t>
            </w:r>
            <w:bookmarkStart w:id="1" w:name="_GoBack"/>
            <w:bookmarkEnd w:id="1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563C1"/>
                <w:sz w:val="20"/>
                <w:szCs w:val="20"/>
                <w:u w:val="single"/>
              </w:rPr>
            </w:pPr>
            <w:r>
              <w:t>x</w:t>
            </w:r>
            <w:hyperlink r:id="rId11" w:history="1">
              <w:r w:rsidRPr="001B5EEE">
                <w:rPr>
                  <w:rStyle w:val="Hypertextovodkaz"/>
                  <w:sz w:val="20"/>
                  <w:szCs w:val="20"/>
                </w:rPr>
                <w:t>xxxxx@tkcsystem.cz</w:t>
              </w:r>
            </w:hyperlink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Kontaktní osoba Účastníka: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Jméno: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Funkce: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Veeoucí</w:t>
            </w:r>
            <w:proofErr w:type="spellEnd"/>
            <w:r>
              <w:rPr>
                <w:sz w:val="20"/>
                <w:szCs w:val="20"/>
              </w:rPr>
              <w:t xml:space="preserve"> ICT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xxx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xxxxx.xxxxxx</w:t>
            </w:r>
            <w:r>
              <w:rPr>
                <w:color w:val="000000"/>
                <w:sz w:val="20"/>
                <w:szCs w:val="20"/>
              </w:rPr>
              <w:t>@szzkrnov.cz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Další údaje ke službě: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Varianta: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Tunel. L2 protokoly: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Přenosová kapacita: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100Mbps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Třída SLA: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99,40%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Plánované datum předání služby: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Skutečné datum předání služby: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Minimální přenosová kapacita: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100Mbps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Maximální přenosová kapacita: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100Mbps</w:t>
            </w: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Další ujednání: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 poskytovatele: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 Účastníka: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Datum: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Datum: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E302CF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podpis oprávněného zástupce Poskytovatele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16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podpis oprávněného zástupce Účastníka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02CF" w:rsidRDefault="00E3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02CF" w:rsidRDefault="00E302C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E302CF">
      <w:pgSz w:w="11906" w:h="16838"/>
      <w:pgMar w:top="709" w:right="566" w:bottom="0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CF"/>
    <w:rsid w:val="001650C3"/>
    <w:rsid w:val="001B6F4B"/>
    <w:rsid w:val="00D247D5"/>
    <w:rsid w:val="00E3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AA73"/>
  <w15:docId w15:val="{B844B9CB-F03E-4A94-98B4-51F8C4EE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A1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A57"/>
  </w:style>
  <w:style w:type="paragraph" w:styleId="Zpat">
    <w:name w:val="footer"/>
    <w:basedOn w:val="Normln"/>
    <w:link w:val="ZpatChar"/>
    <w:uiPriority w:val="99"/>
    <w:unhideWhenUsed/>
    <w:rsid w:val="00A1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A57"/>
  </w:style>
  <w:style w:type="table" w:styleId="Mkatabulky">
    <w:name w:val="Table Grid"/>
    <w:basedOn w:val="Normlntabulka"/>
    <w:uiPriority w:val="39"/>
    <w:rsid w:val="00BC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70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5EE"/>
    <w:rPr>
      <w:rFonts w:ascii="Segoe UI" w:hAnsi="Segoe UI" w:cs="Segoe UI"/>
      <w:sz w:val="18"/>
      <w:szCs w:val="18"/>
    </w:rPr>
  </w:style>
  <w:style w:type="paragraph" w:customStyle="1" w:styleId="H6">
    <w:name w:val="H6"/>
    <w:basedOn w:val="Normln"/>
    <w:next w:val="Normln"/>
    <w:rsid w:val="001F4C91"/>
    <w:pPr>
      <w:keepNext/>
      <w:spacing w:before="100" w:after="100" w:line="240" w:lineRule="auto"/>
      <w:outlineLvl w:val="6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hyperlink" Target="mailto:xxxxx@tkcsystem.cz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xxxxx@tkcsyste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7p2uzJ2w5b/3twihJnhfvhq34A==">AMUW2mXS0nhFo4Ocs1Hulg//RKsLf2lFBqRdB5MQlTSeGOpL6YOs7pQ2fmcm7AopG/R4X5qofo5Rkz88IhVSiXTMqSuxwZlNJd58AoiODsukXGoYUzNlyiXkByI4R0f6N4zqFCB6B6n/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3106</Words>
  <Characters>18332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Čepová Gabriela</cp:lastModifiedBy>
  <cp:revision>3</cp:revision>
  <dcterms:created xsi:type="dcterms:W3CDTF">2023-02-23T13:35:00Z</dcterms:created>
  <dcterms:modified xsi:type="dcterms:W3CDTF">2023-02-23T13:39:00Z</dcterms:modified>
</cp:coreProperties>
</file>