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322580" distL="63500" distR="3896995" simplePos="0" relativeHeight="12582937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12700</wp:posOffset>
                </wp:positionV>
                <wp:extent cx="1321435" cy="6489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143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ráva a údržba 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pt;width:104.05pt;height:51.100000000000001pt;z-index:-125829375;mso-wrap-distance-left:5.pt;mso-wrap-distance-right:306.85000000000002pt;mso-wrap-distance-bottom:25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ráva a údržba 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651510" distB="0" distL="2232660" distR="63500" simplePos="0" relativeHeight="125829380" behindDoc="0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664210</wp:posOffset>
                </wp:positionV>
                <wp:extent cx="2985770" cy="32004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577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O DÍL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70.80000000000001pt;margin-top:52.299999999999997pt;width:235.09999999999999pt;height:25.199999999999999pt;z-index:-125829373;mso-wrap-distance-left:175.80000000000001pt;mso-wrap-distance-top:51.299999999999997pt;mso-wrap-distance-right:5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O DÍL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KRASKÁ SPRÁVA A ÚDRŽBA SILNIC VYSOČINY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544" w:val="left"/>
          <w:tab w:pos="2034" w:val="left"/>
          <w:tab w:leader="dot" w:pos="2380" w:val="left"/>
          <w:tab w:leader="dot" w:pos="2518" w:val="left"/>
          <w:tab w:leader="dot" w:pos="2691" w:val="left"/>
          <w:tab w:leader="dot" w:pos="2945" w:val="left"/>
          <w:tab w:leader="dot" w:pos="3182" w:val="left"/>
        </w:tabs>
        <w:bidi w:val="0"/>
        <w:spacing w:before="0" w:after="3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pffspěví®e0</w:t>
        <w:tab/>
        <w:t>...</w:t>
        <w:tab/>
        <w:tab/>
        <w:tab/>
        <w:tab/>
        <w:tab/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870" w:val="left"/>
        </w:tabs>
        <w:bidi w:val="0"/>
        <w:spacing w:before="0" w:after="8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veřejnou zakázku malého rozsahu, uzavřená podle ustanovení §18 odst. 3 zákona</w:t>
        <w:br/>
        <w:t>č. 137/2006 Sb., o veřejných zakázkách, v platném znění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R.F.S., s.r.o.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/dále jen zhotovitel/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 Brno, Obecká 3, 62800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Zastoupena Ing. Tomášem Řezníčkem, jednatelem</w:t>
      </w:r>
    </w:p>
    <w:tbl>
      <w:tblPr>
        <w:tblOverlap w:val="never"/>
        <w:jc w:val="left"/>
        <w:tblLayout w:type="fixed"/>
      </w:tblPr>
      <w:tblGrid>
        <w:gridCol w:w="2070"/>
        <w:gridCol w:w="6044"/>
      </w:tblGrid>
      <w:tr>
        <w:trPr>
          <w:trHeight w:val="3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 - pobočka Brno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 ú.:</w:t>
      </w:r>
    </w:p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70"/>
        <w:gridCol w:w="6044"/>
      </w:tblGrid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469 74 938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CZ46974938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obchodním rejstříku vedeném Krajským soudem v Brně, oddíl C., vložka 7592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/dále jen objednatel/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 Kosovská 1122/16, Jihlava, 586 01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 Ing. Janem Míkou, ředitelem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věcech technických:</w:t>
      </w:r>
    </w:p>
    <w:tbl>
      <w:tblPr>
        <w:tblOverlap w:val="never"/>
        <w:jc w:val="left"/>
        <w:tblLayout w:type="fixed"/>
      </w:tblPr>
      <w:tblGrid>
        <w:gridCol w:w="2092"/>
        <w:gridCol w:w="4691"/>
      </w:tblGrid>
      <w:tr>
        <w:trPr>
          <w:trHeight w:val="8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č. ú.: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 - pobočka Jihlava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000 90 450</w:t>
            </w:r>
          </w:p>
        </w:tc>
      </w:tr>
      <w:tr>
        <w:trPr>
          <w:trHeight w:val="3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0"/>
      <w:bookmarkEnd w:id="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smlouvy je průběžná údržba programového vybavení REGISTR NEMOVITOSTÍ verze PEP a SILNICE v počtu 5 instalací v rámci multilicence objednatele v rozsahu kraje Vysočina.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Údržbou se rozumí legislativní, technický a uživatelský servis a vývoj programového vybavení - distribuce upgrade - REGISTR NEMOVITOSTÍ verze PEP a SILNICE (dále RN) uživatelská a technická podpora uživatelů, metodická a konzultační činnost s provozem systému spojená a příprava dat katastru nemovitostí pro aktualizaci RN.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Aktualizace systému RN daty KN bude prováděna nejméně 4x ročně a to k datu 31.3., 30. 6. a 30. 9. a 31. 12. běžného roku, další aktualizace a jejich termíny budou dojednány podle zájmu objednatele. Termín aktualizace je stanoven do 30 dnů od data, ke kterému jsou data aktualizována.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SMLOUVY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smlouvy začíná dnem jejího podpisu. Smlouva se uzavírá na dobu neurčitou. Vypovědět ji lze kteroukoliv ze smluvních stran a to vždy ke konci kalendářního roku s 3 měsíční výpovědní lhůtou.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Uzavřením této smlouvy pozbývají platnosti všechny předchozí smlouvy uzavřené mezi účastníky této smlouvy nebo mezi stranami, kterých jsou účastníci této smlouvy právními nástupci.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</w:t>
      </w:r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Nárok na cenu vzniká řádným splněním závazku zhotovitele.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ročního udržovacího poplatku včetně prací spojených s první roční aktualizací dat KN byla stanovena na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29 500,- Kč.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prací za každou další aktualizaci systému daty KN činí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1000,- Kč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okres a verzi systému RN. Cena prací nezahrnuje cenu dat KN - ty budou vyúčtovány na základě skutečně vynaložených nákladů, které zhotovitel doloží kopiemi originálu dokladů z KN.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Uvedená částka je splatná do 14 dnů od doručení účetního dokladu, kterou zhotovitel vystaví vždy po aktualizaci. Faktura bude mít náležitosti daňového dokladu.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ceně bude fakturována DPH dle platných předpisů.</w:t>
      </w: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ZÁVĚREČNÉ USTANOVENÍ</w:t>
      </w:r>
      <w:bookmarkEnd w:id="6"/>
      <w:bookmarkEnd w:id="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 změny této smlouvy musí být písemné (dodatek ke smlouvě) a oběma účastníky podepsané, jinak jsou neplatné.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ostatním se právní vztah řídí platnými právními předpisy.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má právo od smlouvy jednostranně odstoupit v případě, že legislativní či jiné překážky mu znemožní získat pro potřeby klienta data katastru nemovitostí.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tímto uděluje zhotoviteli plnou moc k zajištění dat katastru nemovitostí v rozsahu území kraje Vysočina.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je vyhotovena ve 2 exemplářích, každá ze smluvních stran obdrží jedno vyhotovení.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104" w:val="left"/>
          <w:tab w:pos="7616" w:val="left"/>
        </w:tabs>
        <w:bidi w:val="0"/>
        <w:spacing w:before="0" w:after="1280" w:line="240" w:lineRule="auto"/>
        <w:ind w:left="0" w:right="0" w:firstLine="78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dne: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” 7 ”06’ 2011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Brně dne: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2^/2/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120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4693285</wp:posOffset>
                </wp:positionH>
                <wp:positionV relativeFrom="paragraph">
                  <wp:posOffset>12700</wp:posOffset>
                </wp:positionV>
                <wp:extent cx="635635" cy="14160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5635" cy="141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•zhotovitel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9.55000000000001pt;margin-top:1.pt;width:50.049999999999997pt;height:11.1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•zhotovitel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5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12700</wp:posOffset>
                </wp:positionV>
                <wp:extent cx="895985" cy="45720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Jan Mika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7.59999999999999pt;margin-top:1.pt;width:70.549999999999997pt;height:36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Jan Mika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Tomáš Řezníček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jednatel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120" w:left="1706" w:right="412" w:bottom="3330" w:header="69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10253345</wp:posOffset>
              </wp:positionV>
              <wp:extent cx="79121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1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63.5pt;margin-top:807.35000000000002pt;width:62.299999999999997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1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line="430" w:lineRule="auto"/>
    </w:pPr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after="580"/>
      <w:ind w:firstLine="3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spacing w:after="1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