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B94D37">
        <w:rPr>
          <w:rFonts w:ascii="Times New Roman" w:hAnsi="Times New Roman" w:cs="Times New Roman"/>
          <w:color w:val="auto"/>
          <w:sz w:val="24"/>
          <w:szCs w:val="24"/>
        </w:rPr>
        <w:t>1767/2022</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FC453F">
        <w:rPr>
          <w:rFonts w:ascii="Times New Roman" w:hAnsi="Times New Roman" w:cs="Times New Roman"/>
          <w:sz w:val="24"/>
          <w:szCs w:val="24"/>
        </w:rPr>
        <w:t>xxxxxx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234E2F"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Bc.Martin</w:t>
      </w:r>
      <w:proofErr w:type="spellEnd"/>
      <w:r>
        <w:rPr>
          <w:rFonts w:ascii="Times New Roman" w:hAnsi="Times New Roman" w:cs="Times New Roman"/>
          <w:sz w:val="24"/>
          <w:szCs w:val="24"/>
        </w:rPr>
        <w:t xml:space="preserve"> Drobný</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B94D37">
        <w:rPr>
          <w:rFonts w:ascii="Times New Roman" w:hAnsi="Times New Roman" w:cs="Times New Roman"/>
          <w:sz w:val="24"/>
          <w:szCs w:val="24"/>
        </w:rPr>
        <w:t xml:space="preserve"> </w:t>
      </w:r>
      <w:r w:rsidR="00B94D37" w:rsidRPr="00B94D37">
        <w:rPr>
          <w:rFonts w:ascii="Times New Roman" w:hAnsi="Times New Roman" w:cs="Times New Roman"/>
          <w:sz w:val="24"/>
          <w:szCs w:val="24"/>
        </w:rPr>
        <w:t>Stavební bytové družstvo občanů</w:t>
      </w:r>
      <w:r w:rsidR="00B94D37">
        <w:rPr>
          <w:rFonts w:ascii="Times New Roman" w:hAnsi="Times New Roman" w:cs="Times New Roman"/>
          <w:sz w:val="24"/>
          <w:szCs w:val="24"/>
        </w:rPr>
        <w:t xml:space="preserve"> v Jičíně</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B94D37">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B94D37" w:rsidRPr="00B94D37">
        <w:rPr>
          <w:rFonts w:ascii="Times New Roman" w:hAnsi="Times New Roman" w:cs="Times New Roman"/>
          <w:sz w:val="24"/>
          <w:szCs w:val="24"/>
        </w:rPr>
        <w:t>Dělnická 201</w:t>
      </w:r>
    </w:p>
    <w:p w:rsidR="00C60AAB" w:rsidRDefault="00B94D37"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 sídlem</w:t>
      </w:r>
      <w:r w:rsidR="00C60AAB" w:rsidRPr="00C14836">
        <w:rPr>
          <w:rFonts w:ascii="Times New Roman" w:hAnsi="Times New Roman" w:cs="Times New Roman"/>
          <w:sz w:val="24"/>
          <w:szCs w:val="24"/>
        </w:rPr>
        <w:t>:</w:t>
      </w:r>
      <w:r w:rsidR="00986B42">
        <w:rPr>
          <w:rFonts w:ascii="Times New Roman" w:hAnsi="Times New Roman" w:cs="Times New Roman"/>
          <w:sz w:val="24"/>
          <w:szCs w:val="24"/>
        </w:rPr>
        <w:t xml:space="preserve">  </w:t>
      </w:r>
      <w:r>
        <w:rPr>
          <w:rFonts w:ascii="Times New Roman" w:hAnsi="Times New Roman" w:cs="Times New Roman"/>
          <w:sz w:val="24"/>
          <w:szCs w:val="24"/>
        </w:rPr>
        <w:t xml:space="preserve"> 506 01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86B42">
        <w:rPr>
          <w:rFonts w:ascii="Times New Roman" w:hAnsi="Times New Roman" w:cs="Times New Roman"/>
          <w:sz w:val="24"/>
          <w:szCs w:val="24"/>
        </w:rPr>
        <w:t xml:space="preserve"> </w:t>
      </w:r>
      <w:r w:rsidR="00B94D37" w:rsidRPr="00B94D37">
        <w:rPr>
          <w:rFonts w:ascii="Times New Roman" w:hAnsi="Times New Roman" w:cs="Times New Roman"/>
          <w:sz w:val="24"/>
          <w:szCs w:val="24"/>
        </w:rPr>
        <w:t>00044733</w:t>
      </w:r>
      <w:r w:rsidR="00986B42">
        <w:rPr>
          <w:rFonts w:ascii="Times New Roman" w:hAnsi="Times New Roman" w:cs="Times New Roman"/>
          <w:sz w:val="24"/>
          <w:szCs w:val="24"/>
        </w:rPr>
        <w:t xml:space="preserve"> </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r w:rsidR="00B94D37">
        <w:rPr>
          <w:rFonts w:ascii="Times New Roman" w:hAnsi="Times New Roman" w:cs="Times New Roman"/>
          <w:sz w:val="24"/>
          <w:szCs w:val="24"/>
        </w:rPr>
        <w:t>Petr Munzar</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r w:rsidR="00FC453F">
        <w:rPr>
          <w:rFonts w:ascii="Times New Roman" w:hAnsi="Times New Roman" w:cs="Times New Roman"/>
          <w:sz w:val="24"/>
          <w:szCs w:val="24"/>
        </w:rPr>
        <w:t>xxxxxx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A024A" w:rsidRDefault="0049661F" w:rsidP="0049661F">
      <w:pPr>
        <w:pStyle w:val="Bezmezer"/>
      </w:pPr>
      <w:r>
        <w:t xml:space="preserve">Dělnická 201           </w:t>
      </w:r>
      <w:r w:rsidRPr="0049661F">
        <w:t>1007755130</w:t>
      </w:r>
      <w:r>
        <w:t xml:space="preserve">                   1x1100l </w:t>
      </w:r>
      <w:r w:rsidR="00E852CB">
        <w:t>SKO                        26                       1x14</w:t>
      </w:r>
      <w:r>
        <w:t>dní</w:t>
      </w:r>
    </w:p>
    <w:p w:rsidR="0049661F" w:rsidRDefault="0049661F" w:rsidP="0049661F">
      <w:pPr>
        <w:pStyle w:val="Bezmezer"/>
      </w:pPr>
      <w:r w:rsidRPr="0049661F">
        <w:t>Revoluční 1077</w:t>
      </w:r>
      <w:r>
        <w:t xml:space="preserve">       </w:t>
      </w:r>
      <w:r w:rsidRPr="0049661F">
        <w:t>00044733-1</w:t>
      </w:r>
      <w:r>
        <w:t xml:space="preserve">                    0,5x1100l SKO                     52                       1x7dní</w:t>
      </w:r>
    </w:p>
    <w:p w:rsidR="004D41D0" w:rsidRDefault="004D41D0" w:rsidP="0049661F">
      <w:pPr>
        <w:pStyle w:val="Bezmezer"/>
      </w:pPr>
    </w:p>
    <w:p w:rsidR="004D41D0" w:rsidRDefault="0049661F" w:rsidP="0049661F">
      <w:pPr>
        <w:pStyle w:val="Bezmezer"/>
      </w:pPr>
      <w:r>
        <w:t xml:space="preserve">Kontejner v Revoluční ul. </w:t>
      </w:r>
      <w:r w:rsidR="00E852CB">
        <w:t xml:space="preserve">je </w:t>
      </w:r>
      <w:r>
        <w:t>společný s /</w:t>
      </w:r>
      <w:r w:rsidRPr="0049661F">
        <w:t>Krajská hygienická stanice KHK</w:t>
      </w:r>
      <w:r>
        <w:t>/</w:t>
      </w:r>
      <w:r w:rsidR="00E852CB">
        <w:t xml:space="preserve"> a je v pronájmu od TS Jičín.</w:t>
      </w:r>
    </w:p>
    <w:p w:rsidR="00E852CB" w:rsidRDefault="00E852CB" w:rsidP="0049661F">
      <w:pPr>
        <w:pStyle w:val="Bezmezer"/>
      </w:pPr>
    </w:p>
    <w:p w:rsidR="004D41D0" w:rsidRDefault="004D41D0" w:rsidP="0049661F">
      <w:pPr>
        <w:pStyle w:val="Bezmezer"/>
      </w:pPr>
      <w:r>
        <w:t>Kontejner v D</w:t>
      </w:r>
      <w:r w:rsidR="00E852CB">
        <w:t>ělnické ulici</w:t>
      </w:r>
      <w:r>
        <w:t xml:space="preserve"> je vlastní</w:t>
      </w:r>
    </w:p>
    <w:p w:rsidR="00986B42" w:rsidRDefault="00986B42" w:rsidP="00C60AAB">
      <w:pPr>
        <w:spacing w:after="0" w:line="240" w:lineRule="auto"/>
        <w:jc w:val="both"/>
        <w:rPr>
          <w:rFonts w:ascii="Times New Roman" w:hAnsi="Times New Roman" w:cs="Times New Roman"/>
          <w:b/>
          <w:sz w:val="24"/>
          <w:szCs w:val="24"/>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49661F"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49661F">
        <w:rPr>
          <w:rFonts w:ascii="Times New Roman" w:eastAsia="Times New Roman" w:hAnsi="Times New Roman" w:cs="Times New Roman"/>
          <w:b/>
          <w:sz w:val="24"/>
          <w:szCs w:val="24"/>
          <w:lang w:eastAsia="cs-CZ"/>
        </w:rPr>
        <w:t>čtvrtletně, kdy zdanitelným obdobím bude poslední kalendářní den čtvrtletí</w:t>
      </w:r>
      <w:r w:rsidR="00DF65FB" w:rsidRPr="0049661F">
        <w:rPr>
          <w:rFonts w:ascii="Times New Roman" w:eastAsia="Times New Roman" w:hAnsi="Times New Roman" w:cs="Times New Roman"/>
          <w:b/>
          <w:sz w:val="24"/>
          <w:szCs w:val="24"/>
          <w:lang w:eastAsia="cs-CZ"/>
        </w:rPr>
        <w:t xml:space="preserve"> a</w:t>
      </w:r>
      <w:r w:rsidR="00625C8D" w:rsidRPr="0049661F">
        <w:rPr>
          <w:rFonts w:ascii="Times New Roman" w:eastAsia="Times New Roman" w:hAnsi="Times New Roman" w:cs="Times New Roman"/>
          <w:b/>
          <w:sz w:val="24"/>
          <w:szCs w:val="24"/>
          <w:lang w:eastAsia="cs-CZ"/>
        </w:rPr>
        <w:t xml:space="preserve"> </w:t>
      </w:r>
      <w:r w:rsidR="000F293D" w:rsidRPr="0049661F">
        <w:rPr>
          <w:rFonts w:ascii="Times New Roman" w:eastAsia="Times New Roman" w:hAnsi="Times New Roman" w:cs="Times New Roman"/>
          <w:b/>
          <w:sz w:val="24"/>
          <w:szCs w:val="24"/>
          <w:lang w:eastAsia="cs-CZ"/>
        </w:rPr>
        <w:t>kdy daňový doklad bude vystaven do 14 dnů po ukončení kalendářního čtvrtletí</w:t>
      </w:r>
    </w:p>
    <w:p w:rsidR="00C60AAB" w:rsidRPr="0049661F"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49661F">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49661F">
        <w:rPr>
          <w:rFonts w:ascii="Times New Roman" w:eastAsia="Times New Roman" w:hAnsi="Times New Roman" w:cs="Times New Roman"/>
          <w:strike/>
          <w:sz w:val="24"/>
          <w:szCs w:val="24"/>
          <w:lang w:eastAsia="cs-CZ"/>
        </w:rPr>
        <w:t>30.3. běžného</w:t>
      </w:r>
      <w:proofErr w:type="gramEnd"/>
      <w:r w:rsidRPr="0049661F">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 xml:space="preserve">je k nahlédnutí na </w:t>
      </w:r>
      <w:hyperlink r:id="rId5" w:history="1">
        <w:r w:rsidR="002F50FE" w:rsidRPr="00D86903">
          <w:rPr>
            <w:rStyle w:val="Hypertextovodkaz"/>
            <w:rFonts w:ascii="Times New Roman" w:hAnsi="Times New Roman" w:cs="Times New Roman"/>
            <w:sz w:val="24"/>
            <w:szCs w:val="24"/>
          </w:rPr>
          <w:t>www.mujicin.cz</w:t>
        </w:r>
      </w:hyperlink>
      <w:r w:rsidR="00403A96">
        <w:rPr>
          <w:rFonts w:ascii="Times New Roman" w:hAnsi="Times New Roman" w:cs="Times New Roman"/>
          <w:sz w:val="24"/>
          <w:szCs w:val="24"/>
        </w:rPr>
        <w:t>.</w:t>
      </w:r>
      <w:r w:rsidRPr="007A6A2C">
        <w:rPr>
          <w:rFonts w:ascii="Times New Roman" w:hAnsi="Times New Roman" w:cs="Times New Roman"/>
          <w:sz w:val="24"/>
          <w:szCs w:val="24"/>
        </w:rPr>
        <w:t>).</w:t>
      </w:r>
      <w:r w:rsidR="002F50FE">
        <w:rPr>
          <w:rFonts w:ascii="Times New Roman" w:hAnsi="Times New Roman" w:cs="Times New Roman"/>
          <w:sz w:val="24"/>
          <w:szCs w:val="24"/>
        </w:rPr>
        <w:t xml:space="preserve"> Původce je povinen odkládat do nádob pouze studený popel, aby nedošlo k jeho vznícení a nevznikla tímto jednáním poskytovateli služby škoda. </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6"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7"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FC453F">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2F50FE" w:rsidRPr="002F50FE">
        <w:rPr>
          <w:rFonts w:ascii="Times New Roman" w:hAnsi="Times New Roman" w:cs="Times New Roman"/>
          <w:b/>
          <w:sz w:val="24"/>
          <w:szCs w:val="24"/>
        </w:rPr>
        <w:t>1.10.2022</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doby </w:t>
      </w:r>
      <w:r w:rsidR="00285BA9">
        <w:rPr>
          <w:rFonts w:ascii="Times New Roman" w:hAnsi="Times New Roman" w:cs="Times New Roman"/>
          <w:sz w:val="24"/>
          <w:szCs w:val="24"/>
        </w:rPr>
        <w:t>provedené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412216">
        <w:rPr>
          <w:rFonts w:ascii="Times New Roman" w:eastAsia="Times New Roman" w:hAnsi="Times New Roman" w:cs="Times New Roman"/>
          <w:sz w:val="24"/>
          <w:szCs w:val="24"/>
          <w:lang w:eastAsia="cs-CZ"/>
        </w:rPr>
        <w:t>30.10.2022</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FC453F"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tbl>
      <w:tblPr>
        <w:tblW w:w="9863" w:type="dxa"/>
        <w:tblCellMar>
          <w:left w:w="70" w:type="dxa"/>
          <w:right w:w="70" w:type="dxa"/>
        </w:tblCellMar>
        <w:tblLook w:val="04A0" w:firstRow="1" w:lastRow="0" w:firstColumn="1" w:lastColumn="0" w:noHBand="0" w:noVBand="1"/>
      </w:tblPr>
      <w:tblGrid>
        <w:gridCol w:w="5640"/>
        <w:gridCol w:w="933"/>
        <w:gridCol w:w="976"/>
        <w:gridCol w:w="1274"/>
        <w:gridCol w:w="1718"/>
      </w:tblGrid>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lang w:eastAsia="cs-CZ"/>
              </w:rPr>
            </w:pPr>
            <w:bookmarkStart w:id="0" w:name="_GoBack" w:colFirst="2" w:colLast="2"/>
            <w:r w:rsidRPr="00FC453F">
              <w:rPr>
                <w:rFonts w:ascii="Calibri" w:eastAsia="Times New Roman" w:hAnsi="Calibri" w:cs="Calibri"/>
                <w:noProof/>
                <w:color w:val="000000"/>
                <w:lang w:eastAsia="cs-CZ"/>
              </w:rPr>
              <w:lastRenderedPageBreak/>
              <mc:AlternateContent>
                <mc:Choice Requires="wps">
                  <w:drawing>
                    <wp:anchor distT="0" distB="0" distL="114300" distR="114300" simplePos="0" relativeHeight="251658240" behindDoc="0" locked="0" layoutInCell="1" allowOverlap="1">
                      <wp:simplePos x="0" y="0"/>
                      <wp:positionH relativeFrom="column">
                        <wp:posOffset>3943350</wp:posOffset>
                      </wp:positionH>
                      <wp:positionV relativeFrom="paragraph">
                        <wp:posOffset>66675</wp:posOffset>
                      </wp:positionV>
                      <wp:extent cx="1133475" cy="121920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8676"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175A220A" id="Obdélník 2" o:spid="_x0000_s1026" style="position:absolute;margin-left:310.5pt;margin-top:5.25pt;width:89.25pt;height:9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" filled="f" stroked="f">
                      <o:lock v:ext="edit" text="t" shapetype="t"/>
                    </v:rect>
                  </w:pict>
                </mc:Fallback>
              </mc:AlternateContent>
            </w:r>
            <w:r w:rsidRPr="00FC453F">
              <w:rPr>
                <w:rFonts w:ascii="Calibri" w:eastAsia="Times New Roman" w:hAnsi="Calibri" w:cs="Calibri"/>
                <w:noProof/>
                <w:color w:val="000000"/>
                <w:lang w:eastAsia="cs-CZ"/>
              </w:rPr>
              <w:drawing>
                <wp:anchor distT="0" distB="0" distL="114300" distR="114300" simplePos="0" relativeHeight="251658240" behindDoc="0" locked="0" layoutInCell="1" allowOverlap="1">
                  <wp:simplePos x="0" y="0"/>
                  <wp:positionH relativeFrom="column">
                    <wp:posOffset>190500</wp:posOffset>
                  </wp:positionH>
                  <wp:positionV relativeFrom="paragraph">
                    <wp:posOffset>28575</wp:posOffset>
                  </wp:positionV>
                  <wp:extent cx="5400675" cy="1295400"/>
                  <wp:effectExtent l="0" t="0" r="0" b="0"/>
                  <wp:wrapNone/>
                  <wp:docPr id="4" name="Obrázek 4"/>
                  <wp:cNvGraphicFramePr/>
                  <a:graphic xmlns:a="http://schemas.openxmlformats.org/drawingml/2006/main">
                    <a:graphicData uri="http://schemas.openxmlformats.org/drawingml/2006/picture">
                      <pic:pic xmlns:pic="http://schemas.openxmlformats.org/drawingml/2006/picture">
                        <pic:nvPicPr>
                          <pic:cNvPr id="4" name="Picture 103"/>
                          <pic:cNvPicPr>
                            <a:picLocks noChangeAspect="1"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400675" cy="1295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500"/>
            </w:tblGrid>
            <w:tr w:rsidR="00FC453F" w:rsidRPr="00FC453F">
              <w:trPr>
                <w:trHeight w:val="300"/>
                <w:tblCellSpacing w:w="0" w:type="dxa"/>
              </w:trPr>
              <w:tc>
                <w:tcPr>
                  <w:tcW w:w="5500"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lang w:eastAsia="cs-CZ"/>
                    </w:rPr>
                  </w:pPr>
                </w:p>
              </w:tc>
            </w:tr>
          </w:tbl>
          <w:p w:rsidR="00FC453F" w:rsidRPr="00FC453F" w:rsidRDefault="00FC453F" w:rsidP="00FC453F">
            <w:pPr>
              <w:spacing w:after="0" w:line="240" w:lineRule="auto"/>
              <w:rPr>
                <w:rFonts w:ascii="Calibri" w:eastAsia="Times New Roman" w:hAnsi="Calibri" w:cs="Calibri"/>
                <w:color w:val="00000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right"/>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right"/>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6871" w:type="dxa"/>
            <w:gridSpan w:val="3"/>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 xml:space="preserve">             se sídlem Textilní 955, Jičín, IČO : 64814467, </w:t>
            </w:r>
            <w:proofErr w:type="gramStart"/>
            <w:r w:rsidRPr="00FC453F">
              <w:rPr>
                <w:rFonts w:ascii="Calibri Light" w:eastAsia="Times New Roman" w:hAnsi="Calibri Light" w:cs="Calibri Light"/>
                <w:sz w:val="24"/>
                <w:szCs w:val="24"/>
                <w:lang w:eastAsia="cs-CZ"/>
              </w:rPr>
              <w:t>DIČ :CZ</w:t>
            </w:r>
            <w:proofErr w:type="gramEnd"/>
            <w:r w:rsidRPr="00FC453F">
              <w:rPr>
                <w:rFonts w:ascii="Calibri Light" w:eastAsia="Times New Roman" w:hAnsi="Calibri Light" w:cs="Calibri Light"/>
                <w:sz w:val="24"/>
                <w:szCs w:val="24"/>
                <w:lang w:eastAsia="cs-CZ"/>
              </w:rPr>
              <w:t xml:space="preserve"> 64814467 </w:t>
            </w: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4"/>
                <w:szCs w:val="24"/>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630"/>
        </w:trPr>
        <w:tc>
          <w:tcPr>
            <w:tcW w:w="5895" w:type="dxa"/>
            <w:gridSpan w:val="2"/>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 xml:space="preserve">             v OR vedená u KS Hradec Králové v oddílu </w:t>
            </w:r>
            <w:proofErr w:type="spellStart"/>
            <w:r w:rsidRPr="00FC453F">
              <w:rPr>
                <w:rFonts w:ascii="Calibri Light" w:eastAsia="Times New Roman" w:hAnsi="Calibri Light" w:cs="Calibri Light"/>
                <w:sz w:val="24"/>
                <w:szCs w:val="24"/>
                <w:lang w:eastAsia="cs-CZ"/>
              </w:rPr>
              <w:t>Pr</w:t>
            </w:r>
            <w:proofErr w:type="spellEnd"/>
            <w:r w:rsidRPr="00FC453F">
              <w:rPr>
                <w:rFonts w:ascii="Calibri Light" w:eastAsia="Times New Roman" w:hAnsi="Calibri Light" w:cs="Calibri Light"/>
                <w:sz w:val="24"/>
                <w:szCs w:val="24"/>
                <w:lang w:eastAsia="cs-CZ"/>
              </w:rPr>
              <w:t>, vložka 90</w:t>
            </w: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4"/>
                <w:szCs w:val="24"/>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435"/>
        </w:trPr>
        <w:tc>
          <w:tcPr>
            <w:tcW w:w="4962" w:type="dxa"/>
            <w:tcBorders>
              <w:top w:val="nil"/>
              <w:left w:val="nil"/>
              <w:bottom w:val="nil"/>
              <w:right w:val="nil"/>
            </w:tcBorders>
            <w:shd w:val="clear" w:color="auto" w:fill="auto"/>
            <w:noWrap/>
            <w:vAlign w:val="center"/>
            <w:hideMark/>
          </w:tcPr>
          <w:p w:rsidR="00FC453F" w:rsidRPr="00FC453F" w:rsidRDefault="00FC453F" w:rsidP="00FC453F">
            <w:pPr>
              <w:spacing w:after="0" w:line="240" w:lineRule="auto"/>
              <w:rPr>
                <w:rFonts w:ascii="Calibri Light" w:eastAsia="Times New Roman" w:hAnsi="Calibri Light" w:cs="Calibri Light"/>
                <w:lang w:eastAsia="cs-CZ"/>
              </w:rPr>
            </w:pPr>
            <w:r w:rsidRPr="00FC453F">
              <w:rPr>
                <w:rFonts w:ascii="Calibri Light" w:eastAsia="Times New Roman" w:hAnsi="Calibri Light" w:cs="Calibri Light"/>
                <w:lang w:eastAsia="cs-CZ"/>
              </w:rPr>
              <w:t xml:space="preserve">                Platnost od </w:t>
            </w:r>
            <w:proofErr w:type="gramStart"/>
            <w:r w:rsidRPr="00FC453F">
              <w:rPr>
                <w:rFonts w:ascii="Calibri Light" w:eastAsia="Times New Roman" w:hAnsi="Calibri Light" w:cs="Calibri Light"/>
                <w:lang w:eastAsia="cs-CZ"/>
              </w:rPr>
              <w:t>1.7.2022</w:t>
            </w:r>
            <w:proofErr w:type="gramEnd"/>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lang w:eastAsia="cs-CZ"/>
              </w:rPr>
            </w:pPr>
            <w:r w:rsidRPr="00FC453F">
              <w:rPr>
                <w:rFonts w:ascii="Calibri" w:eastAsia="Times New Roman" w:hAnsi="Calibri" w:cs="Calibri"/>
                <w:noProof/>
                <w:color w:val="000000"/>
                <w:lang w:eastAsia="cs-CZ"/>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19050</wp:posOffset>
                      </wp:positionV>
                      <wp:extent cx="5791200" cy="533400"/>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5067299" cy="485775"/>
                              </a:xfrm>
                              <a:prstGeom prst="rect">
                                <a:avLst/>
                              </a:prstGeom>
                            </wps:spPr>
                            <wps:txbx>
                              <w:txbxContent>
                                <w:p w:rsidR="00FC453F" w:rsidRDefault="00FC453F" w:rsidP="00FC453F">
                                  <w:pPr>
                                    <w:pStyle w:val="Normlnweb"/>
                                    <w:spacing w:before="0" w:beforeAutospacing="0" w:after="0" w:afterAutospacing="0"/>
                                    <w:jc w:val="center"/>
                                  </w:pPr>
                                  <w:r w:rsidRPr="00FC453F">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2022</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15pt;margin-top:1.5pt;width:456pt;height:4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" filled="f" stroked="f">
                      <o:lock v:ext="edit" shapetype="t"/>
                      <v:textbox>
                        <w:txbxContent>
                          <w:p w:rsidR="00FC453F" w:rsidRDefault="00FC453F" w:rsidP="00FC453F">
                            <w:pPr>
                              <w:pStyle w:val="Normlnweb"/>
                              <w:spacing w:before="0" w:beforeAutospacing="0" w:after="0" w:afterAutospacing="0"/>
                              <w:jc w:val="center"/>
                            </w:pPr>
                            <w:r w:rsidRPr="00FC453F">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2022</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00"/>
            </w:tblGrid>
            <w:tr w:rsidR="00FC453F" w:rsidRPr="00FC453F">
              <w:trPr>
                <w:trHeight w:val="315"/>
                <w:tblCellSpacing w:w="0" w:type="dxa"/>
              </w:trPr>
              <w:tc>
                <w:tcPr>
                  <w:tcW w:w="5500"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lang w:eastAsia="cs-CZ"/>
                    </w:rPr>
                  </w:pPr>
                </w:p>
              </w:tc>
            </w:tr>
          </w:tbl>
          <w:p w:rsidR="00FC453F" w:rsidRPr="00FC453F" w:rsidRDefault="00FC453F" w:rsidP="00FC453F">
            <w:pPr>
              <w:spacing w:after="0" w:line="240" w:lineRule="auto"/>
              <w:rPr>
                <w:rFonts w:ascii="Calibri" w:eastAsia="Times New Roman" w:hAnsi="Calibri" w:cs="Calibri"/>
                <w:color w:val="00000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right"/>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3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right"/>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5895"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lang w:eastAsia="cs-CZ"/>
              </w:rPr>
            </w:pPr>
            <w:proofErr w:type="gramStart"/>
            <w:r w:rsidRPr="00FC453F">
              <w:rPr>
                <w:rFonts w:ascii="Cambria" w:eastAsia="Times New Roman" w:hAnsi="Cambria" w:cs="Calibri"/>
                <w:b/>
                <w:bCs/>
                <w:lang w:eastAsia="cs-CZ"/>
              </w:rPr>
              <w:t>Provoz :                           Svoz</w:t>
            </w:r>
            <w:proofErr w:type="gramEnd"/>
            <w:r w:rsidRPr="00FC453F">
              <w:rPr>
                <w:rFonts w:ascii="Cambria" w:eastAsia="Times New Roman" w:hAnsi="Cambria" w:cs="Calibri"/>
                <w:b/>
                <w:bCs/>
                <w:lang w:eastAsia="cs-CZ"/>
              </w:rPr>
              <w:t xml:space="preserve"> komunálního odpadu - Textilní</w:t>
            </w:r>
          </w:p>
        </w:tc>
        <w:tc>
          <w:tcPr>
            <w:tcW w:w="976" w:type="dxa"/>
            <w:tcBorders>
              <w:top w:val="single" w:sz="8" w:space="0" w:color="auto"/>
              <w:left w:val="nil"/>
              <w:bottom w:val="single" w:sz="8" w:space="0" w:color="auto"/>
              <w:right w:val="nil"/>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lang w:eastAsia="cs-CZ"/>
              </w:rPr>
            </w:pPr>
            <w:r w:rsidRPr="00FC453F">
              <w:rPr>
                <w:rFonts w:ascii="Cambria" w:eastAsia="Times New Roman" w:hAnsi="Cambria" w:cs="Calibri"/>
                <w:b/>
                <w:bCs/>
                <w:lang w:eastAsia="cs-CZ"/>
              </w:rPr>
              <w:t> </w:t>
            </w:r>
          </w:p>
        </w:tc>
        <w:tc>
          <w:tcPr>
            <w:tcW w:w="1274" w:type="dxa"/>
            <w:tcBorders>
              <w:top w:val="single" w:sz="8" w:space="0" w:color="auto"/>
              <w:left w:val="nil"/>
              <w:bottom w:val="single" w:sz="8" w:space="0" w:color="auto"/>
              <w:right w:val="nil"/>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i/>
                <w:iCs/>
                <w:lang w:eastAsia="cs-CZ"/>
              </w:rPr>
            </w:pPr>
            <w:r w:rsidRPr="00FC453F">
              <w:rPr>
                <w:rFonts w:ascii="Cambria" w:eastAsia="Times New Roman" w:hAnsi="Cambria" w:cs="Calibri"/>
                <w:b/>
                <w:bCs/>
                <w:i/>
                <w:iCs/>
                <w:lang w:eastAsia="cs-CZ"/>
              </w:rPr>
              <w:t> </w:t>
            </w:r>
          </w:p>
        </w:tc>
        <w:tc>
          <w:tcPr>
            <w:tcW w:w="1718" w:type="dxa"/>
            <w:tcBorders>
              <w:top w:val="single" w:sz="8" w:space="0" w:color="auto"/>
              <w:left w:val="nil"/>
              <w:bottom w:val="single" w:sz="8" w:space="0" w:color="auto"/>
              <w:right w:val="single" w:sz="8" w:space="0" w:color="auto"/>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lang w:eastAsia="cs-CZ"/>
              </w:rPr>
            </w:pPr>
            <w:r w:rsidRPr="00FC453F">
              <w:rPr>
                <w:rFonts w:ascii="Cambria" w:eastAsia="Times New Roman" w:hAnsi="Cambria" w:cs="Calibri"/>
                <w:b/>
                <w:bCs/>
                <w:lang w:eastAsia="cs-CZ"/>
              </w:rPr>
              <w:t> </w:t>
            </w:r>
          </w:p>
        </w:tc>
      </w:tr>
      <w:tr w:rsidR="00FC453F" w:rsidRPr="00FC453F" w:rsidTr="00FC453F">
        <w:trPr>
          <w:trHeight w:val="315"/>
        </w:trPr>
        <w:tc>
          <w:tcPr>
            <w:tcW w:w="4962" w:type="dxa"/>
            <w:tcBorders>
              <w:top w:val="nil"/>
              <w:left w:val="single" w:sz="8" w:space="0" w:color="auto"/>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jednotka</w:t>
            </w:r>
          </w:p>
        </w:tc>
        <w:tc>
          <w:tcPr>
            <w:tcW w:w="976"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sazba DPH</w:t>
            </w:r>
          </w:p>
        </w:tc>
        <w:tc>
          <w:tcPr>
            <w:tcW w:w="1274"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Cena bez DPH</w:t>
            </w:r>
          </w:p>
        </w:tc>
        <w:tc>
          <w:tcPr>
            <w:tcW w:w="1718" w:type="dxa"/>
            <w:tcBorders>
              <w:top w:val="nil"/>
              <w:left w:val="nil"/>
              <w:bottom w:val="single" w:sz="8" w:space="0" w:color="auto"/>
              <w:right w:val="single" w:sz="8"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Cena včetně DPH</w:t>
            </w:r>
          </w:p>
        </w:tc>
      </w:tr>
      <w:tr w:rsidR="00FC453F" w:rsidRPr="00FC453F" w:rsidTr="00FC453F">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6 859,50</w:t>
            </w:r>
          </w:p>
        </w:tc>
        <w:tc>
          <w:tcPr>
            <w:tcW w:w="1718"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8 300,00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2 704,13</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3 272,00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17 289,25</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20 920,00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12 352,06</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14 946,00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739,66</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895,00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 xml:space="preserve">Nádoba 110 </w:t>
            </w:r>
            <w:proofErr w:type="spellStart"/>
            <w:r w:rsidRPr="00FC453F">
              <w:rPr>
                <w:rFonts w:ascii="Calibri Light" w:eastAsia="Times New Roman" w:hAnsi="Calibri Light" w:cs="Calibri Light"/>
                <w:sz w:val="20"/>
                <w:szCs w:val="20"/>
                <w:lang w:eastAsia="cs-CZ"/>
              </w:rPr>
              <w:t>pozink</w:t>
            </w:r>
            <w:proofErr w:type="spellEnd"/>
            <w:r w:rsidRPr="00FC453F">
              <w:rPr>
                <w:rFonts w:ascii="Calibri Light" w:eastAsia="Times New Roman" w:hAnsi="Calibri Light" w:cs="Calibri Light"/>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954,54</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1 155,00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 xml:space="preserve">Nádoba 120 </w:t>
            </w:r>
            <w:proofErr w:type="spellStart"/>
            <w:r w:rsidRPr="00FC453F">
              <w:rPr>
                <w:rFonts w:ascii="Calibri Light" w:eastAsia="Times New Roman" w:hAnsi="Calibri Light" w:cs="Calibri Light"/>
                <w:sz w:val="20"/>
                <w:szCs w:val="20"/>
                <w:lang w:eastAsia="cs-CZ"/>
              </w:rPr>
              <w:t>litrůplast</w:t>
            </w:r>
            <w:proofErr w:type="spellEnd"/>
            <w:r w:rsidRPr="00FC453F">
              <w:rPr>
                <w:rFonts w:ascii="Calibri Light" w:eastAsia="Times New Roman" w:hAnsi="Calibri Light" w:cs="Calibri Light"/>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616,52</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746,00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249,58</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302,00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901,65</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1 091,00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363,63</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440,00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2 644,62</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3 200,00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2 173,55</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2 630,00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1 603,30</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1 940,00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5 107,43</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6 180,00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4 206,61</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5 090,00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3 132,23</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3 790,00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64,46</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78,00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224,79</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272,00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 xml:space="preserve">Separace - kontejner </w:t>
            </w:r>
            <w:proofErr w:type="gramStart"/>
            <w:r w:rsidRPr="00FC453F">
              <w:rPr>
                <w:rFonts w:ascii="Calibri Light" w:eastAsia="Times New Roman" w:hAnsi="Calibri Light" w:cs="Calibri Light"/>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285,12</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345,00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330,57</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400,00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 xml:space="preserve">Separace - plast. </w:t>
            </w:r>
            <w:proofErr w:type="gramStart"/>
            <w:r w:rsidRPr="00FC453F">
              <w:rPr>
                <w:rFonts w:ascii="Calibri Light" w:eastAsia="Times New Roman" w:hAnsi="Calibri Light" w:cs="Calibri Light"/>
                <w:sz w:val="20"/>
                <w:szCs w:val="20"/>
                <w:lang w:eastAsia="cs-CZ"/>
              </w:rPr>
              <w:t>nádoba</w:t>
            </w:r>
            <w:proofErr w:type="gramEnd"/>
            <w:r w:rsidRPr="00FC453F">
              <w:rPr>
                <w:rFonts w:ascii="Calibri Light" w:eastAsia="Times New Roman" w:hAnsi="Calibri Light" w:cs="Calibri Light"/>
                <w:sz w:val="20"/>
                <w:szCs w:val="20"/>
                <w:lang w:eastAsia="cs-CZ"/>
              </w:rPr>
              <w:t xml:space="preserve"> 120 l papír, </w:t>
            </w:r>
            <w:proofErr w:type="spellStart"/>
            <w:r w:rsidRPr="00FC453F">
              <w:rPr>
                <w:rFonts w:ascii="Calibri Light" w:eastAsia="Times New Roman" w:hAnsi="Calibri Light" w:cs="Calibri Light"/>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78,51</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95,00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 xml:space="preserve">Separace - plast. </w:t>
            </w:r>
            <w:proofErr w:type="gramStart"/>
            <w:r w:rsidRPr="00FC453F">
              <w:rPr>
                <w:rFonts w:ascii="Calibri Light" w:eastAsia="Times New Roman" w:hAnsi="Calibri Light" w:cs="Calibri Light"/>
                <w:sz w:val="20"/>
                <w:szCs w:val="20"/>
                <w:lang w:eastAsia="cs-CZ"/>
              </w:rPr>
              <w:t>nádoba</w:t>
            </w:r>
            <w:proofErr w:type="gramEnd"/>
            <w:r w:rsidRPr="00FC453F">
              <w:rPr>
                <w:rFonts w:ascii="Calibri Light" w:eastAsia="Times New Roman" w:hAnsi="Calibri Light" w:cs="Calibri Light"/>
                <w:sz w:val="20"/>
                <w:szCs w:val="20"/>
                <w:lang w:eastAsia="cs-CZ"/>
              </w:rPr>
              <w:t xml:space="preserve"> 240 l papír, </w:t>
            </w:r>
            <w:proofErr w:type="spellStart"/>
            <w:r w:rsidRPr="00FC453F">
              <w:rPr>
                <w:rFonts w:ascii="Calibri Light" w:eastAsia="Times New Roman" w:hAnsi="Calibri Light" w:cs="Calibri Light"/>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ks</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103,30</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125,00</w:t>
            </w:r>
          </w:p>
        </w:tc>
      </w:tr>
      <w:tr w:rsidR="00FC453F" w:rsidRPr="00FC453F" w:rsidTr="00FC453F">
        <w:trPr>
          <w:trHeight w:val="33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mbria" w:eastAsia="Times New Roman" w:hAnsi="Cambria" w:cs="Calibri"/>
                <w:i/>
                <w:iCs/>
                <w:sz w:val="20"/>
                <w:szCs w:val="20"/>
                <w:lang w:eastAsia="cs-CZ"/>
              </w:rPr>
            </w:pPr>
            <w:r w:rsidRPr="00FC453F">
              <w:rPr>
                <w:rFonts w:ascii="Cambria" w:eastAsia="Times New Roman" w:hAnsi="Cambria" w:cs="Calibri"/>
                <w:i/>
                <w:iCs/>
                <w:sz w:val="20"/>
                <w:szCs w:val="20"/>
                <w:lang w:eastAsia="cs-CZ"/>
              </w:rPr>
              <w:lastRenderedPageBreak/>
              <w:t>DPH u obcí se stanovuje s vazbou na platnou legislativu.</w:t>
            </w: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mbria" w:eastAsia="Times New Roman" w:hAnsi="Cambria" w:cs="Calibri"/>
                <w:i/>
                <w:iCs/>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jc w:val="center"/>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15"/>
        </w:trPr>
        <w:tc>
          <w:tcPr>
            <w:tcW w:w="9863"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lang w:eastAsia="cs-CZ"/>
              </w:rPr>
            </w:pPr>
            <w:proofErr w:type="gramStart"/>
            <w:r w:rsidRPr="00FC453F">
              <w:rPr>
                <w:rFonts w:ascii="Cambria" w:eastAsia="Times New Roman" w:hAnsi="Cambria" w:cs="Calibri"/>
                <w:b/>
                <w:bCs/>
                <w:lang w:eastAsia="cs-CZ"/>
              </w:rPr>
              <w:t>Provoz :                           Svoz</w:t>
            </w:r>
            <w:proofErr w:type="gramEnd"/>
            <w:r w:rsidRPr="00FC453F">
              <w:rPr>
                <w:rFonts w:ascii="Cambria" w:eastAsia="Times New Roman" w:hAnsi="Cambria" w:cs="Calibri"/>
                <w:b/>
                <w:bCs/>
                <w:lang w:eastAsia="cs-CZ"/>
              </w:rPr>
              <w:t xml:space="preserve"> komunálního odpadu - Textilní - Zapojení do systému města</w:t>
            </w:r>
          </w:p>
        </w:tc>
      </w:tr>
      <w:tr w:rsidR="00FC453F" w:rsidRPr="00FC453F" w:rsidTr="00FC453F">
        <w:trPr>
          <w:trHeight w:val="315"/>
        </w:trPr>
        <w:tc>
          <w:tcPr>
            <w:tcW w:w="4962" w:type="dxa"/>
            <w:tcBorders>
              <w:top w:val="nil"/>
              <w:left w:val="single" w:sz="8" w:space="0" w:color="auto"/>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 xml:space="preserve">Položka </w:t>
            </w:r>
            <w:proofErr w:type="gramStart"/>
            <w:r w:rsidRPr="00FC453F">
              <w:rPr>
                <w:rFonts w:ascii="Cambria" w:eastAsia="Times New Roman" w:hAnsi="Cambria" w:cs="Calibri"/>
                <w:b/>
                <w:bCs/>
                <w:i/>
                <w:iCs/>
                <w:sz w:val="20"/>
                <w:szCs w:val="20"/>
                <w:lang w:eastAsia="cs-CZ"/>
              </w:rPr>
              <w:t>ceníku ( právnické</w:t>
            </w:r>
            <w:proofErr w:type="gramEnd"/>
            <w:r w:rsidRPr="00FC453F">
              <w:rPr>
                <w:rFonts w:ascii="Cambria" w:eastAsia="Times New Roman" w:hAnsi="Cambria" w:cs="Calibri"/>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jednotka</w:t>
            </w:r>
          </w:p>
        </w:tc>
        <w:tc>
          <w:tcPr>
            <w:tcW w:w="976"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sazba DPH</w:t>
            </w:r>
          </w:p>
        </w:tc>
        <w:tc>
          <w:tcPr>
            <w:tcW w:w="1274" w:type="dxa"/>
            <w:tcBorders>
              <w:top w:val="nil"/>
              <w:left w:val="nil"/>
              <w:bottom w:val="single" w:sz="8" w:space="0" w:color="auto"/>
              <w:right w:val="single" w:sz="4"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Cena bez DPH</w:t>
            </w:r>
          </w:p>
        </w:tc>
        <w:tc>
          <w:tcPr>
            <w:tcW w:w="1718" w:type="dxa"/>
            <w:tcBorders>
              <w:top w:val="nil"/>
              <w:left w:val="nil"/>
              <w:bottom w:val="nil"/>
              <w:right w:val="single" w:sz="8" w:space="0" w:color="auto"/>
            </w:tcBorders>
            <w:shd w:val="clear" w:color="000000" w:fill="C0C0C0"/>
            <w:noWrap/>
            <w:vAlign w:val="bottom"/>
            <w:hideMark/>
          </w:tcPr>
          <w:p w:rsidR="00FC453F" w:rsidRPr="00FC453F" w:rsidRDefault="00FC453F" w:rsidP="00FC453F">
            <w:pPr>
              <w:spacing w:after="0" w:line="240" w:lineRule="auto"/>
              <w:jc w:val="center"/>
              <w:rPr>
                <w:rFonts w:ascii="Cambria" w:eastAsia="Times New Roman" w:hAnsi="Cambria" w:cs="Calibri"/>
                <w:b/>
                <w:bCs/>
                <w:i/>
                <w:iCs/>
                <w:sz w:val="20"/>
                <w:szCs w:val="20"/>
                <w:lang w:eastAsia="cs-CZ"/>
              </w:rPr>
            </w:pPr>
            <w:r w:rsidRPr="00FC453F">
              <w:rPr>
                <w:rFonts w:ascii="Cambria" w:eastAsia="Times New Roman" w:hAnsi="Cambria" w:cs="Calibri"/>
                <w:b/>
                <w:bCs/>
                <w:i/>
                <w:iCs/>
                <w:sz w:val="20"/>
                <w:szCs w:val="20"/>
                <w:lang w:eastAsia="cs-CZ"/>
              </w:rPr>
              <w:t>Cena včetně DPH</w:t>
            </w:r>
          </w:p>
        </w:tc>
      </w:tr>
      <w:tr w:rsidR="00FC453F" w:rsidRPr="00FC453F" w:rsidTr="00FC453F">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Kategorie I. (objem odpadu za kvartál papír 10kg, plast 5kg, sklo 5kg)</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kg</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378,51</w:t>
            </w:r>
          </w:p>
        </w:tc>
        <w:tc>
          <w:tcPr>
            <w:tcW w:w="1718" w:type="dxa"/>
            <w:tcBorders>
              <w:top w:val="single" w:sz="4" w:space="0" w:color="auto"/>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458,00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kg</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603,30</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730,00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kg</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1 165,28</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1 410,00</w:t>
            </w:r>
          </w:p>
        </w:tc>
      </w:tr>
      <w:tr w:rsidR="00FC453F" w:rsidRPr="00FC453F" w:rsidTr="00FC453F">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Kategorie IV. (</w:t>
            </w:r>
            <w:proofErr w:type="gramStart"/>
            <w:r w:rsidRPr="00FC453F">
              <w:rPr>
                <w:rFonts w:ascii="Calibri Light" w:eastAsia="Times New Roman" w:hAnsi="Calibri Light" w:cs="Calibri Light"/>
                <w:sz w:val="20"/>
                <w:szCs w:val="20"/>
                <w:lang w:eastAsia="cs-CZ"/>
              </w:rPr>
              <w:t>objem  za</w:t>
            </w:r>
            <w:proofErr w:type="gramEnd"/>
            <w:r w:rsidRPr="00FC453F">
              <w:rPr>
                <w:rFonts w:ascii="Calibri Light" w:eastAsia="Times New Roman" w:hAnsi="Calibri Light" w:cs="Calibri Light"/>
                <w:sz w:val="20"/>
                <w:szCs w:val="20"/>
                <w:lang w:eastAsia="cs-CZ"/>
              </w:rPr>
              <w:t xml:space="preserve"> kvartál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center"/>
              <w:rPr>
                <w:rFonts w:ascii="Calibri Light" w:eastAsia="Times New Roman" w:hAnsi="Calibri Light" w:cs="Calibri Light"/>
                <w:sz w:val="20"/>
                <w:szCs w:val="20"/>
                <w:lang w:eastAsia="cs-CZ"/>
              </w:rPr>
            </w:pPr>
            <w:r w:rsidRPr="00FC453F">
              <w:rPr>
                <w:rFonts w:ascii="Calibri Light" w:eastAsia="Times New Roman" w:hAnsi="Calibri Light" w:cs="Calibri Light"/>
                <w:sz w:val="20"/>
                <w:szCs w:val="20"/>
                <w:lang w:eastAsia="cs-CZ"/>
              </w:rPr>
              <w:t>kg</w:t>
            </w:r>
          </w:p>
        </w:tc>
        <w:tc>
          <w:tcPr>
            <w:tcW w:w="976"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sz w:val="24"/>
                <w:szCs w:val="24"/>
                <w:lang w:eastAsia="cs-CZ"/>
              </w:rPr>
            </w:pPr>
            <w:r w:rsidRPr="00FC453F">
              <w:rPr>
                <w:rFonts w:ascii="Calibri Light" w:eastAsia="Times New Roman" w:hAnsi="Calibri Light" w:cs="Calibri Light"/>
                <w:sz w:val="24"/>
                <w:szCs w:val="24"/>
                <w:lang w:eastAsia="cs-CZ"/>
              </w:rPr>
              <w:t>21%</w:t>
            </w:r>
          </w:p>
        </w:tc>
        <w:tc>
          <w:tcPr>
            <w:tcW w:w="1274"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i/>
                <w:iCs/>
                <w:color w:val="FF0000"/>
                <w:sz w:val="24"/>
                <w:szCs w:val="24"/>
                <w:lang w:eastAsia="cs-CZ"/>
              </w:rPr>
            </w:pPr>
            <w:r w:rsidRPr="00FC453F">
              <w:rPr>
                <w:rFonts w:ascii="Calibri Light" w:eastAsia="Times New Roman" w:hAnsi="Calibri Light" w:cs="Calibri Light"/>
                <w:i/>
                <w:iCs/>
                <w:color w:val="FF0000"/>
                <w:sz w:val="24"/>
                <w:szCs w:val="24"/>
                <w:lang w:eastAsia="cs-CZ"/>
              </w:rPr>
              <w:t>499,17</w:t>
            </w:r>
          </w:p>
        </w:tc>
        <w:tc>
          <w:tcPr>
            <w:tcW w:w="1718" w:type="dxa"/>
            <w:tcBorders>
              <w:top w:val="nil"/>
              <w:left w:val="nil"/>
              <w:bottom w:val="single" w:sz="4" w:space="0" w:color="auto"/>
              <w:right w:val="single" w:sz="4" w:space="0" w:color="auto"/>
            </w:tcBorders>
            <w:shd w:val="clear" w:color="auto" w:fill="auto"/>
            <w:noWrap/>
            <w:vAlign w:val="bottom"/>
            <w:hideMark/>
          </w:tcPr>
          <w:p w:rsidR="00FC453F" w:rsidRPr="00FC453F" w:rsidRDefault="00FC453F" w:rsidP="00FC453F">
            <w:pPr>
              <w:spacing w:after="0" w:line="240" w:lineRule="auto"/>
              <w:jc w:val="right"/>
              <w:rPr>
                <w:rFonts w:ascii="Calibri Light" w:eastAsia="Times New Roman" w:hAnsi="Calibri Light" w:cs="Calibri Light"/>
                <w:b/>
                <w:bCs/>
                <w:i/>
                <w:iCs/>
                <w:color w:val="FF0000"/>
                <w:sz w:val="24"/>
                <w:szCs w:val="24"/>
                <w:lang w:eastAsia="cs-CZ"/>
              </w:rPr>
            </w:pPr>
            <w:r w:rsidRPr="00FC453F">
              <w:rPr>
                <w:rFonts w:ascii="Calibri Light" w:eastAsia="Times New Roman" w:hAnsi="Calibri Light" w:cs="Calibri Light"/>
                <w:b/>
                <w:bCs/>
                <w:i/>
                <w:iCs/>
                <w:color w:val="FF0000"/>
                <w:sz w:val="24"/>
                <w:szCs w:val="24"/>
                <w:lang w:eastAsia="cs-CZ"/>
              </w:rPr>
              <w:t>604,00</w:t>
            </w:r>
          </w:p>
        </w:tc>
      </w:tr>
      <w:tr w:rsidR="00FC453F" w:rsidRPr="00FC453F" w:rsidTr="00FC453F">
        <w:trPr>
          <w:trHeight w:val="300"/>
        </w:trPr>
        <w:tc>
          <w:tcPr>
            <w:tcW w:w="9863" w:type="dxa"/>
            <w:gridSpan w:val="5"/>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mbria" w:eastAsia="Times New Roman" w:hAnsi="Cambria" w:cs="Calibri"/>
                <w:i/>
                <w:iCs/>
                <w:sz w:val="20"/>
                <w:szCs w:val="20"/>
                <w:lang w:eastAsia="cs-CZ"/>
              </w:rPr>
            </w:pPr>
            <w:r w:rsidRPr="00FC453F">
              <w:rPr>
                <w:rFonts w:ascii="Cambria" w:eastAsia="Times New Roman" w:hAnsi="Cambria" w:cs="Calibri"/>
                <w:i/>
                <w:iCs/>
                <w:sz w:val="20"/>
                <w:szCs w:val="20"/>
                <w:lang w:eastAsia="cs-CZ"/>
              </w:rPr>
              <w:t xml:space="preserve">*Pozn. Kategorie IV. pouze za předpokladu, že vytříděný papír je zpracováván přímo ve sběrném dvoře v </w:t>
            </w:r>
            <w:proofErr w:type="spellStart"/>
            <w:r w:rsidRPr="00FC453F">
              <w:rPr>
                <w:rFonts w:ascii="Cambria" w:eastAsia="Times New Roman" w:hAnsi="Cambria" w:cs="Calibri"/>
                <w:i/>
                <w:iCs/>
                <w:sz w:val="20"/>
                <w:szCs w:val="20"/>
                <w:lang w:eastAsia="cs-CZ"/>
              </w:rPr>
              <w:t>Konecchlumské</w:t>
            </w:r>
            <w:proofErr w:type="spellEnd"/>
            <w:r w:rsidRPr="00FC453F">
              <w:rPr>
                <w:rFonts w:ascii="Cambria" w:eastAsia="Times New Roman" w:hAnsi="Cambria" w:cs="Calibri"/>
                <w:i/>
                <w:iCs/>
                <w:sz w:val="20"/>
                <w:szCs w:val="20"/>
                <w:lang w:eastAsia="cs-CZ"/>
              </w:rPr>
              <w:t xml:space="preserve"> ulici </w:t>
            </w: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mbria" w:eastAsia="Times New Roman" w:hAnsi="Cambria" w:cs="Calibri"/>
                <w:i/>
                <w:iCs/>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sz w:val="20"/>
                <w:szCs w:val="20"/>
                <w:lang w:eastAsia="cs-CZ"/>
              </w:rPr>
            </w:pPr>
            <w:r w:rsidRPr="00FC453F">
              <w:rPr>
                <w:rFonts w:ascii="Calibri" w:eastAsia="Times New Roman" w:hAnsi="Calibri" w:cs="Calibri"/>
                <w:color w:val="000000"/>
                <w:sz w:val="20"/>
                <w:szCs w:val="20"/>
                <w:lang w:eastAsia="cs-CZ"/>
              </w:rPr>
              <w:t xml:space="preserve">V Jičíně, dne </w:t>
            </w:r>
            <w:proofErr w:type="gramStart"/>
            <w:r w:rsidRPr="00FC453F">
              <w:rPr>
                <w:rFonts w:ascii="Calibri" w:eastAsia="Times New Roman" w:hAnsi="Calibri" w:cs="Calibri"/>
                <w:color w:val="000000"/>
                <w:sz w:val="20"/>
                <w:szCs w:val="20"/>
                <w:lang w:eastAsia="cs-CZ"/>
              </w:rPr>
              <w:t>31.5.2022</w:t>
            </w:r>
            <w:proofErr w:type="gramEnd"/>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Calibri" w:eastAsia="Times New Roman" w:hAnsi="Calibri" w:cs="Calibri"/>
                <w:color w:val="000000"/>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tr w:rsidR="00FC453F" w:rsidRPr="00FC453F" w:rsidTr="00FC453F">
        <w:trPr>
          <w:trHeight w:val="300"/>
        </w:trPr>
        <w:tc>
          <w:tcPr>
            <w:tcW w:w="4962"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274"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c>
          <w:tcPr>
            <w:tcW w:w="1718" w:type="dxa"/>
            <w:tcBorders>
              <w:top w:val="nil"/>
              <w:left w:val="nil"/>
              <w:bottom w:val="nil"/>
              <w:right w:val="nil"/>
            </w:tcBorders>
            <w:shd w:val="clear" w:color="auto" w:fill="auto"/>
            <w:noWrap/>
            <w:vAlign w:val="bottom"/>
            <w:hideMark/>
          </w:tcPr>
          <w:p w:rsidR="00FC453F" w:rsidRPr="00FC453F" w:rsidRDefault="00FC453F" w:rsidP="00FC453F">
            <w:pPr>
              <w:spacing w:after="0" w:line="240" w:lineRule="auto"/>
              <w:rPr>
                <w:rFonts w:ascii="Times New Roman" w:eastAsia="Times New Roman" w:hAnsi="Times New Roman" w:cs="Times New Roman"/>
                <w:sz w:val="20"/>
                <w:szCs w:val="20"/>
                <w:lang w:eastAsia="cs-CZ"/>
              </w:rPr>
            </w:pPr>
          </w:p>
        </w:tc>
      </w:tr>
      <w:bookmarkEnd w:id="0"/>
    </w:tbl>
    <w:p w:rsidR="00FC453F" w:rsidRDefault="00FC453F" w:rsidP="00FC453F">
      <w:pPr>
        <w:spacing w:after="0" w:line="240" w:lineRule="auto"/>
        <w:ind w:right="567"/>
        <w:jc w:val="both"/>
        <w:rPr>
          <w:rFonts w:ascii="Times New Roman" w:eastAsia="Times New Roman" w:hAnsi="Times New Roman" w:cs="Times New Roman"/>
          <w:sz w:val="24"/>
          <w:szCs w:val="24"/>
          <w:lang w:eastAsia="cs-CZ"/>
        </w:rPr>
      </w:pPr>
    </w:p>
    <w:p w:rsidR="00FC453F" w:rsidRDefault="00FC453F"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FC453F">
      <w:pgSz w:w="11906" w:h="16838"/>
      <w:pgMar w:top="1135"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F0730"/>
    <w:rsid w:val="001F5B3F"/>
    <w:rsid w:val="00234E2F"/>
    <w:rsid w:val="002408AB"/>
    <w:rsid w:val="00285BA9"/>
    <w:rsid w:val="002B4BD8"/>
    <w:rsid w:val="002D5DCE"/>
    <w:rsid w:val="002E5505"/>
    <w:rsid w:val="002F50FE"/>
    <w:rsid w:val="003035C4"/>
    <w:rsid w:val="003139C1"/>
    <w:rsid w:val="00334233"/>
    <w:rsid w:val="00362440"/>
    <w:rsid w:val="00377EA0"/>
    <w:rsid w:val="003B7FDC"/>
    <w:rsid w:val="003C02F2"/>
    <w:rsid w:val="003D4B08"/>
    <w:rsid w:val="003E31DC"/>
    <w:rsid w:val="00403A96"/>
    <w:rsid w:val="00412216"/>
    <w:rsid w:val="0049661F"/>
    <w:rsid w:val="004C0175"/>
    <w:rsid w:val="004D0E85"/>
    <w:rsid w:val="004D41D0"/>
    <w:rsid w:val="004F0E75"/>
    <w:rsid w:val="00557512"/>
    <w:rsid w:val="00564789"/>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86B42"/>
    <w:rsid w:val="00995813"/>
    <w:rsid w:val="0099590A"/>
    <w:rsid w:val="00997280"/>
    <w:rsid w:val="009D090B"/>
    <w:rsid w:val="00A611F4"/>
    <w:rsid w:val="00A91686"/>
    <w:rsid w:val="00B82F50"/>
    <w:rsid w:val="00B94D37"/>
    <w:rsid w:val="00B9768B"/>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06AE9"/>
    <w:rsid w:val="00E849C9"/>
    <w:rsid w:val="00E852CB"/>
    <w:rsid w:val="00F34D19"/>
    <w:rsid w:val="00F7382D"/>
    <w:rsid w:val="00FC4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49661F"/>
    <w:pPr>
      <w:spacing w:after="0" w:line="240" w:lineRule="auto"/>
    </w:pPr>
  </w:style>
  <w:style w:type="paragraph" w:styleId="Normlnweb">
    <w:name w:val="Normal (Web)"/>
    <w:basedOn w:val="Normln"/>
    <w:uiPriority w:val="99"/>
    <w:semiHidden/>
    <w:unhideWhenUsed/>
    <w:rsid w:val="00FC453F"/>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sj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mfcr.cz/ares/ares_es_form.html.cz" TargetMode="External"/><Relationship Id="rId5" Type="http://schemas.openxmlformats.org/officeDocument/2006/relationships/hyperlink" Target="http://www.mujicin.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1904</Words>
  <Characters>11235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11</cp:revision>
  <cp:lastPrinted>2022-11-30T13:29:00Z</cp:lastPrinted>
  <dcterms:created xsi:type="dcterms:W3CDTF">2022-09-01T08:16:00Z</dcterms:created>
  <dcterms:modified xsi:type="dcterms:W3CDTF">2022-11-30T13:29:00Z</dcterms:modified>
</cp:coreProperties>
</file>