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95" w:right="104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1210900001</w:t>
      </w:r>
    </w:p>
    <w:p>
      <w:pPr>
        <w:spacing w:line="425" w:lineRule="exact" w:before="2"/>
        <w:ind w:left="1295" w:right="10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295" w:right="10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382" w:right="806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2"/>
        </w:rPr>
        <w:t> </w:t>
      </w:r>
      <w:r>
        <w:rPr/>
        <w:t>Kostelec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928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Kostelec,</w:t>
      </w:r>
      <w:r>
        <w:rPr>
          <w:spacing w:val="-3"/>
        </w:rPr>
        <w:t> </w:t>
      </w:r>
      <w:r>
        <w:rPr/>
        <w:t>Kostelec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34,</w:t>
      </w:r>
      <w:r>
        <w:rPr>
          <w:spacing w:val="-4"/>
        </w:rPr>
        <w:t> </w:t>
      </w:r>
      <w:r>
        <w:rPr/>
        <w:t>349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Stříbro</w:t>
      </w:r>
      <w:r>
        <w:rPr>
          <w:spacing w:val="-52"/>
        </w:rPr>
        <w:t> </w:t>
      </w:r>
      <w:r>
        <w:rPr/>
        <w:t>IČO:</w:t>
        <w:tab/>
        <w:t>00479292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/>
        <w:t>zastoupená:</w:t>
        <w:tab/>
        <w:t>Františkem</w:t>
      </w:r>
      <w:r>
        <w:rPr>
          <w:spacing w:val="-1"/>
        </w:rPr>
        <w:t> </w:t>
      </w:r>
      <w:r>
        <w:rPr/>
        <w:t>T r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í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 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94-2817401/0710</w:t>
      </w:r>
    </w:p>
    <w:p>
      <w:pPr>
        <w:pStyle w:val="BodyText"/>
        <w:ind w:left="38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1"/>
        <w:jc w:val="both"/>
      </w:pPr>
      <w:r>
        <w:rPr/>
        <w:t>„Smlouva“) se uzavírá na základě Rozhodnutí ministra životního prostředí č. 1210900001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13. 4. 2022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</w:t>
      </w:r>
      <w:r>
        <w:rPr>
          <w:spacing w:val="1"/>
        </w:rPr>
        <w:t> </w:t>
      </w:r>
      <w:r>
        <w:rPr/>
        <w:t>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1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9/2021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537"/>
        <w:jc w:val="left"/>
      </w:pPr>
      <w:r>
        <w:rPr/>
        <w:t>„Zkapacitnění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regenerace</w:t>
      </w:r>
      <w:r>
        <w:rPr>
          <w:spacing w:val="-2"/>
        </w:rPr>
        <w:t> </w:t>
      </w:r>
      <w:r>
        <w:rPr/>
        <w:t>zdroje</w:t>
      </w:r>
      <w:r>
        <w:rPr>
          <w:spacing w:val="-4"/>
        </w:rPr>
        <w:t> </w:t>
      </w:r>
      <w:r>
        <w:rPr/>
        <w:t>pitné</w:t>
      </w:r>
      <w:r>
        <w:rPr>
          <w:spacing w:val="-3"/>
        </w:rPr>
        <w:t> </w:t>
      </w:r>
      <w:r>
        <w:rPr/>
        <w:t>vody</w:t>
      </w:r>
      <w:r>
        <w:rPr>
          <w:spacing w:val="2"/>
        </w:rPr>
        <w:t> </w:t>
      </w:r>
      <w:r>
        <w:rPr/>
        <w:t>- Lšelín“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5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2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 poskytnout</w:t>
      </w:r>
      <w:r>
        <w:rPr>
          <w:spacing w:val="2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658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491,10 Kč</w:t>
      </w:r>
      <w:r>
        <w:rPr>
          <w:b/>
          <w:spacing w:val="3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jeden</w:t>
      </w:r>
      <w:r>
        <w:rPr>
          <w:spacing w:val="-2"/>
          <w:sz w:val="20"/>
        </w:rPr>
        <w:t> </w:t>
      </w:r>
      <w:r>
        <w:rPr>
          <w:sz w:val="20"/>
        </w:rPr>
        <w:t>milión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osm</w:t>
      </w:r>
      <w:r>
        <w:rPr>
          <w:spacing w:val="3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3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jedna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 deset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369</w:t>
      </w:r>
      <w:r>
        <w:rPr>
          <w:spacing w:val="1"/>
          <w:sz w:val="20"/>
        </w:rPr>
        <w:t> </w:t>
      </w:r>
      <w:r>
        <w:rPr>
          <w:sz w:val="20"/>
        </w:rPr>
        <w:t>273,00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> </w:t>
      </w:r>
      <w:r>
        <w:rPr>
          <w:sz w:val="20"/>
        </w:rPr>
        <w:t>Smlouvě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neuzavírá,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nedojde současně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> </w:t>
      </w:r>
      <w:r>
        <w:rPr>
          <w:sz w:val="20"/>
        </w:rPr>
        <w:t>přípravu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-2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uhrazené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7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8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</w:t>
      </w:r>
    </w:p>
    <w:p>
      <w:pPr>
        <w:pStyle w:val="BodyTex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1"/>
      </w:pPr>
      <w:r>
        <w:rPr/>
        <w:t>III.</w:t>
      </w:r>
    </w:p>
    <w:p>
      <w:pPr>
        <w:pStyle w:val="Heading2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6"/>
          <w:sz w:val="20"/>
        </w:rPr>
        <w:t> </w:t>
      </w:r>
      <w:r>
        <w:rPr>
          <w:sz w:val="20"/>
        </w:rPr>
        <w:t>bankovním</w:t>
      </w:r>
      <w:r>
        <w:rPr>
          <w:spacing w:val="26"/>
          <w:sz w:val="20"/>
        </w:rPr>
        <w:t> </w:t>
      </w:r>
      <w:r>
        <w:rPr>
          <w:sz w:val="20"/>
        </w:rPr>
        <w:t>převodem</w:t>
      </w:r>
      <w:r>
        <w:rPr>
          <w:spacing w:val="27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bankovního</w:t>
      </w:r>
      <w:r>
        <w:rPr>
          <w:spacing w:val="25"/>
          <w:sz w:val="20"/>
        </w:rPr>
        <w:t> </w:t>
      </w:r>
      <w:r>
        <w:rPr>
          <w:sz w:val="20"/>
        </w:rPr>
        <w:t>účtu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poskytne</w:t>
      </w:r>
      <w:r>
        <w:rPr>
          <w:spacing w:val="2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2"/>
          <w:sz w:val="20"/>
        </w:rPr>
        <w:t> </w:t>
      </w:r>
      <w:r>
        <w:rPr>
          <w:sz w:val="20"/>
        </w:rPr>
        <w:t>postupem</w:t>
      </w:r>
      <w:r>
        <w:rPr>
          <w:spacing w:val="2"/>
          <w:sz w:val="20"/>
        </w:rPr>
        <w:t> </w:t>
      </w:r>
      <w:r>
        <w:rPr>
          <w:sz w:val="20"/>
        </w:rPr>
        <w:t>stanoveným</w:t>
      </w:r>
      <w:r>
        <w:rPr>
          <w:spacing w:val="4"/>
          <w:sz w:val="20"/>
        </w:rPr>
        <w:t> </w:t>
      </w:r>
      <w:r>
        <w:rPr>
          <w:sz w:val="20"/>
        </w:rPr>
        <w:t>touto</w:t>
      </w:r>
      <w:r>
        <w:rPr>
          <w:spacing w:val="3"/>
          <w:sz w:val="20"/>
        </w:rPr>
        <w:t> </w:t>
      </w:r>
      <w:r>
        <w:rPr>
          <w:sz w:val="20"/>
        </w:rPr>
        <w:t>Smlouvou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2"/>
          <w:sz w:val="20"/>
        </w:rPr>
        <w:t> </w:t>
      </w:r>
      <w:r>
        <w:rPr>
          <w:sz w:val="20"/>
        </w:rPr>
        <w:t>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2"/>
          <w:sz w:val="20"/>
        </w:rPr>
        <w:t> </w:t>
      </w:r>
      <w:r>
        <w:rPr>
          <w:sz w:val="20"/>
        </w:rPr>
        <w:t>poměr</w:t>
      </w:r>
    </w:p>
    <w:p>
      <w:pPr>
        <w:pStyle w:val="BodyText"/>
      </w:pPr>
      <w:r>
        <w:rPr/>
        <w:t>podpory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1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658 491,10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4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prostřednictvím 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obsahovat doklady</w:t>
      </w:r>
      <w:r>
        <w:rPr>
          <w:spacing w:val="-3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> </w:t>
      </w:r>
      <w:r>
        <w:rPr>
          <w:sz w:val="20"/>
        </w:rPr>
        <w:t>mohou</w:t>
      </w:r>
      <w:r>
        <w:rPr>
          <w:spacing w:val="87"/>
          <w:sz w:val="20"/>
        </w:rPr>
        <w:t> </w:t>
      </w:r>
      <w:r>
        <w:rPr>
          <w:sz w:val="20"/>
        </w:rPr>
        <w:t>být</w:t>
      </w:r>
      <w:r>
        <w:rPr>
          <w:spacing w:val="91"/>
          <w:sz w:val="20"/>
        </w:rPr>
        <w:t> </w:t>
      </w:r>
      <w:r>
        <w:rPr>
          <w:sz w:val="20"/>
        </w:rPr>
        <w:t>předloženy</w:t>
      </w:r>
      <w:r>
        <w:rPr>
          <w:spacing w:val="89"/>
          <w:sz w:val="20"/>
        </w:rPr>
        <w:t> </w:t>
      </w:r>
      <w:r>
        <w:rPr>
          <w:sz w:val="20"/>
        </w:rPr>
        <w:t>faktury</w:t>
      </w:r>
      <w:r>
        <w:rPr>
          <w:spacing w:val="90"/>
          <w:sz w:val="20"/>
        </w:rPr>
        <w:t> </w:t>
      </w:r>
      <w:r>
        <w:rPr>
          <w:sz w:val="20"/>
        </w:rPr>
        <w:t>již</w:t>
      </w:r>
      <w:r>
        <w:rPr>
          <w:spacing w:val="91"/>
          <w:sz w:val="20"/>
        </w:rPr>
        <w:t> </w:t>
      </w:r>
      <w:r>
        <w:rPr>
          <w:sz w:val="20"/>
        </w:rPr>
        <w:t>uhrazené,</w:t>
      </w:r>
      <w:r>
        <w:rPr>
          <w:spacing w:val="90"/>
          <w:sz w:val="20"/>
        </w:rPr>
        <w:t> </w:t>
      </w:r>
      <w:r>
        <w:rPr>
          <w:sz w:val="20"/>
        </w:rPr>
        <w:t>částečně</w:t>
      </w:r>
      <w:r>
        <w:rPr>
          <w:spacing w:val="90"/>
          <w:sz w:val="20"/>
        </w:rPr>
        <w:t> </w:t>
      </w:r>
      <w:r>
        <w:rPr>
          <w:sz w:val="20"/>
        </w:rPr>
        <w:t>uhrazené</w:t>
      </w:r>
      <w:r>
        <w:rPr>
          <w:spacing w:val="90"/>
          <w:sz w:val="20"/>
        </w:rPr>
        <w:t> </w:t>
      </w:r>
      <w:r>
        <w:rPr>
          <w:sz w:val="20"/>
        </w:rPr>
        <w:t>či</w:t>
      </w:r>
      <w:r>
        <w:rPr>
          <w:spacing w:val="92"/>
          <w:sz w:val="20"/>
        </w:rPr>
        <w:t> </w:t>
      </w:r>
      <w:r>
        <w:rPr>
          <w:sz w:val="20"/>
        </w:rPr>
        <w:t>neuhrazené</w:t>
      </w:r>
      <w:r>
        <w:rPr>
          <w:spacing w:val="90"/>
          <w:sz w:val="20"/>
        </w:rPr>
        <w:t> </w:t>
      </w:r>
      <w:r>
        <w:rPr>
          <w:sz w:val="20"/>
        </w:rPr>
        <w:t>faktury;</w:t>
      </w:r>
      <w:r>
        <w:rPr>
          <w:spacing w:val="-53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neuhrazených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prokáže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1"/>
          <w:sz w:val="20"/>
        </w:rPr>
        <w:t> </w:t>
      </w:r>
      <w:r>
        <w:rPr>
          <w:sz w:val="20"/>
        </w:rPr>
        <w:t>doložením</w:t>
      </w:r>
      <w:r>
        <w:rPr>
          <w:spacing w:val="1"/>
          <w:sz w:val="20"/>
        </w:rPr>
        <w:t> </w:t>
      </w:r>
      <w:r>
        <w:rPr>
          <w:sz w:val="20"/>
        </w:rPr>
        <w:t>relevantních</w:t>
      </w:r>
      <w:r>
        <w:rPr>
          <w:spacing w:val="1"/>
          <w:sz w:val="20"/>
        </w:rPr>
        <w:t> </w:t>
      </w:r>
      <w:r>
        <w:rPr>
          <w:sz w:val="20"/>
        </w:rPr>
        <w:t>podkladů</w:t>
      </w:r>
      <w:r>
        <w:rPr>
          <w:spacing w:val="-52"/>
          <w:sz w:val="20"/>
        </w:rPr>
        <w:t> </w:t>
      </w:r>
      <w:r>
        <w:rPr>
          <w:sz w:val="20"/>
        </w:rPr>
        <w:t>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15</w:t>
      </w:r>
      <w:r>
        <w:rPr>
          <w:spacing w:val="-10"/>
          <w:sz w:val="20"/>
        </w:rPr>
        <w:t> </w:t>
      </w:r>
      <w:r>
        <w:rPr>
          <w:sz w:val="20"/>
        </w:rPr>
        <w:t>dnů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uvolnění</w:t>
      </w:r>
      <w:r>
        <w:rPr>
          <w:spacing w:val="-10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Fondem.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10"/>
          <w:sz w:val="20"/>
        </w:rPr>
        <w:t> </w:t>
      </w:r>
      <w:r>
        <w:rPr>
          <w:sz w:val="20"/>
        </w:rPr>
        <w:t>uhrazených</w:t>
      </w:r>
      <w:r>
        <w:rPr>
          <w:spacing w:val="-53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2"/>
          <w:sz w:val="20"/>
        </w:rPr>
        <w:t> </w:t>
      </w:r>
      <w:r>
        <w:rPr>
          <w:sz w:val="20"/>
        </w:rPr>
        <w:t>předcházejícího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fakturace</w:t>
      </w:r>
      <w:r>
        <w:rPr>
          <w:spacing w:val="-3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termínům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5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 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33" w:right="469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36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</w:t>
      </w:r>
      <w:r>
        <w:rPr>
          <w:spacing w:val="1"/>
          <w:sz w:val="20"/>
        </w:rPr>
        <w:t> </w:t>
      </w:r>
      <w:r>
        <w:rPr>
          <w:sz w:val="20"/>
        </w:rPr>
        <w:t>případných</w:t>
      </w:r>
      <w:r>
        <w:rPr>
          <w:spacing w:val="-1"/>
          <w:sz w:val="20"/>
        </w:rPr>
        <w:t> </w:t>
      </w:r>
      <w:r>
        <w:rPr>
          <w:sz w:val="20"/>
        </w:rPr>
        <w:t>změn a doplňků těchto</w:t>
      </w:r>
      <w:r>
        <w:rPr>
          <w:spacing w:val="-1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odsouhlasených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31" w:hanging="284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provedena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předpokládaném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rozsahu,</w:t>
      </w:r>
      <w:r>
        <w:rPr>
          <w:spacing w:val="-12"/>
          <w:sz w:val="20"/>
        </w:rPr>
        <w:t> </w:t>
      </w:r>
      <w:r>
        <w:rPr>
          <w:sz w:val="20"/>
        </w:rPr>
        <w:t>t.j.</w:t>
      </w:r>
      <w:r>
        <w:rPr>
          <w:spacing w:val="-11"/>
          <w:sz w:val="20"/>
        </w:rPr>
        <w:t> </w:t>
      </w:r>
      <w:r>
        <w:rPr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0"/>
          <w:sz w:val="20"/>
        </w:rPr>
        <w:t> </w:t>
      </w:r>
      <w:r>
        <w:rPr>
          <w:sz w:val="20"/>
        </w:rPr>
        <w:t>instalace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objektů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akumulaci</w:t>
      </w:r>
      <w:r>
        <w:rPr>
          <w:spacing w:val="-52"/>
          <w:sz w:val="20"/>
        </w:rPr>
        <w:t> </w:t>
      </w:r>
      <w:r>
        <w:rPr>
          <w:sz w:val="20"/>
        </w:rPr>
        <w:t>vody a 1 objektu k úpravě vody, realizací projektu dojde ke zlepšení kvality a zajištění množství pitné</w:t>
      </w:r>
      <w:r>
        <w:rPr>
          <w:spacing w:val="1"/>
          <w:sz w:val="20"/>
        </w:rPr>
        <w:t> </w:t>
      </w:r>
      <w:r>
        <w:rPr>
          <w:sz w:val="20"/>
        </w:rPr>
        <w:t>vody,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> </w:t>
      </w:r>
      <w:r>
        <w:rPr>
          <w:sz w:val="20"/>
        </w:rPr>
        <w:t>vlastníkem, tak příjemce podpory disponuje prohlášením vlastníka pozemku, ve kterém vlastník vyjádřil</w:t>
      </w:r>
      <w:r>
        <w:rPr>
          <w:spacing w:val="1"/>
          <w:sz w:val="20"/>
        </w:rPr>
        <w:t> </w:t>
      </w:r>
      <w:r>
        <w:rPr>
          <w:sz w:val="20"/>
        </w:rPr>
        <w:t>souhlas s realizací projektu na jeho pozemku a zajištěním udržitelnosti projektu po dobu 10 let od</w:t>
      </w:r>
      <w:r>
        <w:rPr>
          <w:spacing w:val="1"/>
          <w:sz w:val="20"/>
        </w:rPr>
        <w:t> </w:t>
      </w:r>
      <w:r>
        <w:rPr>
          <w:sz w:val="20"/>
        </w:rPr>
        <w:t>dokončení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</w:t>
      </w:r>
      <w:r>
        <w:rPr>
          <w:spacing w:val="4"/>
          <w:sz w:val="20"/>
        </w:rPr>
        <w:t> </w:t>
      </w:r>
      <w:r>
        <w:rPr>
          <w:sz w:val="20"/>
        </w:rPr>
        <w:t>dokončení</w:t>
      </w:r>
      <w:r>
        <w:rPr>
          <w:spacing w:val="2"/>
          <w:sz w:val="20"/>
        </w:rPr>
        <w:t> </w:t>
      </w:r>
      <w:r>
        <w:rPr>
          <w:sz w:val="20"/>
        </w:rPr>
        <w:t>projektu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dodávaná</w:t>
      </w:r>
      <w:r>
        <w:rPr>
          <w:spacing w:val="2"/>
          <w:sz w:val="20"/>
        </w:rPr>
        <w:t> </w:t>
      </w:r>
      <w:r>
        <w:rPr>
          <w:sz w:val="20"/>
        </w:rPr>
        <w:t>pitná</w:t>
      </w:r>
      <w:r>
        <w:rPr>
          <w:spacing w:val="2"/>
          <w:sz w:val="20"/>
        </w:rPr>
        <w:t> </w:t>
      </w:r>
      <w:r>
        <w:rPr>
          <w:sz w:val="20"/>
        </w:rPr>
        <w:t>voda</w:t>
      </w:r>
      <w:r>
        <w:rPr>
          <w:spacing w:val="3"/>
          <w:sz w:val="20"/>
        </w:rPr>
        <w:t> </w:t>
      </w:r>
      <w:r>
        <w:rPr>
          <w:sz w:val="20"/>
        </w:rPr>
        <w:t>splňovat</w:t>
      </w:r>
      <w:r>
        <w:rPr>
          <w:spacing w:val="2"/>
          <w:sz w:val="20"/>
        </w:rPr>
        <w:t> </w:t>
      </w:r>
      <w:r>
        <w:rPr>
          <w:sz w:val="20"/>
        </w:rPr>
        <w:t>hygienické</w:t>
      </w:r>
      <w:r>
        <w:rPr>
          <w:spacing w:val="1"/>
          <w:sz w:val="20"/>
        </w:rPr>
        <w:t> </w:t>
      </w:r>
      <w:r>
        <w:rPr>
          <w:sz w:val="20"/>
        </w:rPr>
        <w:t>požadavky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platnou</w:t>
      </w:r>
    </w:p>
    <w:p>
      <w:pPr>
        <w:pStyle w:val="BodyText"/>
        <w:ind w:left="741"/>
        <w:jc w:val="both"/>
      </w:pPr>
      <w:r>
        <w:rPr/>
        <w:t>legislativou</w:t>
      </w:r>
      <w:r>
        <w:rPr>
          <w:spacing w:val="-4"/>
        </w:rPr>
        <w:t> </w:t>
      </w:r>
      <w:r>
        <w:rPr/>
        <w:t>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1" w:hanging="360"/>
        <w:jc w:val="both"/>
        <w:rPr>
          <w:sz w:val="20"/>
        </w:rPr>
      </w:pPr>
      <w:r>
        <w:rPr>
          <w:sz w:val="20"/>
        </w:rPr>
        <w:t>zabezpečí, že předmět podpory bude plnit svoji funkci po dobu 10 let od dokončení realizace projektu,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dotčených</w:t>
      </w:r>
      <w:r>
        <w:rPr>
          <w:spacing w:val="-1"/>
          <w:sz w:val="20"/>
        </w:rPr>
        <w:t> </w:t>
      </w:r>
      <w:r>
        <w:rPr>
          <w:sz w:val="20"/>
        </w:rPr>
        <w:t>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6"/>
          <w:sz w:val="20"/>
        </w:rPr>
        <w:t> </w:t>
      </w:r>
      <w:r>
        <w:rPr>
          <w:sz w:val="20"/>
        </w:rPr>
        <w:t>akce</w:t>
      </w:r>
      <w:r>
        <w:rPr>
          <w:spacing w:val="47"/>
          <w:sz w:val="20"/>
        </w:rPr>
        <w:t> </w:t>
      </w:r>
      <w:r>
        <w:rPr>
          <w:sz w:val="20"/>
        </w:rPr>
        <w:t>vést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46"/>
          <w:sz w:val="20"/>
        </w:rPr>
        <w:t> </w:t>
      </w:r>
      <w:r>
        <w:rPr>
          <w:sz w:val="20"/>
        </w:rPr>
        <w:t>(zákon</w:t>
      </w:r>
      <w:r>
        <w:rPr>
          <w:spacing w:val="45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563/1991</w:t>
      </w:r>
      <w:r>
        <w:rPr>
          <w:spacing w:val="45"/>
          <w:sz w:val="20"/>
        </w:rPr>
        <w:t> </w:t>
      </w:r>
      <w:r>
        <w:rPr>
          <w:sz w:val="20"/>
        </w:rPr>
        <w:t>Sb.,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platném</w:t>
      </w:r>
      <w:r>
        <w:rPr>
          <w:spacing w:val="46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15"/>
          <w:sz w:val="20"/>
        </w:rPr>
        <w:t> </w:t>
      </w:r>
      <w:r>
        <w:rPr>
          <w:sz w:val="20"/>
        </w:rPr>
        <w:t>daňové</w:t>
      </w:r>
      <w:r>
        <w:rPr>
          <w:spacing w:val="69"/>
          <w:sz w:val="20"/>
        </w:rPr>
        <w:t> </w:t>
      </w:r>
      <w:r>
        <w:rPr>
          <w:sz w:val="20"/>
        </w:rPr>
        <w:t>evidenci</w:t>
      </w:r>
      <w:r>
        <w:rPr>
          <w:spacing w:val="69"/>
          <w:sz w:val="20"/>
        </w:rPr>
        <w:t> </w:t>
      </w:r>
      <w:r>
        <w:rPr>
          <w:sz w:val="20"/>
        </w:rPr>
        <w:t>(zákon</w:t>
      </w:r>
      <w:r>
        <w:rPr>
          <w:spacing w:val="69"/>
          <w:sz w:val="20"/>
        </w:rPr>
        <w:t> </w:t>
      </w:r>
      <w:r>
        <w:rPr>
          <w:sz w:val="20"/>
        </w:rPr>
        <w:t>č.</w:t>
      </w:r>
      <w:r>
        <w:rPr>
          <w:spacing w:val="69"/>
          <w:sz w:val="20"/>
        </w:rPr>
        <w:t> </w:t>
      </w:r>
      <w:r>
        <w:rPr>
          <w:sz w:val="20"/>
        </w:rPr>
        <w:t>586/1992</w:t>
      </w:r>
      <w:r>
        <w:rPr>
          <w:spacing w:val="69"/>
          <w:sz w:val="20"/>
        </w:rPr>
        <w:t> </w:t>
      </w:r>
      <w:r>
        <w:rPr>
          <w:sz w:val="20"/>
        </w:rPr>
        <w:t>Sb.,</w:t>
      </w:r>
      <w:r>
        <w:rPr>
          <w:spacing w:val="69"/>
          <w:sz w:val="20"/>
        </w:rPr>
        <w:t> </w:t>
      </w:r>
      <w:r>
        <w:rPr>
          <w:sz w:val="20"/>
        </w:rPr>
        <w:t>o</w:t>
      </w:r>
      <w:r>
        <w:rPr>
          <w:spacing w:val="67"/>
          <w:sz w:val="20"/>
        </w:rPr>
        <w:t> </w:t>
      </w:r>
      <w:r>
        <w:rPr>
          <w:sz w:val="20"/>
        </w:rPr>
        <w:t>daních</w:t>
      </w:r>
      <w:r>
        <w:rPr>
          <w:spacing w:val="69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příjmů,</w:t>
      </w:r>
      <w:r>
        <w:rPr>
          <w:spacing w:val="69"/>
          <w:sz w:val="20"/>
        </w:rPr>
        <w:t> </w:t>
      </w:r>
      <w:r>
        <w:rPr>
          <w:sz w:val="20"/>
        </w:rPr>
        <w:t>v platném</w:t>
      </w:r>
      <w:r>
        <w:rPr>
          <w:spacing w:val="70"/>
          <w:sz w:val="20"/>
        </w:rPr>
        <w:t> </w:t>
      </w:r>
      <w:r>
        <w:rPr>
          <w:sz w:val="20"/>
        </w:rPr>
        <w:t>znění)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2" w:hanging="360"/>
        <w:jc w:val="both"/>
        <w:rPr>
          <w:sz w:val="20"/>
        </w:rPr>
      </w:pPr>
      <w:r>
        <w:rPr>
          <w:sz w:val="20"/>
        </w:rPr>
        <w:t>termín dokončení akce do konce 10/2022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informovat (za termín ukončení projektu se považuje ukončení stavebních a montážních prací). 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3/2022,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6"/>
          <w:sz w:val="20"/>
        </w:rPr>
        <w:t> </w:t>
      </w:r>
      <w:r>
        <w:rPr>
          <w:sz w:val="20"/>
        </w:rPr>
        <w:t>4/2023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5"/>
          <w:sz w:val="20"/>
        </w:rPr>
        <w:t> </w:t>
      </w:r>
      <w:r>
        <w:rPr>
          <w:sz w:val="20"/>
        </w:rPr>
        <w:t>prostřednictvím</w:t>
      </w:r>
      <w:r>
        <w:rPr>
          <w:spacing w:val="36"/>
          <w:sz w:val="20"/>
        </w:rPr>
        <w:t> </w:t>
      </w:r>
      <w:r>
        <w:rPr>
          <w:sz w:val="20"/>
        </w:rPr>
        <w:t>AIS</w:t>
      </w:r>
      <w:r>
        <w:rPr>
          <w:spacing w:val="34"/>
          <w:sz w:val="20"/>
        </w:rPr>
        <w:t> </w:t>
      </w:r>
      <w:r>
        <w:rPr>
          <w:sz w:val="20"/>
        </w:rPr>
        <w:t>SFŽP</w:t>
      </w:r>
      <w:r>
        <w:rPr>
          <w:spacing w:val="36"/>
          <w:sz w:val="20"/>
        </w:rPr>
        <w:t> </w:t>
      </w:r>
      <w:r>
        <w:rPr>
          <w:sz w:val="20"/>
        </w:rPr>
        <w:t>ČR</w:t>
      </w:r>
      <w:r>
        <w:rPr>
          <w:spacing w:val="35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12 písm.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809" w:right="129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této</w:t>
      </w:r>
      <w:r>
        <w:rPr>
          <w:spacing w:val="17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</w:t>
      </w:r>
      <w:r>
        <w:rPr>
          <w:spacing w:val="2"/>
        </w:rPr>
        <w:t> </w:t>
      </w:r>
      <w:r>
        <w:rPr/>
        <w:t>rovněž</w:t>
      </w:r>
      <w:r>
        <w:rPr>
          <w:spacing w:val="19"/>
        </w:rPr>
        <w:t> </w:t>
      </w:r>
      <w:r>
        <w:rPr/>
        <w:t>v</w:t>
      </w:r>
      <w:r>
        <w:rPr>
          <w:spacing w:val="17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6"/>
        </w:rPr>
        <w:t> </w:t>
      </w:r>
      <w:r>
        <w:rPr/>
        <w:t>příjemce</w:t>
      </w:r>
      <w:r>
        <w:rPr>
          <w:spacing w:val="16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/>
        <w:t>v</w:t>
      </w:r>
      <w:r>
        <w:rPr>
          <w:spacing w:val="4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36" w:top="1060" w:bottom="1620" w:left="1320" w:right="1000"/>
        </w:sectPr>
      </w:pPr>
    </w:p>
    <w:p>
      <w:pPr>
        <w:pStyle w:val="BodyText"/>
        <w:spacing w:before="73"/>
        <w:ind w:left="948"/>
        <w:jc w:val="both"/>
      </w:pPr>
      <w:r>
        <w:rPr/>
        <w:t>za</w:t>
      </w:r>
      <w:r>
        <w:rPr>
          <w:spacing w:val="-4"/>
        </w:rPr>
        <w:t> </w:t>
      </w:r>
      <w:r>
        <w:rPr/>
        <w:t>použití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poskytnutých</w:t>
      </w:r>
      <w:r>
        <w:rPr>
          <w:spacing w:val="-3"/>
        </w:rPr>
        <w:t> </w:t>
      </w:r>
      <w:r>
        <w:rPr/>
        <w:t>Fondem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považuje</w:t>
      </w:r>
      <w:r>
        <w:rPr>
          <w:spacing w:val="-3"/>
        </w:rPr>
        <w:t> </w:t>
      </w:r>
      <w:r>
        <w:rPr/>
        <w:t>příjemcem</w:t>
      </w:r>
      <w:r>
        <w:rPr>
          <w:spacing w:val="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již</w:t>
      </w:r>
      <w:r>
        <w:rPr>
          <w:spacing w:val="-1"/>
        </w:rPr>
        <w:t> </w:t>
      </w:r>
      <w:r>
        <w:rPr/>
        <w:t>provedená</w:t>
      </w:r>
      <w:r>
        <w:rPr>
          <w:spacing w:val="-4"/>
        </w:rPr>
        <w:t> </w:t>
      </w:r>
      <w:r>
        <w:rPr/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stanovená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5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49"/>
      </w:pPr>
      <w:r>
        <w:rPr/>
        <w:t>V.</w:t>
      </w:r>
    </w:p>
    <w:p>
      <w:pPr>
        <w:pStyle w:val="Heading2"/>
        <w:spacing w:before="1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</w:t>
      </w:r>
      <w:r>
        <w:rPr>
          <w:spacing w:val="1"/>
          <w:sz w:val="20"/>
        </w:rPr>
        <w:t> </w:t>
      </w:r>
      <w:r>
        <w:rPr>
          <w:sz w:val="20"/>
        </w:rPr>
        <w:t>nebo třetí odrážkou nebo podle článku IV bodu 2 písm. a), c), d) nebo e) bude postiženo odvodem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1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1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6"/>
          <w:sz w:val="20"/>
        </w:rPr>
        <w:t> </w:t>
      </w:r>
      <w:r>
        <w:rPr>
          <w:sz w:val="20"/>
        </w:rPr>
        <w:t>odrážkou,</w:t>
      </w:r>
      <w:r>
        <w:rPr>
          <w:spacing w:val="-7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BodyText"/>
        <w:spacing w:before="73"/>
        <w:ind w:right="130"/>
        <w:jc w:val="both"/>
      </w:pPr>
      <w:r>
        <w:rPr/>
        <w:t>toto porušení postiženo odvodem ve výši 100 % z poskytnuté podpory. Dojde-li k porušení povinností</w:t>
      </w:r>
      <w:r>
        <w:rPr>
          <w:spacing w:val="1"/>
        </w:rPr>
        <w:t> </w:t>
      </w:r>
      <w:r>
        <w:rPr/>
        <w:t>uvedených v článku IV bodu 1 písm. a) za druhou odrážkou, bude toto porušení postiženo odvodem ve</w:t>
      </w:r>
      <w:r>
        <w:rPr>
          <w:spacing w:val="-52"/>
        </w:rPr>
        <w:t> </w:t>
      </w:r>
      <w:r>
        <w:rPr/>
        <w:t>výši 100 % z poskytnuté podpory, byl – li naplněn účel akce podle citovaného ustanovení na méně než</w:t>
      </w:r>
      <w:r>
        <w:rPr>
          <w:spacing w:val="1"/>
        </w:rPr>
        <w:t> </w:t>
      </w:r>
      <w:r>
        <w:rPr/>
        <w:t>50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7"/>
        </w:rPr>
        <w:t> </w:t>
      </w:r>
      <w:r>
        <w:rPr/>
        <w:t>indikátorů.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případě</w:t>
      </w:r>
      <w:r>
        <w:rPr>
          <w:spacing w:val="-8"/>
        </w:rPr>
        <w:t> </w:t>
      </w:r>
      <w:r>
        <w:rPr/>
        <w:t>plnění</w:t>
      </w:r>
      <w:r>
        <w:rPr>
          <w:spacing w:val="-7"/>
        </w:rPr>
        <w:t> </w:t>
      </w:r>
      <w:r>
        <w:rPr/>
        <w:t>účelu</w:t>
      </w:r>
      <w:r>
        <w:rPr>
          <w:spacing w:val="-7"/>
        </w:rPr>
        <w:t> </w:t>
      </w:r>
      <w:r>
        <w:rPr/>
        <w:t>akce</w:t>
      </w:r>
      <w:r>
        <w:rPr>
          <w:spacing w:val="-8"/>
        </w:rPr>
        <w:t> </w:t>
      </w:r>
      <w:r>
        <w:rPr/>
        <w:t>podle</w:t>
      </w:r>
      <w:r>
        <w:rPr>
          <w:spacing w:val="-8"/>
        </w:rPr>
        <w:t> </w:t>
      </w:r>
      <w:r>
        <w:rPr/>
        <w:t>v</w:t>
      </w:r>
      <w:r>
        <w:rPr>
          <w:spacing w:val="3"/>
        </w:rPr>
        <w:t> </w:t>
      </w:r>
      <w:r>
        <w:rPr/>
        <w:t>předchozí</w:t>
      </w:r>
      <w:r>
        <w:rPr>
          <w:spacing w:val="-8"/>
        </w:rPr>
        <w:t> </w:t>
      </w:r>
      <w:r>
        <w:rPr/>
        <w:t>větě</w:t>
      </w:r>
      <w:r>
        <w:rPr>
          <w:spacing w:val="-8"/>
        </w:rPr>
        <w:t> </w:t>
      </w:r>
      <w:r>
        <w:rPr/>
        <w:t>citovaného</w:t>
      </w:r>
      <w:r>
        <w:rPr>
          <w:spacing w:val="-6"/>
        </w:rPr>
        <w:t> </w:t>
      </w:r>
      <w:r>
        <w:rPr/>
        <w:t>ustanovení</w:t>
      </w:r>
      <w:r>
        <w:rPr>
          <w:spacing w:val="-52"/>
        </w:rPr>
        <w:t> </w:t>
      </w:r>
      <w:r>
        <w:rPr/>
        <w:t>v rozmezí 50 – 89,99 % stanovených indikátorů, bude toto porušení postiženo odvodem z poskytnuté</w:t>
      </w:r>
      <w:r>
        <w:rPr>
          <w:spacing w:val="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výši</w:t>
      </w:r>
      <w:r>
        <w:rPr>
          <w:spacing w:val="-1"/>
        </w:rPr>
        <w:t> </w:t>
      </w:r>
      <w:r>
        <w:rPr/>
        <w:t>odpovídající</w:t>
      </w:r>
      <w:r>
        <w:rPr>
          <w:spacing w:val="-1"/>
        </w:rPr>
        <w:t> </w:t>
      </w:r>
      <w:r>
        <w:rPr/>
        <w:t>poměru</w:t>
      </w:r>
      <w:r>
        <w:rPr>
          <w:spacing w:val="-1"/>
        </w:rPr>
        <w:t> </w:t>
      </w:r>
      <w:r>
        <w:rPr/>
        <w:t>nedosažení</w:t>
      </w:r>
      <w:r>
        <w:rPr>
          <w:spacing w:val="-1"/>
        </w:rPr>
        <w:t> </w:t>
      </w:r>
      <w:r>
        <w:rPr/>
        <w:t>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povinnosti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9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30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k),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odvod</w:t>
      </w:r>
    </w:p>
    <w:p>
      <w:pPr>
        <w:pStyle w:val="BodyText"/>
        <w:jc w:val="both"/>
      </w:pP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</w:pPr>
      <w:r>
        <w:rPr/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49"/>
      </w:pPr>
      <w:r>
        <w:rPr/>
        <w:t>VI.</w:t>
      </w:r>
    </w:p>
    <w:p>
      <w:pPr>
        <w:pStyle w:val="Heading2"/>
        <w:spacing w:before="1"/>
        <w:ind w:right="104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33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831" w:val="left" w:leader="none"/>
        </w:tabs>
        <w:spacing w:before="191"/>
        <w:ind w:left="38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4" w:lineRule="auto" w:before="229"/>
        <w:ind w:left="382"/>
      </w:pPr>
      <w:r>
        <w:rPr/>
        <w:t>Příloha</w:t>
      </w:r>
      <w:r>
        <w:rPr>
          <w:spacing w:val="53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436" w:top="106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16"/>
        </w:rPr>
        <w:t> </w:t>
      </w:r>
      <w:r>
        <w:rPr/>
        <w:t>odvodů,</w:t>
      </w:r>
      <w:r>
        <w:rPr>
          <w:spacing w:val="17"/>
        </w:rPr>
        <w:t> </w:t>
      </w:r>
      <w:r>
        <w:rPr/>
        <w:t>které</w:t>
      </w:r>
      <w:r>
        <w:rPr>
          <w:spacing w:val="21"/>
        </w:rPr>
        <w:t> </w:t>
      </w:r>
      <w:r>
        <w:rPr/>
        <w:t>se</w:t>
      </w:r>
      <w:r>
        <w:rPr>
          <w:spacing w:val="16"/>
        </w:rPr>
        <w:t> </w:t>
      </w:r>
      <w:r>
        <w:rPr/>
        <w:t>použijí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</w:t>
      </w:r>
      <w:r>
        <w:rPr>
          <w:spacing w:val="17"/>
        </w:rPr>
        <w:t> </w:t>
      </w:r>
      <w:r>
        <w:rPr/>
        <w:t>porušení</w:t>
      </w:r>
      <w:r>
        <w:rPr>
          <w:spacing w:val="16"/>
        </w:rPr>
        <w:t> </w:t>
      </w:r>
      <w:r>
        <w:rPr/>
        <w:t>povinností</w:t>
      </w:r>
      <w:r>
        <w:rPr>
          <w:spacing w:val="17"/>
        </w:rPr>
        <w:t> </w:t>
      </w:r>
      <w:r>
        <w:rPr/>
        <w:t>při</w:t>
      </w:r>
      <w:r>
        <w:rPr>
          <w:spacing w:val="17"/>
        </w:rPr>
        <w:t> </w:t>
      </w:r>
      <w:r>
        <w:rPr/>
        <w:t>zadávání</w:t>
      </w:r>
      <w:r>
        <w:rPr>
          <w:spacing w:val="16"/>
        </w:rPr>
        <w:t> </w:t>
      </w:r>
      <w:r>
        <w:rPr/>
        <w:t>zakázek/</w:t>
      </w:r>
      <w:r>
        <w:rPr>
          <w:spacing w:val="18"/>
        </w:rPr>
        <w:t> </w:t>
      </w:r>
      <w:r>
        <w:rPr/>
        <w:t>veřejných</w:t>
      </w:r>
      <w:r>
        <w:rPr>
          <w:spacing w:val="-52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3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sazby</w:t>
      </w:r>
      <w:r>
        <w:rPr>
          <w:spacing w:val="-11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3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2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0" w:footer="1436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6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 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3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rect style="position:absolute;margin-left:85.103996pt;margin-top:13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spacing w:line="237" w:lineRule="auto" w:before="3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62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40" w:bottom="192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</w:tc>
      </w:tr>
    </w:tbl>
    <w:p>
      <w:pPr>
        <w:pStyle w:val="BodyText"/>
        <w:spacing w:before="11"/>
        <w:ind w:left="0"/>
        <w:rPr>
          <w:sz w:val="12"/>
        </w:rPr>
      </w:pPr>
      <w:r>
        <w:rPr/>
        <w:pict>
          <v:rect style="position:absolute;margin-left:85.103996pt;margin-top:9.75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49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65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95" w:right="10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2022-10-26T07:54:45Z</dcterms:created>
  <dcterms:modified xsi:type="dcterms:W3CDTF">2022-10-26T07:54:45Z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2022-10-26T00:00:00Z</vt:filetime>
  </property>
</Properties>
</file>