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AB26AB">
        <w:rPr>
          <w:rFonts w:ascii="Segoe UI" w:hAnsi="Segoe UI" w:cs="Segoe UI"/>
          <w:color w:val="808080" w:themeColor="background1" w:themeShade="80"/>
          <w:sz w:val="32"/>
          <w:szCs w:val="32"/>
        </w:rPr>
        <w:t>470</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A709AD" w:rsidRPr="00F82841" w:rsidRDefault="00AB26AB"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obec Milínov</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kontaktní adresa: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AB26AB">
        <w:rPr>
          <w:rFonts w:ascii="Segoe UI" w:hAnsi="Segoe UI" w:cs="Segoe UI"/>
          <w:color w:val="000000" w:themeColor="text1"/>
          <w:sz w:val="20"/>
        </w:rPr>
        <w:t>Obecní</w:t>
      </w:r>
      <w:r w:rsidR="000D0D6F">
        <w:rPr>
          <w:rFonts w:ascii="Segoe UI" w:hAnsi="Segoe UI" w:cs="Segoe UI"/>
          <w:color w:val="000000" w:themeColor="text1"/>
          <w:sz w:val="20"/>
        </w:rPr>
        <w:t xml:space="preserve"> úřad </w:t>
      </w:r>
      <w:r w:rsidR="00AB26AB">
        <w:rPr>
          <w:rFonts w:ascii="Segoe UI" w:hAnsi="Segoe UI" w:cs="Segoe UI"/>
          <w:color w:val="000000" w:themeColor="text1"/>
          <w:sz w:val="20"/>
        </w:rPr>
        <w:t>Milínov, Milínov 48, 332 04 Nezvěstice</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AB26AB">
        <w:rPr>
          <w:rFonts w:ascii="Segoe UI" w:hAnsi="Segoe UI" w:cs="Segoe UI"/>
          <w:color w:val="000000" w:themeColor="text1"/>
          <w:sz w:val="20"/>
        </w:rPr>
        <w:t>48333468</w:t>
      </w:r>
    </w:p>
    <w:p w:rsidR="00A709AD" w:rsidRPr="00F82841" w:rsidRDefault="0051324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1460B1" w:rsidRPr="00F82841">
        <w:rPr>
          <w:rFonts w:ascii="Segoe UI" w:hAnsi="Segoe UI" w:cs="Segoe UI"/>
          <w:color w:val="000000" w:themeColor="text1"/>
          <w:sz w:val="20"/>
        </w:rPr>
        <w:t>astoupen</w:t>
      </w:r>
      <w:r w:rsidR="00AB26AB">
        <w:rPr>
          <w:rFonts w:ascii="Segoe UI" w:hAnsi="Segoe UI" w:cs="Segoe UI"/>
          <w:color w:val="000000" w:themeColor="text1"/>
          <w:sz w:val="20"/>
        </w:rPr>
        <w:t>á</w:t>
      </w:r>
      <w:r w:rsidR="00A709AD"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AB26AB">
        <w:rPr>
          <w:rFonts w:ascii="Segoe UI" w:hAnsi="Segoe UI" w:cs="Segoe UI"/>
          <w:color w:val="000000" w:themeColor="text1"/>
          <w:sz w:val="20"/>
        </w:rPr>
        <w:t>Ing. Pavlem M o u l i s e m</w:t>
      </w:r>
      <w:r w:rsidR="00A709AD" w:rsidRPr="00F82841">
        <w:rPr>
          <w:rFonts w:ascii="Segoe UI" w:hAnsi="Segoe UI" w:cs="Segoe UI"/>
          <w:color w:val="000000" w:themeColor="text1"/>
          <w:sz w:val="20"/>
        </w:rPr>
        <w:t>,</w:t>
      </w:r>
      <w:r w:rsidR="00AB26AB">
        <w:rPr>
          <w:rFonts w:ascii="Segoe UI" w:hAnsi="Segoe UI" w:cs="Segoe UI"/>
          <w:color w:val="000000" w:themeColor="text1"/>
          <w:sz w:val="20"/>
        </w:rPr>
        <w:t xml:space="preserve"> Ph.D.</w:t>
      </w:r>
      <w:r w:rsidR="00466470"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starostou</w:t>
      </w:r>
    </w:p>
    <w:p w:rsidR="00A709AD" w:rsidRPr="00F82841" w:rsidRDefault="00A709AD" w:rsidP="003A397A">
      <w:pPr>
        <w:pStyle w:val="Zkladntext"/>
        <w:jc w:val="both"/>
        <w:rPr>
          <w:rFonts w:ascii="Segoe UI" w:hAnsi="Segoe UI" w:cs="Segoe UI"/>
          <w: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Pr="00F82841">
        <w:rPr>
          <w:rFonts w:ascii="Segoe UI" w:hAnsi="Segoe UI" w:cs="Segoe UI"/>
          <w:color w:val="000000" w:themeColor="text1"/>
          <w:sz w:val="20"/>
        </w:rPr>
        <w:tab/>
        <w:t>Česká národní banka</w:t>
      </w:r>
      <w:r w:rsidRPr="00F82841">
        <w:rPr>
          <w:rFonts w:ascii="Segoe UI" w:hAnsi="Segoe UI" w:cs="Segoe UI"/>
          <w:i/>
          <w:color w:val="000000" w:themeColor="text1"/>
          <w:sz w:val="20"/>
        </w:rPr>
        <w:t xml:space="preserve"> </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AB26AB" w:rsidRPr="00AB26AB">
        <w:rPr>
          <w:rFonts w:ascii="Segoe UI" w:hAnsi="Segoe UI" w:cs="Segoe UI"/>
          <w:bCs/>
          <w:color w:val="auto"/>
          <w:sz w:val="20"/>
        </w:rPr>
        <w:t>94-618361/0710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AB26AB">
        <w:rPr>
          <w:rFonts w:ascii="Segoe UI" w:hAnsi="Segoe UI" w:cs="Segoe UI"/>
          <w:color w:val="000000" w:themeColor="text1"/>
          <w:sz w:val="20"/>
        </w:rPr>
        <w:t>470</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B31A90">
        <w:rPr>
          <w:rFonts w:ascii="Segoe UI" w:hAnsi="Segoe UI" w:cs="Segoe UI"/>
          <w:color w:val="000000" w:themeColor="text1"/>
          <w:sz w:val="20"/>
        </w:rPr>
        <w:t>24</w:t>
      </w:r>
      <w:r w:rsidR="00B477F4" w:rsidRPr="00F82841">
        <w:rPr>
          <w:rFonts w:ascii="Segoe UI" w:hAnsi="Segoe UI" w:cs="Segoe UI"/>
          <w:color w:val="000000" w:themeColor="text1"/>
          <w:sz w:val="20"/>
        </w:rPr>
        <w:t xml:space="preserve">. </w:t>
      </w:r>
      <w:r w:rsidR="00B31A90">
        <w:rPr>
          <w:rFonts w:ascii="Segoe UI" w:hAnsi="Segoe UI" w:cs="Segoe UI"/>
          <w:color w:val="000000" w:themeColor="text1"/>
          <w:sz w:val="20"/>
        </w:rPr>
        <w:t>5</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B31A90">
        <w:rPr>
          <w:rFonts w:ascii="Segoe UI" w:hAnsi="Segoe UI" w:cs="Segoe UI"/>
          <w:color w:val="000000" w:themeColor="text1"/>
          <w:sz w:val="20"/>
        </w:rPr>
        <w:t>1</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AB26AB" w:rsidRDefault="00845099" w:rsidP="00964A37">
      <w:pPr>
        <w:pStyle w:val="Zkladntext"/>
        <w:spacing w:before="120"/>
        <w:ind w:left="284" w:hanging="284"/>
        <w:jc w:val="center"/>
        <w:rPr>
          <w:rFonts w:ascii="Segoe UI" w:hAnsi="Segoe UI" w:cs="Segoe UI"/>
          <w:b/>
          <w:color w:val="auto"/>
          <w:sz w:val="20"/>
        </w:rPr>
      </w:pPr>
      <w:r w:rsidRPr="00F82841">
        <w:rPr>
          <w:rFonts w:ascii="Segoe UI" w:hAnsi="Segoe UI" w:cs="Segoe UI"/>
          <w:b/>
          <w:color w:val="000000" w:themeColor="text1"/>
          <w:sz w:val="20"/>
        </w:rPr>
        <w:t>„</w:t>
      </w:r>
      <w:r w:rsidR="00AB26AB" w:rsidRPr="00AB26AB">
        <w:rPr>
          <w:rFonts w:ascii="Segoe UI" w:hAnsi="Segoe UI" w:cs="Segoe UI"/>
          <w:b/>
          <w:bCs/>
          <w:color w:val="auto"/>
          <w:sz w:val="20"/>
        </w:rPr>
        <w:t>Vodovod Milínov a připojení HJ-2, ÚV a akumulace s odběrným místem v k. ú. Milínov</w:t>
      </w:r>
      <w:r w:rsidR="00B477F4" w:rsidRPr="00AB26AB">
        <w:rPr>
          <w:rFonts w:ascii="Segoe UI" w:hAnsi="Segoe UI" w:cs="Segoe UI"/>
          <w:b/>
          <w:color w:val="auto"/>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AB26AB">
        <w:rPr>
          <w:rFonts w:ascii="Segoe UI" w:hAnsi="Segoe UI" w:cs="Segoe UI"/>
          <w:color w:val="000000" w:themeColor="text1"/>
          <w:sz w:val="20"/>
        </w:rPr>
        <w:t>0</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E95371">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AB26AB" w:rsidRPr="00AB26AB">
        <w:rPr>
          <w:rFonts w:ascii="Segoe UI" w:hAnsi="Segoe UI" w:cs="Segoe UI"/>
          <w:b/>
          <w:color w:val="000000" w:themeColor="text1"/>
          <w:sz w:val="20"/>
        </w:rPr>
        <w:t>3 000 000</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AB26AB">
        <w:rPr>
          <w:rFonts w:ascii="Segoe UI" w:hAnsi="Segoe UI" w:cs="Segoe UI"/>
          <w:color w:val="000000" w:themeColor="text1"/>
          <w:sz w:val="20"/>
        </w:rPr>
        <w:t>tři</w:t>
      </w:r>
      <w:r w:rsidR="00E95371">
        <w:rPr>
          <w:rFonts w:ascii="Segoe UI" w:hAnsi="Segoe UI" w:cs="Segoe UI"/>
          <w:color w:val="000000" w:themeColor="text1"/>
          <w:sz w:val="20"/>
        </w:rPr>
        <w:t xml:space="preserve"> miliony</w:t>
      </w:r>
      <w:r w:rsidR="00843461">
        <w:rPr>
          <w:rFonts w:ascii="Segoe UI" w:hAnsi="Segoe UI" w:cs="Segoe UI"/>
          <w:color w:val="000000" w:themeColor="text1"/>
          <w:sz w:val="20"/>
        </w:rPr>
        <w:t xml:space="preserve"> 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AB26AB">
        <w:rPr>
          <w:rFonts w:ascii="Segoe UI" w:hAnsi="Segoe UI" w:cs="Segoe UI"/>
          <w:color w:val="000000" w:themeColor="text1"/>
          <w:sz w:val="20"/>
        </w:rPr>
        <w:t>3 770 015</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AB26AB">
        <w:rPr>
          <w:rFonts w:ascii="Segoe UI" w:hAnsi="Segoe UI" w:cs="Segoe UI"/>
          <w:color w:val="000000" w:themeColor="text1"/>
          <w:sz w:val="20"/>
        </w:rPr>
        <w:t>79</w:t>
      </w:r>
      <w:r w:rsidR="00331E11" w:rsidRPr="00F82841">
        <w:rPr>
          <w:rFonts w:ascii="Segoe UI" w:hAnsi="Segoe UI" w:cs="Segoe UI"/>
          <w:color w:val="000000" w:themeColor="text1"/>
          <w:sz w:val="20"/>
        </w:rPr>
        <w:t>,</w:t>
      </w:r>
      <w:r w:rsidR="00AB26AB">
        <w:rPr>
          <w:rFonts w:ascii="Segoe UI" w:hAnsi="Segoe UI" w:cs="Segoe UI"/>
          <w:color w:val="000000" w:themeColor="text1"/>
          <w:sz w:val="20"/>
        </w:rPr>
        <w:t>58</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C42C7A"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E66B7">
        <w:rPr>
          <w:rFonts w:ascii="Segoe UI" w:hAnsi="Segoe UI" w:cs="Segoe UI"/>
          <w:color w:val="000000" w:themeColor="text1"/>
          <w:sz w:val="20"/>
        </w:rPr>
        <w:t>2</w:t>
      </w:r>
      <w:r w:rsidR="000E671A" w:rsidRPr="00F82841">
        <w:rPr>
          <w:rFonts w:ascii="Segoe UI" w:hAnsi="Segoe UI" w:cs="Segoe UI"/>
          <w:color w:val="000000" w:themeColor="text1"/>
          <w:sz w:val="20"/>
        </w:rPr>
        <w:t xml:space="preserve"> ve výši </w:t>
      </w:r>
      <w:r w:rsidR="00AB26AB" w:rsidRPr="00AB26AB">
        <w:rPr>
          <w:rFonts w:ascii="Segoe UI" w:hAnsi="Segoe UI" w:cs="Segoe UI"/>
          <w:color w:val="000000" w:themeColor="text1"/>
          <w:sz w:val="20"/>
        </w:rPr>
        <w:t>3 000 000</w:t>
      </w:r>
      <w:r w:rsidR="00AB26AB"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F65BFF" w:rsidRPr="00F82841">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AB26AB">
        <w:rPr>
          <w:rFonts w:ascii="Segoe UI" w:hAnsi="Segoe UI" w:cs="Segoe UI"/>
          <w:color w:val="000000" w:themeColor="text1"/>
          <w:sz w:val="20"/>
        </w:rPr>
        <w:t>0</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E95371">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AB26AB">
        <w:rPr>
          <w:rFonts w:ascii="Segoe UI" w:hAnsi="Segoe UI" w:cs="Segoe UI"/>
          <w:color w:val="000000" w:themeColor="text1"/>
          <w:sz w:val="20"/>
        </w:rPr>
        <w:t>770 015</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82841"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9D79D3" w:rsidRPr="004D0862" w:rsidRDefault="000E25E0" w:rsidP="009D79D3">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D0862">
        <w:rPr>
          <w:rFonts w:ascii="Segoe UI" w:hAnsi="Segoe UI" w:cs="Segoe UI"/>
          <w:color w:val="auto"/>
          <w:sz w:val="20"/>
        </w:rPr>
        <w:t>akce bude provedena podle</w:t>
      </w:r>
      <w:r w:rsidR="00F42144" w:rsidRPr="004D0862">
        <w:rPr>
          <w:rFonts w:ascii="Segoe UI" w:hAnsi="Segoe UI" w:cs="Segoe UI"/>
          <w:color w:val="auto"/>
          <w:sz w:val="20"/>
        </w:rPr>
        <w:t xml:space="preserve"> </w:t>
      </w:r>
      <w:r w:rsidR="00F42144" w:rsidRPr="004D0862">
        <w:rPr>
          <w:rFonts w:ascii="Segoe UI" w:hAnsi="Segoe UI" w:cs="Segoe UI"/>
          <w:bCs/>
          <w:color w:val="auto"/>
          <w:sz w:val="20"/>
        </w:rPr>
        <w:t>Fondem odsouhlasen</w:t>
      </w:r>
      <w:r w:rsidR="00AB26AB" w:rsidRPr="004D0862">
        <w:rPr>
          <w:rFonts w:ascii="Segoe UI" w:hAnsi="Segoe UI" w:cs="Segoe UI"/>
          <w:bCs/>
          <w:color w:val="auto"/>
          <w:sz w:val="20"/>
        </w:rPr>
        <w:t>ých</w:t>
      </w:r>
      <w:r w:rsidR="00F42144" w:rsidRPr="004D0862">
        <w:rPr>
          <w:rFonts w:ascii="Segoe UI" w:hAnsi="Segoe UI" w:cs="Segoe UI"/>
          <w:bCs/>
          <w:color w:val="auto"/>
          <w:sz w:val="20"/>
        </w:rPr>
        <w:t xml:space="preserve"> projektov</w:t>
      </w:r>
      <w:r w:rsidR="00AB26AB" w:rsidRPr="004D0862">
        <w:rPr>
          <w:rFonts w:ascii="Segoe UI" w:hAnsi="Segoe UI" w:cs="Segoe UI"/>
          <w:bCs/>
          <w:color w:val="auto"/>
          <w:sz w:val="20"/>
        </w:rPr>
        <w:t>ých</w:t>
      </w:r>
      <w:r w:rsidR="00F42144" w:rsidRPr="004D0862">
        <w:rPr>
          <w:rFonts w:ascii="Segoe UI" w:hAnsi="Segoe UI" w:cs="Segoe UI"/>
          <w:bCs/>
          <w:color w:val="auto"/>
          <w:sz w:val="20"/>
        </w:rPr>
        <w:t xml:space="preserve"> dokumentac</w:t>
      </w:r>
      <w:r w:rsidR="00AB26AB" w:rsidRPr="004D0862">
        <w:rPr>
          <w:rFonts w:ascii="Segoe UI" w:hAnsi="Segoe UI" w:cs="Segoe UI"/>
          <w:bCs/>
          <w:color w:val="auto"/>
          <w:sz w:val="20"/>
        </w:rPr>
        <w:t>í</w:t>
      </w:r>
      <w:r w:rsidR="00F42144" w:rsidRPr="004D0862">
        <w:rPr>
          <w:rFonts w:ascii="Segoe UI" w:hAnsi="Segoe UI" w:cs="Segoe UI"/>
          <w:bCs/>
          <w:color w:val="auto"/>
          <w:sz w:val="20"/>
        </w:rPr>
        <w:t xml:space="preserve"> „</w:t>
      </w:r>
      <w:r w:rsidR="00AB26AB" w:rsidRPr="004D0862">
        <w:rPr>
          <w:rFonts w:ascii="Segoe UI" w:hAnsi="Segoe UI" w:cs="Segoe UI"/>
          <w:bCs/>
          <w:color w:val="auto"/>
          <w:sz w:val="20"/>
        </w:rPr>
        <w:t>Hydrogeologický průzkumný vrt HV-2 v katastru obce Milínov</w:t>
      </w:r>
      <w:r w:rsidR="00F42144" w:rsidRPr="004D0862">
        <w:rPr>
          <w:rFonts w:ascii="Segoe UI" w:hAnsi="Segoe UI" w:cs="Segoe UI"/>
          <w:bCs/>
          <w:color w:val="auto"/>
          <w:sz w:val="20"/>
        </w:rPr>
        <w:t xml:space="preserve">“, </w:t>
      </w:r>
      <w:r w:rsidR="00AC22B7" w:rsidRPr="004D0862">
        <w:rPr>
          <w:rFonts w:ascii="Segoe UI" w:hAnsi="Segoe UI" w:cs="Segoe UI"/>
          <w:bCs/>
          <w:color w:val="auto"/>
          <w:sz w:val="20"/>
        </w:rPr>
        <w:t>vy</w:t>
      </w:r>
      <w:r w:rsidR="00F42144" w:rsidRPr="004D0862">
        <w:rPr>
          <w:rFonts w:ascii="Segoe UI" w:hAnsi="Segoe UI" w:cs="Segoe UI"/>
          <w:bCs/>
          <w:color w:val="auto"/>
          <w:sz w:val="20"/>
        </w:rPr>
        <w:t xml:space="preserve">pracované </w:t>
      </w:r>
      <w:r w:rsidR="00AB26AB" w:rsidRPr="004D0862">
        <w:rPr>
          <w:rFonts w:ascii="Segoe UI" w:hAnsi="Segoe UI" w:cs="Segoe UI"/>
          <w:bCs/>
          <w:color w:val="auto"/>
          <w:sz w:val="20"/>
        </w:rPr>
        <w:t>RNDr. Vítem Holečkem</w:t>
      </w:r>
      <w:r w:rsidR="00F33D9F" w:rsidRPr="004D0862">
        <w:rPr>
          <w:rFonts w:ascii="Segoe UI" w:hAnsi="Segoe UI" w:cs="Segoe UI"/>
          <w:bCs/>
          <w:color w:val="auto"/>
          <w:sz w:val="20"/>
        </w:rPr>
        <w:t xml:space="preserve"> </w:t>
      </w:r>
      <w:r w:rsidR="005C1355" w:rsidRPr="004D0862">
        <w:rPr>
          <w:rFonts w:ascii="Segoe UI" w:hAnsi="Segoe UI" w:cs="Segoe UI"/>
          <w:bCs/>
          <w:color w:val="auto"/>
          <w:sz w:val="20"/>
        </w:rPr>
        <w:t>v </w:t>
      </w:r>
      <w:r w:rsidR="00AB26AB" w:rsidRPr="004D0862">
        <w:rPr>
          <w:rFonts w:ascii="Segoe UI" w:hAnsi="Segoe UI" w:cs="Segoe UI"/>
          <w:bCs/>
          <w:color w:val="auto"/>
          <w:sz w:val="20"/>
        </w:rPr>
        <w:t>8</w:t>
      </w:r>
      <w:r w:rsidR="005C1355" w:rsidRPr="004D0862">
        <w:rPr>
          <w:rFonts w:ascii="Segoe UI" w:hAnsi="Segoe UI" w:cs="Segoe UI"/>
          <w:bCs/>
          <w:color w:val="auto"/>
          <w:sz w:val="20"/>
        </w:rPr>
        <w:t>/20</w:t>
      </w:r>
      <w:r w:rsidR="00904210" w:rsidRPr="004D0862">
        <w:rPr>
          <w:rFonts w:ascii="Segoe UI" w:hAnsi="Segoe UI" w:cs="Segoe UI"/>
          <w:bCs/>
          <w:color w:val="auto"/>
          <w:sz w:val="20"/>
        </w:rPr>
        <w:t>2</w:t>
      </w:r>
      <w:r w:rsidR="007C1F20" w:rsidRPr="004D0862">
        <w:rPr>
          <w:rFonts w:ascii="Segoe UI" w:hAnsi="Segoe UI" w:cs="Segoe UI"/>
          <w:bCs/>
          <w:color w:val="auto"/>
          <w:sz w:val="20"/>
        </w:rPr>
        <w:t>0</w:t>
      </w:r>
      <w:r w:rsidR="00AB26AB" w:rsidRPr="004D0862">
        <w:rPr>
          <w:rFonts w:ascii="Segoe UI" w:hAnsi="Segoe UI" w:cs="Segoe UI"/>
          <w:bCs/>
          <w:color w:val="auto"/>
          <w:sz w:val="20"/>
        </w:rPr>
        <w:t xml:space="preserve">, „Připojení HJ-2, ÚV a akumulace s odběrným místem v k. ú. Milínov“, vypracované </w:t>
      </w:r>
      <w:r w:rsidR="009D79D3" w:rsidRPr="004D0862">
        <w:rPr>
          <w:rFonts w:ascii="Segoe UI" w:hAnsi="Segoe UI" w:cs="Segoe UI"/>
          <w:bCs/>
          <w:color w:val="auto"/>
          <w:sz w:val="20"/>
        </w:rPr>
        <w:t xml:space="preserve">Ing. </w:t>
      </w:r>
      <w:r w:rsidR="00AB26AB" w:rsidRPr="004D0862">
        <w:rPr>
          <w:rFonts w:ascii="Segoe UI" w:hAnsi="Segoe UI" w:cs="Segoe UI"/>
          <w:bCs/>
          <w:color w:val="auto"/>
          <w:sz w:val="20"/>
        </w:rPr>
        <w:t>Václavem Machem v 2/2022</w:t>
      </w:r>
      <w:r w:rsidR="009D79D3" w:rsidRPr="004D0862">
        <w:rPr>
          <w:rFonts w:ascii="Segoe UI" w:hAnsi="Segoe UI" w:cs="Segoe UI"/>
          <w:bCs/>
          <w:color w:val="auto"/>
          <w:sz w:val="20"/>
        </w:rPr>
        <w:t xml:space="preserve"> a „Vodovod Milínov“, vypracované Ing. Václavem Machem v 8/2019</w:t>
      </w:r>
      <w:r w:rsidR="00AC22B7" w:rsidRPr="004D0862">
        <w:rPr>
          <w:rFonts w:ascii="Segoe UI" w:hAnsi="Segoe UI" w:cs="Segoe UI"/>
          <w:bCs/>
          <w:color w:val="auto"/>
          <w:sz w:val="20"/>
        </w:rPr>
        <w:t xml:space="preserve">, </w:t>
      </w:r>
      <w:r w:rsidR="00904210" w:rsidRPr="004D0862">
        <w:rPr>
          <w:rFonts w:ascii="Segoe UI" w:hAnsi="Segoe UI" w:cs="Segoe UI"/>
          <w:bCs/>
          <w:color w:val="auto"/>
          <w:sz w:val="20"/>
        </w:rPr>
        <w:t>ž</w:t>
      </w:r>
      <w:r w:rsidR="00036D9B" w:rsidRPr="004D0862">
        <w:rPr>
          <w:rFonts w:ascii="Segoe UI" w:hAnsi="Segoe UI" w:cs="Segoe UI"/>
          <w:bCs/>
          <w:color w:val="auto"/>
          <w:sz w:val="20"/>
        </w:rPr>
        <w:t>ádosti ze dne</w:t>
      </w:r>
      <w:r w:rsidR="00AC22B7" w:rsidRPr="004D0862">
        <w:rPr>
          <w:rFonts w:ascii="Segoe UI" w:hAnsi="Segoe UI" w:cs="Segoe UI"/>
          <w:bCs/>
          <w:color w:val="auto"/>
          <w:sz w:val="20"/>
        </w:rPr>
        <w:t xml:space="preserve"> </w:t>
      </w:r>
      <w:r w:rsidR="009D79D3" w:rsidRPr="004D0862">
        <w:rPr>
          <w:rFonts w:ascii="Segoe UI" w:hAnsi="Segoe UI" w:cs="Segoe UI"/>
          <w:bCs/>
          <w:color w:val="auto"/>
          <w:sz w:val="20"/>
        </w:rPr>
        <w:t>30</w:t>
      </w:r>
      <w:r w:rsidR="00036D9B" w:rsidRPr="004D0862">
        <w:rPr>
          <w:rFonts w:ascii="Segoe UI" w:hAnsi="Segoe UI" w:cs="Segoe UI"/>
          <w:bCs/>
          <w:color w:val="auto"/>
          <w:sz w:val="20"/>
        </w:rPr>
        <w:t xml:space="preserve">. </w:t>
      </w:r>
      <w:r w:rsidR="008755CE" w:rsidRPr="004D0862">
        <w:rPr>
          <w:rFonts w:ascii="Segoe UI" w:hAnsi="Segoe UI" w:cs="Segoe UI"/>
          <w:bCs/>
          <w:color w:val="auto"/>
          <w:sz w:val="20"/>
        </w:rPr>
        <w:t>1</w:t>
      </w:r>
      <w:r w:rsidR="00F33D9F" w:rsidRPr="004D0862">
        <w:rPr>
          <w:rFonts w:ascii="Segoe UI" w:hAnsi="Segoe UI" w:cs="Segoe UI"/>
          <w:bCs/>
          <w:color w:val="auto"/>
          <w:sz w:val="20"/>
        </w:rPr>
        <w:t>1</w:t>
      </w:r>
      <w:r w:rsidR="00036D9B" w:rsidRPr="004D0862">
        <w:rPr>
          <w:rFonts w:ascii="Segoe UI" w:hAnsi="Segoe UI" w:cs="Segoe UI"/>
          <w:bCs/>
          <w:color w:val="auto"/>
          <w:sz w:val="20"/>
        </w:rPr>
        <w:t>. 20</w:t>
      </w:r>
      <w:r w:rsidR="005C1355" w:rsidRPr="004D0862">
        <w:rPr>
          <w:rFonts w:ascii="Segoe UI" w:hAnsi="Segoe UI" w:cs="Segoe UI"/>
          <w:bCs/>
          <w:color w:val="auto"/>
          <w:sz w:val="20"/>
        </w:rPr>
        <w:t>20</w:t>
      </w:r>
      <w:r w:rsidR="00036D9B" w:rsidRPr="004D0862">
        <w:rPr>
          <w:rFonts w:ascii="Segoe UI" w:hAnsi="Segoe UI" w:cs="Segoe UI"/>
          <w:bCs/>
          <w:color w:val="auto"/>
          <w:sz w:val="20"/>
        </w:rPr>
        <w:t xml:space="preserve">, v souladu s aktualizovaným rozpočtem ze dne </w:t>
      </w:r>
      <w:r w:rsidR="00F33D9F" w:rsidRPr="004D0862">
        <w:rPr>
          <w:rFonts w:ascii="Segoe UI" w:hAnsi="Segoe UI" w:cs="Segoe UI"/>
          <w:bCs/>
          <w:color w:val="auto"/>
          <w:sz w:val="20"/>
        </w:rPr>
        <w:t>2</w:t>
      </w:r>
      <w:r w:rsidR="009D79D3" w:rsidRPr="004D0862">
        <w:rPr>
          <w:rFonts w:ascii="Segoe UI" w:hAnsi="Segoe UI" w:cs="Segoe UI"/>
          <w:bCs/>
          <w:color w:val="auto"/>
          <w:sz w:val="20"/>
        </w:rPr>
        <w:t>6</w:t>
      </w:r>
      <w:r w:rsidR="00036D9B" w:rsidRPr="004D0862">
        <w:rPr>
          <w:rFonts w:ascii="Segoe UI" w:hAnsi="Segoe UI" w:cs="Segoe UI"/>
          <w:bCs/>
          <w:color w:val="auto"/>
          <w:sz w:val="20"/>
        </w:rPr>
        <w:t>.</w:t>
      </w:r>
      <w:r w:rsidR="003606A7" w:rsidRPr="004D0862">
        <w:rPr>
          <w:rFonts w:ascii="Segoe UI" w:hAnsi="Segoe UI" w:cs="Segoe UI"/>
          <w:bCs/>
          <w:color w:val="auto"/>
          <w:sz w:val="20"/>
        </w:rPr>
        <w:t xml:space="preserve"> </w:t>
      </w:r>
      <w:r w:rsidR="00F33D9F" w:rsidRPr="004D0862">
        <w:rPr>
          <w:rFonts w:ascii="Segoe UI" w:hAnsi="Segoe UI" w:cs="Segoe UI"/>
          <w:bCs/>
          <w:color w:val="auto"/>
          <w:sz w:val="20"/>
        </w:rPr>
        <w:t>6</w:t>
      </w:r>
      <w:r w:rsidR="00036D9B" w:rsidRPr="004D0862">
        <w:rPr>
          <w:rFonts w:ascii="Segoe UI" w:hAnsi="Segoe UI" w:cs="Segoe UI"/>
          <w:bCs/>
          <w:color w:val="auto"/>
          <w:sz w:val="20"/>
        </w:rPr>
        <w:t>. 20</w:t>
      </w:r>
      <w:r w:rsidR="00776F45" w:rsidRPr="004D0862">
        <w:rPr>
          <w:rFonts w:ascii="Segoe UI" w:hAnsi="Segoe UI" w:cs="Segoe UI"/>
          <w:bCs/>
          <w:color w:val="auto"/>
          <w:sz w:val="20"/>
        </w:rPr>
        <w:t>2</w:t>
      </w:r>
      <w:r w:rsidR="007C1F20" w:rsidRPr="004D0862">
        <w:rPr>
          <w:rFonts w:ascii="Segoe UI" w:hAnsi="Segoe UI" w:cs="Segoe UI"/>
          <w:bCs/>
          <w:color w:val="auto"/>
          <w:sz w:val="20"/>
        </w:rPr>
        <w:t>2</w:t>
      </w:r>
      <w:r w:rsidR="00C13EF9" w:rsidRPr="004D0862">
        <w:rPr>
          <w:rFonts w:ascii="Segoe UI" w:hAnsi="Segoe UI" w:cs="Segoe UI"/>
          <w:bCs/>
          <w:color w:val="auto"/>
          <w:sz w:val="20"/>
        </w:rPr>
        <w:t>. Projekt je realizován ve dvou etapách. V první etapě byl realizován hydrogeologický vrt, úpravna vody, akumulace s ATS a napojení do vodovodní soustavy obce. Ve druhé etapě bude realizován druhý hydrogeologický vrt, který bude napojen do stávající akumulace, bude rozšířena technologie úpravny vody a zřízeno veřejné odběrové místo, celková délka napojení činí 256 m</w:t>
      </w:r>
      <w:r w:rsidR="00566780">
        <w:rPr>
          <w:rFonts w:ascii="Segoe UI" w:hAnsi="Segoe UI" w:cs="Segoe UI"/>
          <w:bCs/>
          <w:color w:val="auto"/>
          <w:sz w:val="20"/>
        </w:rPr>
        <w:t>,</w:t>
      </w:r>
    </w:p>
    <w:p w:rsidR="00C416AC" w:rsidRPr="003963B1" w:rsidRDefault="00C416AC" w:rsidP="00C416AC">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pozemcích ve vlastnictví příjemce podpory,</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9D79D3">
        <w:rPr>
          <w:rFonts w:ascii="Segoe UI" w:hAnsi="Segoe UI" w:cs="Segoe UI"/>
          <w:color w:val="000000" w:themeColor="text1"/>
          <w:sz w:val="20"/>
        </w:rPr>
        <w:t>4</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7C1F20">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3D3727" w:rsidRPr="00F82841">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9D79D3">
        <w:rPr>
          <w:rFonts w:ascii="Segoe UI" w:hAnsi="Segoe UI" w:cs="Segoe UI"/>
          <w:color w:val="000000" w:themeColor="text1"/>
          <w:sz w:val="20"/>
        </w:rPr>
        <w:t>7</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9D79D3">
        <w:rPr>
          <w:rFonts w:ascii="Segoe UI" w:hAnsi="Segoe UI" w:cs="Segoe UI"/>
          <w:color w:val="000000" w:themeColor="text1"/>
          <w:sz w:val="20"/>
        </w:rPr>
        <w:t>0</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E547EF">
        <w:rPr>
          <w:rFonts w:ascii="Segoe UI" w:hAnsi="Segoe UI" w:cs="Segoe UI"/>
          <w:color w:val="000000" w:themeColor="text1"/>
          <w:sz w:val="20"/>
        </w:rPr>
        <w:t>7</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E547EF">
        <w:rPr>
          <w:rFonts w:ascii="Segoe UI" w:hAnsi="Segoe UI" w:cs="Segoe UI"/>
          <w:color w:val="000000" w:themeColor="text1"/>
          <w:sz w:val="20"/>
        </w:rPr>
        <w:t>3</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F82841" w:rsidRDefault="00161E9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kolaudační souhlas</w:t>
      </w:r>
      <w:r w:rsidR="009D79D3">
        <w:rPr>
          <w:rFonts w:ascii="Segoe UI" w:hAnsi="Segoe UI" w:cs="Segoe UI"/>
          <w:color w:val="000000" w:themeColor="text1"/>
          <w:sz w:val="20"/>
        </w:rPr>
        <w:t>y</w:t>
      </w:r>
      <w:r>
        <w:rPr>
          <w:rFonts w:ascii="Segoe UI" w:hAnsi="Segoe UI" w:cs="Segoe UI"/>
          <w:color w:val="000000" w:themeColor="text1"/>
          <w:sz w:val="20"/>
        </w:rPr>
        <w:t>.</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AF9" w:rsidRDefault="00732AF9">
      <w:r>
        <w:separator/>
      </w:r>
    </w:p>
  </w:endnote>
  <w:endnote w:type="continuationSeparator" w:id="0">
    <w:p w:rsidR="00732AF9" w:rsidRDefault="0073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400D3">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400D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AF9" w:rsidRDefault="00732AF9">
      <w:r>
        <w:separator/>
      </w:r>
    </w:p>
  </w:footnote>
  <w:footnote w:type="continuationSeparator" w:id="0">
    <w:p w:rsidR="00732AF9" w:rsidRDefault="0073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3BF6"/>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D9B"/>
    <w:rsid w:val="00042C66"/>
    <w:rsid w:val="0004330C"/>
    <w:rsid w:val="0004388F"/>
    <w:rsid w:val="000439C2"/>
    <w:rsid w:val="00044B99"/>
    <w:rsid w:val="0004539B"/>
    <w:rsid w:val="00050F0F"/>
    <w:rsid w:val="000516A2"/>
    <w:rsid w:val="00052665"/>
    <w:rsid w:val="000542F9"/>
    <w:rsid w:val="000567AC"/>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673A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77804"/>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6618"/>
    <w:rsid w:val="0030762D"/>
    <w:rsid w:val="00311F91"/>
    <w:rsid w:val="003123D0"/>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56A0"/>
    <w:rsid w:val="00356A58"/>
    <w:rsid w:val="003606A7"/>
    <w:rsid w:val="00361AC7"/>
    <w:rsid w:val="0036367E"/>
    <w:rsid w:val="003636E8"/>
    <w:rsid w:val="003650B3"/>
    <w:rsid w:val="00367061"/>
    <w:rsid w:val="0036766A"/>
    <w:rsid w:val="003709C5"/>
    <w:rsid w:val="003729D8"/>
    <w:rsid w:val="003753CD"/>
    <w:rsid w:val="003757CF"/>
    <w:rsid w:val="003768BA"/>
    <w:rsid w:val="00383139"/>
    <w:rsid w:val="0038392B"/>
    <w:rsid w:val="00385486"/>
    <w:rsid w:val="0039009B"/>
    <w:rsid w:val="00393369"/>
    <w:rsid w:val="00397003"/>
    <w:rsid w:val="003A23FF"/>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6894"/>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0B1"/>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862"/>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07914"/>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2BA7"/>
    <w:rsid w:val="0055336C"/>
    <w:rsid w:val="00554BE0"/>
    <w:rsid w:val="005552DB"/>
    <w:rsid w:val="00555CD6"/>
    <w:rsid w:val="005561AB"/>
    <w:rsid w:val="005563FA"/>
    <w:rsid w:val="00556662"/>
    <w:rsid w:val="00562126"/>
    <w:rsid w:val="005635F6"/>
    <w:rsid w:val="0056360B"/>
    <w:rsid w:val="0056619F"/>
    <w:rsid w:val="00566780"/>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2DB"/>
    <w:rsid w:val="0061239B"/>
    <w:rsid w:val="00612625"/>
    <w:rsid w:val="00614627"/>
    <w:rsid w:val="006244D6"/>
    <w:rsid w:val="006245E7"/>
    <w:rsid w:val="00624DC4"/>
    <w:rsid w:val="00625404"/>
    <w:rsid w:val="0063018B"/>
    <w:rsid w:val="00631E42"/>
    <w:rsid w:val="006353FD"/>
    <w:rsid w:val="0063721B"/>
    <w:rsid w:val="00642617"/>
    <w:rsid w:val="0064411B"/>
    <w:rsid w:val="00644633"/>
    <w:rsid w:val="0064685C"/>
    <w:rsid w:val="00646D14"/>
    <w:rsid w:val="00646D8B"/>
    <w:rsid w:val="006476E6"/>
    <w:rsid w:val="00647BAD"/>
    <w:rsid w:val="00651841"/>
    <w:rsid w:val="006526A4"/>
    <w:rsid w:val="006549C7"/>
    <w:rsid w:val="006579FA"/>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38E5"/>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39A"/>
    <w:rsid w:val="00727D10"/>
    <w:rsid w:val="00732AF9"/>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1F20"/>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5895"/>
    <w:rsid w:val="008413C8"/>
    <w:rsid w:val="008430C3"/>
    <w:rsid w:val="00843461"/>
    <w:rsid w:val="008437A4"/>
    <w:rsid w:val="008444FC"/>
    <w:rsid w:val="00845099"/>
    <w:rsid w:val="00845D1C"/>
    <w:rsid w:val="0085124E"/>
    <w:rsid w:val="00852321"/>
    <w:rsid w:val="0085547F"/>
    <w:rsid w:val="00856263"/>
    <w:rsid w:val="00860A0C"/>
    <w:rsid w:val="008612FA"/>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19B"/>
    <w:rsid w:val="00986758"/>
    <w:rsid w:val="00990061"/>
    <w:rsid w:val="00990796"/>
    <w:rsid w:val="00990A09"/>
    <w:rsid w:val="0099314A"/>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5B9"/>
    <w:rsid w:val="009C5D46"/>
    <w:rsid w:val="009C62CB"/>
    <w:rsid w:val="009C6D87"/>
    <w:rsid w:val="009D22C2"/>
    <w:rsid w:val="009D47B8"/>
    <w:rsid w:val="009D5388"/>
    <w:rsid w:val="009D5A59"/>
    <w:rsid w:val="009D6CA4"/>
    <w:rsid w:val="009D741E"/>
    <w:rsid w:val="009D74A3"/>
    <w:rsid w:val="009D79D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26AB"/>
    <w:rsid w:val="00AB7F04"/>
    <w:rsid w:val="00AC09FF"/>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0A3"/>
    <w:rsid w:val="00B30AEB"/>
    <w:rsid w:val="00B31098"/>
    <w:rsid w:val="00B31A90"/>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5B"/>
    <w:rsid w:val="00BF1A8C"/>
    <w:rsid w:val="00BF1CA2"/>
    <w:rsid w:val="00BF546F"/>
    <w:rsid w:val="00BF6B76"/>
    <w:rsid w:val="00BF6BAF"/>
    <w:rsid w:val="00BF6F54"/>
    <w:rsid w:val="00C01C22"/>
    <w:rsid w:val="00C0572B"/>
    <w:rsid w:val="00C07628"/>
    <w:rsid w:val="00C10AC2"/>
    <w:rsid w:val="00C12DC4"/>
    <w:rsid w:val="00C13EF9"/>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3B3B"/>
    <w:rsid w:val="00CF3B9A"/>
    <w:rsid w:val="00CF461E"/>
    <w:rsid w:val="00CF6208"/>
    <w:rsid w:val="00CF657E"/>
    <w:rsid w:val="00CF7ABB"/>
    <w:rsid w:val="00D0529C"/>
    <w:rsid w:val="00D0631C"/>
    <w:rsid w:val="00D11364"/>
    <w:rsid w:val="00D1326E"/>
    <w:rsid w:val="00D1523C"/>
    <w:rsid w:val="00D1708A"/>
    <w:rsid w:val="00D23D82"/>
    <w:rsid w:val="00D32112"/>
    <w:rsid w:val="00D333D5"/>
    <w:rsid w:val="00D36AFE"/>
    <w:rsid w:val="00D3719D"/>
    <w:rsid w:val="00D400D3"/>
    <w:rsid w:val="00D415FF"/>
    <w:rsid w:val="00D42176"/>
    <w:rsid w:val="00D44E76"/>
    <w:rsid w:val="00D47588"/>
    <w:rsid w:val="00D523E7"/>
    <w:rsid w:val="00D548FC"/>
    <w:rsid w:val="00D579F8"/>
    <w:rsid w:val="00D60C0B"/>
    <w:rsid w:val="00D61778"/>
    <w:rsid w:val="00D638CC"/>
    <w:rsid w:val="00D65702"/>
    <w:rsid w:val="00D706D5"/>
    <w:rsid w:val="00D70D2E"/>
    <w:rsid w:val="00D70F69"/>
    <w:rsid w:val="00D74985"/>
    <w:rsid w:val="00D752BD"/>
    <w:rsid w:val="00D80B1E"/>
    <w:rsid w:val="00D82299"/>
    <w:rsid w:val="00D8480D"/>
    <w:rsid w:val="00D85A2F"/>
    <w:rsid w:val="00D85EB5"/>
    <w:rsid w:val="00D86533"/>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47EF"/>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11F0"/>
    <w:rsid w:val="00E844C2"/>
    <w:rsid w:val="00E854E9"/>
    <w:rsid w:val="00E86320"/>
    <w:rsid w:val="00E9008B"/>
    <w:rsid w:val="00E913A1"/>
    <w:rsid w:val="00E91C49"/>
    <w:rsid w:val="00E924A7"/>
    <w:rsid w:val="00E93974"/>
    <w:rsid w:val="00E94530"/>
    <w:rsid w:val="00E94D63"/>
    <w:rsid w:val="00E94D93"/>
    <w:rsid w:val="00E95371"/>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43B"/>
    <w:rsid w:val="00EF5EE6"/>
    <w:rsid w:val="00EF6A19"/>
    <w:rsid w:val="00EF6C11"/>
    <w:rsid w:val="00F003A0"/>
    <w:rsid w:val="00F069EB"/>
    <w:rsid w:val="00F07272"/>
    <w:rsid w:val="00F10D4A"/>
    <w:rsid w:val="00F11661"/>
    <w:rsid w:val="00F1193E"/>
    <w:rsid w:val="00F136C8"/>
    <w:rsid w:val="00F15724"/>
    <w:rsid w:val="00F15B11"/>
    <w:rsid w:val="00F15FB4"/>
    <w:rsid w:val="00F24D3A"/>
    <w:rsid w:val="00F2658B"/>
    <w:rsid w:val="00F26B31"/>
    <w:rsid w:val="00F3035B"/>
    <w:rsid w:val="00F32E1D"/>
    <w:rsid w:val="00F33D9F"/>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92ACA-D5A6-4D3F-90C5-85011074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2763</Words>
  <Characters>16304</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19029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2022-08-16T05:05:00Z</cp:lastPrinted>
  <dcterms:created xsi:type="dcterms:W3CDTF">2022-09-05T11:13:00Z</dcterms:created>
  <dcterms:modified xsi:type="dcterms:W3CDTF">2022-09-05T11:13:00Z</dcterms:modified>
</cp:coreProperties>
</file>