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92" w:rsidRDefault="000373B8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1191300109</w:t>
      </w:r>
    </w:p>
    <w:p w:rsidR="00220092" w:rsidRDefault="000373B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20092" w:rsidRDefault="000373B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20092" w:rsidRDefault="00220092">
      <w:pPr>
        <w:pStyle w:val="Zkladntext"/>
        <w:ind w:left="0"/>
        <w:rPr>
          <w:sz w:val="60"/>
        </w:rPr>
      </w:pPr>
    </w:p>
    <w:p w:rsidR="00220092" w:rsidRDefault="000373B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20092" w:rsidRDefault="00220092">
      <w:pPr>
        <w:pStyle w:val="Zkladntext"/>
        <w:spacing w:before="1"/>
        <w:ind w:left="0"/>
      </w:pPr>
    </w:p>
    <w:p w:rsidR="00220092" w:rsidRDefault="000373B8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20092" w:rsidRDefault="000373B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20092" w:rsidRDefault="000373B8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20092" w:rsidRDefault="000373B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20092" w:rsidRDefault="000373B8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6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  <w:r>
        <w:rPr>
          <w:spacing w:val="17"/>
          <w:w w:val="95"/>
        </w:rPr>
        <w:t xml:space="preserve"> </w:t>
      </w:r>
      <w:r>
        <w:rPr>
          <w:w w:val="95"/>
        </w:rPr>
        <w:t>SFŽP</w:t>
      </w:r>
      <w:r>
        <w:rPr>
          <w:spacing w:val="18"/>
          <w:w w:val="95"/>
        </w:rPr>
        <w:t xml:space="preserve"> </w:t>
      </w:r>
      <w:r>
        <w:rPr>
          <w:w w:val="95"/>
        </w:rPr>
        <w:t>ČR</w:t>
      </w:r>
    </w:p>
    <w:p w:rsidR="00220092" w:rsidRDefault="000373B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20092" w:rsidRDefault="000373B8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20092" w:rsidRDefault="000373B8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20092" w:rsidRDefault="000373B8">
      <w:pPr>
        <w:pStyle w:val="Nadpis2"/>
        <w:ind w:left="102"/>
        <w:jc w:val="left"/>
      </w:pPr>
      <w:r>
        <w:t>Bevar</w:t>
      </w:r>
      <w:r>
        <w:rPr>
          <w:spacing w:val="-5"/>
        </w:rPr>
        <w:t xml:space="preserve"> </w:t>
      </w:r>
      <w:r>
        <w:t>likvidace</w:t>
      </w:r>
      <w:r>
        <w:rPr>
          <w:spacing w:val="-3"/>
        </w:rPr>
        <w:t xml:space="preserve"> </w:t>
      </w:r>
      <w:r>
        <w:t>s.r.o.</w:t>
      </w:r>
    </w:p>
    <w:p w:rsidR="00220092" w:rsidRDefault="000373B8">
      <w:pPr>
        <w:pStyle w:val="Zkladntext"/>
        <w:spacing w:line="265" w:lineRule="exact"/>
        <w:ind w:left="102"/>
      </w:pPr>
      <w:r>
        <w:t>obchodní</w:t>
      </w:r>
      <w:r>
        <w:rPr>
          <w:spacing w:val="25"/>
        </w:rPr>
        <w:t xml:space="preserve"> </w:t>
      </w:r>
      <w:r>
        <w:t>společnost</w:t>
      </w:r>
      <w:r>
        <w:rPr>
          <w:spacing w:val="25"/>
        </w:rPr>
        <w:t xml:space="preserve"> </w:t>
      </w:r>
      <w:r>
        <w:t>zapsaná</w:t>
      </w:r>
      <w:r>
        <w:rPr>
          <w:spacing w:val="25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obchodním</w:t>
      </w:r>
      <w:r>
        <w:rPr>
          <w:spacing w:val="27"/>
        </w:rPr>
        <w:t xml:space="preserve"> </w:t>
      </w:r>
      <w:r>
        <w:t>rejstříku</w:t>
      </w:r>
      <w:r>
        <w:rPr>
          <w:spacing w:val="28"/>
        </w:rPr>
        <w:t xml:space="preserve"> </w:t>
      </w:r>
      <w:r>
        <w:t>vedeném</w:t>
      </w:r>
      <w:r>
        <w:rPr>
          <w:spacing w:val="27"/>
        </w:rPr>
        <w:t xml:space="preserve"> </w:t>
      </w:r>
      <w:r>
        <w:t>Krajským</w:t>
      </w:r>
      <w:r>
        <w:rPr>
          <w:spacing w:val="26"/>
        </w:rPr>
        <w:t xml:space="preserve"> </w:t>
      </w:r>
      <w:r>
        <w:t>soudem</w:t>
      </w:r>
      <w:r>
        <w:rPr>
          <w:spacing w:val="27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Plzni,</w:t>
      </w:r>
      <w:r>
        <w:rPr>
          <w:spacing w:val="26"/>
        </w:rPr>
        <w:t xml:space="preserve"> </w:t>
      </w:r>
      <w:r>
        <w:t>oddíl</w:t>
      </w:r>
      <w:r>
        <w:rPr>
          <w:spacing w:val="26"/>
        </w:rPr>
        <w:t xml:space="preserve"> </w:t>
      </w:r>
      <w:r>
        <w:t>C,</w:t>
      </w:r>
      <w:r>
        <w:rPr>
          <w:spacing w:val="26"/>
        </w:rPr>
        <w:t xml:space="preserve"> </w:t>
      </w:r>
      <w:r>
        <w:t>vložka</w:t>
      </w:r>
    </w:p>
    <w:p w:rsidR="00220092" w:rsidRDefault="000373B8">
      <w:pPr>
        <w:pStyle w:val="Zkladntext"/>
        <w:spacing w:line="265" w:lineRule="exact"/>
        <w:ind w:left="102"/>
      </w:pPr>
      <w:r>
        <w:t>18370</w:t>
      </w:r>
    </w:p>
    <w:p w:rsidR="00220092" w:rsidRDefault="000373B8">
      <w:pPr>
        <w:pStyle w:val="Zkladntext"/>
        <w:tabs>
          <w:tab w:val="left" w:pos="2977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</w:t>
      </w:r>
      <w:r>
        <w:rPr>
          <w:spacing w:val="-4"/>
        </w:rPr>
        <w:t xml:space="preserve"> </w:t>
      </w:r>
      <w:r>
        <w:t>Lesu</w:t>
      </w:r>
      <w:r>
        <w:rPr>
          <w:spacing w:val="-3"/>
        </w:rPr>
        <w:t xml:space="preserve"> </w:t>
      </w:r>
      <w:r>
        <w:t>948,</w:t>
      </w:r>
      <w:r>
        <w:rPr>
          <w:spacing w:val="-3"/>
        </w:rPr>
        <w:t xml:space="preserve"> </w:t>
      </w:r>
      <w:r>
        <w:t>Plzeňské</w:t>
      </w:r>
      <w:r>
        <w:rPr>
          <w:spacing w:val="-4"/>
        </w:rPr>
        <w:t xml:space="preserve"> </w:t>
      </w:r>
      <w:r>
        <w:t>Předměstí,</w:t>
      </w:r>
      <w:r>
        <w:rPr>
          <w:spacing w:val="-3"/>
        </w:rPr>
        <w:t xml:space="preserve"> </w:t>
      </w:r>
      <w:r>
        <w:t>337</w:t>
      </w:r>
      <w:r>
        <w:rPr>
          <w:spacing w:val="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Rokycany</w:t>
      </w:r>
    </w:p>
    <w:p w:rsidR="00220092" w:rsidRDefault="000373B8">
      <w:pPr>
        <w:pStyle w:val="Zkladntext"/>
        <w:tabs>
          <w:tab w:val="left" w:pos="2982"/>
        </w:tabs>
        <w:ind w:left="102"/>
      </w:pPr>
      <w:r>
        <w:t>IČO:</w:t>
      </w:r>
      <w:r>
        <w:tab/>
        <w:t>26409089</w:t>
      </w:r>
    </w:p>
    <w:p w:rsidR="00220092" w:rsidRDefault="000373B8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Bedřichem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m u</w:t>
      </w:r>
      <w:r>
        <w:rPr>
          <w:spacing w:val="-2"/>
        </w:rPr>
        <w:t xml:space="preserve"> </w:t>
      </w:r>
      <w:r>
        <w:t>ž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jednatelem</w:t>
      </w:r>
    </w:p>
    <w:p w:rsidR="00220092" w:rsidRDefault="000373B8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220092" w:rsidRDefault="000373B8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35-9548050207/0100</w:t>
      </w:r>
    </w:p>
    <w:p w:rsidR="00220092" w:rsidRDefault="000373B8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</w:t>
      </w:r>
      <w:r>
        <w:t>mce</w:t>
      </w:r>
      <w:r>
        <w:rPr>
          <w:spacing w:val="-3"/>
        </w:rPr>
        <w:t xml:space="preserve"> </w:t>
      </w:r>
      <w:r>
        <w:t>podpory")</w:t>
      </w:r>
    </w:p>
    <w:p w:rsidR="00220092" w:rsidRDefault="00220092">
      <w:pPr>
        <w:pStyle w:val="Zkladntext"/>
        <w:spacing w:before="11"/>
        <w:ind w:left="0"/>
        <w:rPr>
          <w:sz w:val="19"/>
        </w:rPr>
      </w:pPr>
    </w:p>
    <w:p w:rsidR="00220092" w:rsidRDefault="000373B8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20092" w:rsidRDefault="00220092">
      <w:pPr>
        <w:pStyle w:val="Zkladntext"/>
        <w:spacing w:before="1"/>
        <w:ind w:left="0"/>
        <w:rPr>
          <w:sz w:val="36"/>
        </w:rPr>
      </w:pPr>
    </w:p>
    <w:p w:rsidR="00220092" w:rsidRDefault="000373B8">
      <w:pPr>
        <w:pStyle w:val="Nadpis1"/>
        <w:ind w:left="3124" w:right="3133"/>
      </w:pPr>
      <w:r>
        <w:t>I.</w:t>
      </w:r>
    </w:p>
    <w:p w:rsidR="00220092" w:rsidRDefault="000373B8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20092" w:rsidRDefault="00220092">
      <w:pPr>
        <w:pStyle w:val="Zkladntext"/>
        <w:ind w:left="0"/>
        <w:rPr>
          <w:b/>
          <w:sz w:val="18"/>
        </w:rPr>
      </w:pPr>
    </w:p>
    <w:p w:rsidR="00220092" w:rsidRDefault="000373B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20092" w:rsidRDefault="000373B8">
      <w:pPr>
        <w:pStyle w:val="Zkladntext"/>
        <w:spacing w:before="1"/>
        <w:ind w:right="111"/>
        <w:jc w:val="both"/>
      </w:pPr>
      <w:r>
        <w:t>„Smlouva“) se uzavírá na základě Rozhodnutí ministra životního prostředí č. 1191300109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</w:t>
      </w:r>
      <w:r>
        <w:t>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20092" w:rsidRDefault="000373B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13/2019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20092" w:rsidRDefault="00220092">
      <w:pPr>
        <w:jc w:val="both"/>
        <w:rPr>
          <w:sz w:val="20"/>
        </w:rPr>
        <w:sectPr w:rsidR="00220092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20092" w:rsidRDefault="000373B8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akci:</w:t>
      </w:r>
    </w:p>
    <w:p w:rsidR="00220092" w:rsidRDefault="000373B8">
      <w:pPr>
        <w:pStyle w:val="Nadpis2"/>
        <w:spacing w:before="120"/>
        <w:ind w:left="3959"/>
        <w:jc w:val="left"/>
      </w:pPr>
      <w:r>
        <w:t>„Autovraky</w:t>
      </w:r>
      <w:r>
        <w:rPr>
          <w:spacing w:val="-4"/>
        </w:rPr>
        <w:t xml:space="preserve"> </w:t>
      </w:r>
      <w:r>
        <w:t>2021“</w:t>
      </w:r>
    </w:p>
    <w:p w:rsidR="00220092" w:rsidRDefault="000373B8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20092" w:rsidRDefault="000373B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6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(ES)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1407/2013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18.</w:t>
      </w:r>
      <w:r>
        <w:rPr>
          <w:spacing w:val="-52"/>
          <w:sz w:val="20"/>
        </w:rPr>
        <w:t xml:space="preserve"> </w:t>
      </w:r>
      <w:r>
        <w:rPr>
          <w:sz w:val="20"/>
        </w:rPr>
        <w:t>prosince 2013 o použití článků 107 a 108 Smlouvy o fungování Evropské unie na podporu de minimis,</w:t>
      </w:r>
      <w:r>
        <w:rPr>
          <w:spacing w:val="1"/>
          <w:sz w:val="20"/>
        </w:rPr>
        <w:t xml:space="preserve"> </w:t>
      </w:r>
      <w:r>
        <w:rPr>
          <w:sz w:val="20"/>
        </w:rPr>
        <w:t>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24.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ind w:left="0"/>
        <w:rPr>
          <w:sz w:val="30"/>
        </w:rPr>
      </w:pPr>
    </w:p>
    <w:p w:rsidR="00220092" w:rsidRDefault="000373B8">
      <w:pPr>
        <w:pStyle w:val="Nadpis1"/>
        <w:spacing w:before="1"/>
        <w:ind w:left="3124" w:right="3133"/>
      </w:pPr>
      <w:r>
        <w:t>II.</w:t>
      </w:r>
    </w:p>
    <w:p w:rsidR="00220092" w:rsidRDefault="000373B8">
      <w:pPr>
        <w:pStyle w:val="Nadpis2"/>
        <w:spacing w:before="0"/>
        <w:ind w:right="1029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20092" w:rsidRDefault="00220092">
      <w:pPr>
        <w:pStyle w:val="Zkladntext"/>
        <w:spacing w:before="1"/>
        <w:ind w:left="0"/>
        <w:rPr>
          <w:b/>
          <w:sz w:val="18"/>
        </w:rPr>
      </w:pPr>
    </w:p>
    <w:p w:rsidR="00220092" w:rsidRDefault="000373B8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06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54"/>
          <w:sz w:val="20"/>
        </w:rPr>
        <w:t xml:space="preserve"> </w:t>
      </w:r>
      <w:r>
        <w:rPr>
          <w:sz w:val="20"/>
        </w:rPr>
        <w:t>formou</w:t>
      </w:r>
      <w:r>
        <w:rPr>
          <w:spacing w:val="55"/>
          <w:sz w:val="20"/>
        </w:rPr>
        <w:t xml:space="preserve"> </w:t>
      </w:r>
      <w:r>
        <w:rPr>
          <w:sz w:val="20"/>
        </w:rPr>
        <w:t>dotace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b/>
          <w:sz w:val="20"/>
        </w:rPr>
        <w:t>163 500,00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(slovy: sto šedesát tři tisíce pět set korun českých) za řádně předané odpady (komodity) z vybraných</w:t>
      </w:r>
      <w:r>
        <w:rPr>
          <w:spacing w:val="1"/>
          <w:sz w:val="20"/>
        </w:rPr>
        <w:t xml:space="preserve"> </w:t>
      </w:r>
      <w:r>
        <w:rPr>
          <w:sz w:val="20"/>
        </w:rPr>
        <w:t>autovraků převzatých za kalendářní rok 2021 do zpracovatelských za</w:t>
      </w:r>
      <w:r>
        <w:rPr>
          <w:sz w:val="20"/>
        </w:rPr>
        <w:t>řízení určených ke 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</w:p>
    <w:p w:rsidR="00220092" w:rsidRDefault="000373B8">
      <w:pPr>
        <w:pStyle w:val="Zkladntext"/>
        <w:spacing w:line="266" w:lineRule="exact"/>
        <w:jc w:val="both"/>
      </w:pPr>
      <w:r>
        <w:t>z</w:t>
      </w:r>
      <w:r>
        <w:rPr>
          <w:spacing w:val="-3"/>
        </w:rPr>
        <w:t xml:space="preserve"> </w:t>
      </w:r>
      <w:r>
        <w:t>autovraků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materiálovým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energetickým</w:t>
      </w:r>
      <w:r>
        <w:rPr>
          <w:spacing w:val="-3"/>
        </w:rPr>
        <w:t xml:space="preserve"> </w:t>
      </w:r>
      <w:r>
        <w:t>využitím.</w:t>
      </w:r>
    </w:p>
    <w:p w:rsidR="00220092" w:rsidRDefault="000373B8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odvozené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vychází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spacing w:before="2"/>
        <w:ind w:left="0"/>
        <w:rPr>
          <w:sz w:val="30"/>
        </w:rPr>
      </w:pPr>
    </w:p>
    <w:p w:rsidR="00220092" w:rsidRDefault="000373B8">
      <w:pPr>
        <w:pStyle w:val="Nadpis1"/>
        <w:ind w:right="1030"/>
      </w:pPr>
      <w:r>
        <w:t>III.</w:t>
      </w:r>
    </w:p>
    <w:p w:rsidR="00220092" w:rsidRDefault="000373B8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20092" w:rsidRDefault="00220092">
      <w:pPr>
        <w:pStyle w:val="Zkladntext"/>
        <w:spacing w:before="11"/>
        <w:ind w:left="0"/>
        <w:rPr>
          <w:b/>
          <w:sz w:val="17"/>
        </w:rPr>
      </w:pPr>
    </w:p>
    <w:p w:rsidR="00220092" w:rsidRDefault="000373B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0092" w:rsidRDefault="000373B8">
      <w:pPr>
        <w:pStyle w:val="Odstavecseseznamem"/>
        <w:numPr>
          <w:ilvl w:val="0"/>
          <w:numId w:val="4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 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20092" w:rsidRDefault="00220092">
      <w:pPr>
        <w:pStyle w:val="Zkladntext"/>
        <w:spacing w:before="10"/>
        <w:ind w:left="0"/>
        <w:rPr>
          <w:sz w:val="28"/>
        </w:rPr>
      </w:pPr>
    </w:p>
    <w:p w:rsidR="00220092" w:rsidRDefault="00220092">
      <w:pPr>
        <w:rPr>
          <w:sz w:val="28"/>
        </w:rPr>
        <w:sectPr w:rsidR="00220092">
          <w:pgSz w:w="12240" w:h="15840"/>
          <w:pgMar w:top="1060" w:right="1020" w:bottom="1660" w:left="1600" w:header="0" w:footer="1460" w:gutter="0"/>
          <w:cols w:space="708"/>
        </w:sectPr>
      </w:pP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0373B8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220092" w:rsidRDefault="000373B8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20092" w:rsidRDefault="000373B8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20092" w:rsidRDefault="00220092">
      <w:pPr>
        <w:sectPr w:rsidR="00220092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20092" w:rsidRDefault="000373B8">
      <w:pPr>
        <w:pStyle w:val="Odstavecseseznamem"/>
        <w:numPr>
          <w:ilvl w:val="2"/>
          <w:numId w:val="3"/>
        </w:numPr>
        <w:tabs>
          <w:tab w:val="left" w:pos="784"/>
        </w:tabs>
        <w:spacing w:before="120"/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1/2021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12/2021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7"/>
          <w:sz w:val="20"/>
        </w:rPr>
        <w:t xml:space="preserve"> </w:t>
      </w:r>
      <w:r>
        <w:rPr>
          <w:sz w:val="20"/>
        </w:rPr>
        <w:t>předal</w:t>
      </w:r>
      <w:r>
        <w:rPr>
          <w:spacing w:val="-7"/>
          <w:sz w:val="20"/>
        </w:rPr>
        <w:t xml:space="preserve"> </w:t>
      </w:r>
      <w:r>
        <w:rPr>
          <w:sz w:val="20"/>
        </w:rPr>
        <w:t>odpady</w:t>
      </w:r>
      <w:r>
        <w:rPr>
          <w:spacing w:val="-7"/>
          <w:sz w:val="20"/>
        </w:rPr>
        <w:t xml:space="preserve"> </w:t>
      </w:r>
      <w:r>
        <w:rPr>
          <w:sz w:val="20"/>
        </w:rPr>
        <w:t>(komodity)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5"/>
          <w:sz w:val="20"/>
        </w:rPr>
        <w:t xml:space="preserve"> </w:t>
      </w:r>
      <w:r>
        <w:rPr>
          <w:sz w:val="20"/>
        </w:rPr>
        <w:t>autovraků</w:t>
      </w:r>
      <w:r>
        <w:rPr>
          <w:spacing w:val="-7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52"/>
          <w:sz w:val="20"/>
        </w:rPr>
        <w:t xml:space="preserve"> </w:t>
      </w:r>
      <w:r>
        <w:rPr>
          <w:sz w:val="20"/>
        </w:rPr>
        <w:t>do zpracovatelských zařízení určených ke zpracování odpadů z autovraků s materiálovým nebo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3"/>
          <w:sz w:val="20"/>
        </w:rPr>
        <w:t xml:space="preserve"> </w:t>
      </w:r>
      <w:r>
        <w:rPr>
          <w:sz w:val="20"/>
        </w:rPr>
        <w:t>využitím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splnil</w:t>
      </w:r>
      <w:r>
        <w:rPr>
          <w:spacing w:val="-4"/>
          <w:sz w:val="20"/>
        </w:rPr>
        <w:t xml:space="preserve"> </w:t>
      </w:r>
      <w:r>
        <w:rPr>
          <w:sz w:val="20"/>
        </w:rPr>
        <w:t>cíle</w:t>
      </w:r>
      <w:r>
        <w:rPr>
          <w:spacing w:val="-3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2"/>
          <w:sz w:val="20"/>
        </w:rPr>
        <w:t xml:space="preserve"> </w:t>
      </w:r>
      <w:r>
        <w:rPr>
          <w:sz w:val="20"/>
        </w:rPr>
        <w:t>použití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využití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4"/>
          <w:sz w:val="20"/>
        </w:rPr>
        <w:t xml:space="preserve"> </w:t>
      </w:r>
      <w:r>
        <w:rPr>
          <w:sz w:val="20"/>
        </w:rPr>
        <w:t>hmotnosti</w:t>
      </w:r>
      <w:r>
        <w:rPr>
          <w:spacing w:val="-52"/>
          <w:sz w:val="20"/>
        </w:rPr>
        <w:t xml:space="preserve"> </w:t>
      </w:r>
      <w:r>
        <w:rPr>
          <w:sz w:val="20"/>
        </w:rPr>
        <w:t>všech vybraných vozidel převzatých za kalendářní rok a opětovného použití a recyklace nejméně</w:t>
      </w:r>
      <w:r>
        <w:rPr>
          <w:spacing w:val="1"/>
          <w:sz w:val="20"/>
        </w:rPr>
        <w:t xml:space="preserve"> </w:t>
      </w:r>
      <w:r>
        <w:rPr>
          <w:sz w:val="20"/>
        </w:rPr>
        <w:t>85%</w:t>
      </w:r>
      <w:r>
        <w:rPr>
          <w:spacing w:val="-1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2"/>
          <w:sz w:val="20"/>
        </w:rPr>
        <w:t xml:space="preserve"> </w:t>
      </w:r>
      <w:r>
        <w:rPr>
          <w:sz w:val="20"/>
        </w:rPr>
        <w:t>hmotnosti</w:t>
      </w:r>
      <w:r>
        <w:rPr>
          <w:spacing w:val="-1"/>
          <w:sz w:val="20"/>
        </w:rPr>
        <w:t xml:space="preserve"> </w:t>
      </w:r>
      <w:r>
        <w:rPr>
          <w:sz w:val="20"/>
        </w:rPr>
        <w:t>všech</w:t>
      </w:r>
      <w:r>
        <w:rPr>
          <w:spacing w:val="-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1"/>
          <w:sz w:val="20"/>
        </w:rPr>
        <w:t xml:space="preserve"> </w:t>
      </w:r>
      <w:r>
        <w:rPr>
          <w:sz w:val="20"/>
        </w:rPr>
        <w:t>vozidel</w:t>
      </w:r>
      <w:r>
        <w:rPr>
          <w:spacing w:val="-1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2"/>
          <w:sz w:val="20"/>
        </w:rPr>
        <w:t xml:space="preserve"> </w:t>
      </w:r>
      <w:r>
        <w:rPr>
          <w:sz w:val="20"/>
        </w:rPr>
        <w:t>rok,</w:t>
      </w:r>
    </w:p>
    <w:p w:rsidR="00220092" w:rsidRDefault="000373B8">
      <w:pPr>
        <w:pStyle w:val="Zkladntext"/>
        <w:spacing w:before="120"/>
        <w:ind w:left="783" w:right="112"/>
        <w:jc w:val="both"/>
      </w:pPr>
      <w:r>
        <w:t>Příjemce podpory bere př</w:t>
      </w:r>
      <w:r>
        <w:t>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220092" w:rsidRDefault="00220092">
      <w:pPr>
        <w:jc w:val="both"/>
        <w:sectPr w:rsidR="00220092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20092" w:rsidRDefault="000373B8">
      <w:pPr>
        <w:pStyle w:val="Odstavecseseznamem"/>
        <w:numPr>
          <w:ilvl w:val="2"/>
          <w:numId w:val="3"/>
        </w:numPr>
        <w:tabs>
          <w:tab w:val="left" w:pos="78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20092" w:rsidRDefault="000373B8">
      <w:pPr>
        <w:pStyle w:val="Odstavecseseznamem"/>
        <w:numPr>
          <w:ilvl w:val="2"/>
          <w:numId w:val="3"/>
        </w:numPr>
        <w:tabs>
          <w:tab w:val="left" w:pos="784"/>
        </w:tabs>
        <w:ind w:right="110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nakládat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autovraky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zákonem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167/2008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2"/>
          <w:sz w:val="20"/>
        </w:rPr>
        <w:t xml:space="preserve"> </w:t>
      </w:r>
      <w:r>
        <w:rPr>
          <w:sz w:val="20"/>
        </w:rPr>
        <w:t>ekologické</w:t>
      </w:r>
      <w:r>
        <w:rPr>
          <w:spacing w:val="10"/>
          <w:sz w:val="20"/>
        </w:rPr>
        <w:t xml:space="preserve"> </w:t>
      </w:r>
      <w:r>
        <w:rPr>
          <w:sz w:val="20"/>
        </w:rPr>
        <w:t>újmě</w:t>
      </w:r>
      <w:r>
        <w:rPr>
          <w:spacing w:val="-52"/>
          <w:sz w:val="20"/>
        </w:rPr>
        <w:t xml:space="preserve"> </w:t>
      </w:r>
      <w:r>
        <w:rPr>
          <w:sz w:val="20"/>
        </w:rPr>
        <w:t>a o její nápravě, v platném znění, a s nařízením vlády č. 295/2011 Sb., o způsobu hodnocení rizik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</w:t>
      </w:r>
      <w:r>
        <w:rPr>
          <w:spacing w:val="-2"/>
          <w:sz w:val="20"/>
        </w:rPr>
        <w:t xml:space="preserve"> </w:t>
      </w:r>
      <w:r>
        <w:rPr>
          <w:sz w:val="20"/>
        </w:rPr>
        <w:t>újmy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bližších</w:t>
      </w:r>
      <w:r>
        <w:rPr>
          <w:spacing w:val="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znění,</w:t>
      </w:r>
    </w:p>
    <w:p w:rsidR="00220092" w:rsidRDefault="000373B8">
      <w:pPr>
        <w:pStyle w:val="Odstavecseseznamem"/>
        <w:numPr>
          <w:ilvl w:val="2"/>
          <w:numId w:val="3"/>
        </w:numPr>
        <w:tabs>
          <w:tab w:val="left" w:pos="784"/>
        </w:tabs>
        <w:ind w:right="113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5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místě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provozovně)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3"/>
          <w:sz w:val="20"/>
        </w:rPr>
        <w:t xml:space="preserve"> </w:t>
      </w:r>
      <w:r>
        <w:rPr>
          <w:sz w:val="20"/>
        </w:rPr>
        <w:t>dokumentů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 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jiným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1"/>
          <w:sz w:val="20"/>
        </w:rPr>
        <w:t xml:space="preserve"> </w:t>
      </w:r>
      <w:r>
        <w:rPr>
          <w:sz w:val="20"/>
        </w:rPr>
        <w:t>orgánům,</w:t>
      </w:r>
    </w:p>
    <w:p w:rsidR="00220092" w:rsidRDefault="000373B8">
      <w:pPr>
        <w:pStyle w:val="Odstavecseseznamem"/>
        <w:numPr>
          <w:ilvl w:val="2"/>
          <w:numId w:val="3"/>
        </w:numPr>
        <w:tabs>
          <w:tab w:val="left" w:pos="784"/>
        </w:tabs>
        <w:spacing w:before="118"/>
        <w:ind w:right="117"/>
        <w:rPr>
          <w:sz w:val="20"/>
        </w:rPr>
      </w:pPr>
      <w:r>
        <w:rPr>
          <w:sz w:val="20"/>
        </w:rPr>
        <w:t>bude bezodkladně informovat Fond o všech provedených kontrolách ze strany kontrolních orgánů</w:t>
      </w:r>
      <w:r>
        <w:rPr>
          <w:spacing w:val="1"/>
          <w:sz w:val="20"/>
        </w:rPr>
        <w:t xml:space="preserve"> </w:t>
      </w:r>
      <w:r>
        <w:rPr>
          <w:sz w:val="20"/>
        </w:rPr>
        <w:t>odlišných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Fondu, jakož i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uložených opatřeních</w:t>
      </w:r>
      <w:r>
        <w:rPr>
          <w:spacing w:val="-1"/>
          <w:sz w:val="20"/>
        </w:rPr>
        <w:t xml:space="preserve"> </w:t>
      </w:r>
      <w:r>
        <w:rPr>
          <w:sz w:val="20"/>
        </w:rPr>
        <w:t>k nápravě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splnění,</w:t>
      </w:r>
    </w:p>
    <w:p w:rsidR="00220092" w:rsidRDefault="000373B8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</w:t>
      </w:r>
      <w:r>
        <w:rPr>
          <w:sz w:val="20"/>
        </w:rPr>
        <w:t>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 xml:space="preserve"> </w:t>
      </w:r>
      <w:r>
        <w:rPr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2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3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účetní</w:t>
      </w:r>
      <w:r>
        <w:rPr>
          <w:spacing w:val="-13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20092" w:rsidRDefault="000373B8">
      <w:pPr>
        <w:pStyle w:val="Odstavecseseznamem"/>
        <w:numPr>
          <w:ilvl w:val="1"/>
          <w:numId w:val="3"/>
        </w:numPr>
        <w:tabs>
          <w:tab w:val="left" w:pos="669"/>
        </w:tabs>
        <w:spacing w:before="120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4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8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2"/>
          <w:sz w:val="20"/>
        </w:rPr>
        <w:t xml:space="preserve"> </w:t>
      </w:r>
      <w:r>
        <w:rPr>
          <w:sz w:val="20"/>
        </w:rPr>
        <w:t>této</w:t>
      </w:r>
      <w:r>
        <w:rPr>
          <w:spacing w:val="82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0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</w:t>
      </w:r>
      <w:r>
        <w:rPr>
          <w:sz w:val="20"/>
        </w:rPr>
        <w:t xml:space="preserve">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Smlouvou.</w:t>
      </w: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spacing w:before="2"/>
        <w:ind w:left="0"/>
        <w:rPr>
          <w:sz w:val="30"/>
        </w:rPr>
      </w:pPr>
    </w:p>
    <w:p w:rsidR="00220092" w:rsidRDefault="000373B8">
      <w:pPr>
        <w:pStyle w:val="Nadpis1"/>
      </w:pPr>
      <w:r>
        <w:t>V.</w:t>
      </w:r>
    </w:p>
    <w:p w:rsidR="00220092" w:rsidRDefault="000373B8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20092" w:rsidRDefault="00220092">
      <w:pPr>
        <w:pStyle w:val="Zkladntext"/>
        <w:spacing w:before="11"/>
        <w:ind w:left="0"/>
        <w:rPr>
          <w:b/>
          <w:sz w:val="17"/>
        </w:rPr>
      </w:pPr>
    </w:p>
    <w:p w:rsidR="00220092" w:rsidRDefault="000373B8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sz w:val="20"/>
        </w:rPr>
      </w:pPr>
      <w:r>
        <w:rPr>
          <w:sz w:val="20"/>
        </w:rPr>
        <w:t>Jestliže</w:t>
      </w:r>
      <w:r>
        <w:rPr>
          <w:spacing w:val="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67"/>
          <w:sz w:val="20"/>
        </w:rPr>
        <w:t xml:space="preserve"> </w:t>
      </w:r>
      <w:r>
        <w:rPr>
          <w:sz w:val="20"/>
        </w:rPr>
        <w:t>podpory</w:t>
      </w:r>
      <w:r>
        <w:rPr>
          <w:spacing w:val="71"/>
          <w:sz w:val="20"/>
        </w:rPr>
        <w:t xml:space="preserve"> </w:t>
      </w:r>
      <w:r>
        <w:rPr>
          <w:sz w:val="20"/>
        </w:rPr>
        <w:t>nesplní</w:t>
      </w:r>
      <w:r>
        <w:rPr>
          <w:spacing w:val="69"/>
          <w:sz w:val="20"/>
        </w:rPr>
        <w:t xml:space="preserve"> </w:t>
      </w:r>
      <w:r>
        <w:rPr>
          <w:sz w:val="20"/>
        </w:rPr>
        <w:t>některý</w:t>
      </w:r>
      <w:r>
        <w:rPr>
          <w:spacing w:val="79"/>
          <w:sz w:val="20"/>
        </w:rPr>
        <w:t xml:space="preserve"> </w:t>
      </w:r>
      <w:r>
        <w:rPr>
          <w:sz w:val="20"/>
        </w:rPr>
        <w:t>ze</w:t>
      </w:r>
      <w:r>
        <w:rPr>
          <w:spacing w:val="68"/>
          <w:sz w:val="20"/>
        </w:rPr>
        <w:t xml:space="preserve"> </w:t>
      </w:r>
      <w:r>
        <w:rPr>
          <w:sz w:val="20"/>
        </w:rPr>
        <w:t>závazků</w:t>
      </w:r>
      <w:r>
        <w:rPr>
          <w:spacing w:val="6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69"/>
          <w:sz w:val="20"/>
        </w:rPr>
        <w:t xml:space="preserve"> </w:t>
      </w:r>
      <w:r>
        <w:rPr>
          <w:sz w:val="20"/>
        </w:rPr>
        <w:t>touto</w:t>
      </w:r>
      <w:r>
        <w:rPr>
          <w:spacing w:val="70"/>
          <w:sz w:val="20"/>
        </w:rPr>
        <w:t xml:space="preserve"> </w:t>
      </w:r>
      <w:r>
        <w:rPr>
          <w:sz w:val="20"/>
        </w:rPr>
        <w:t>Smlouvou,</w:t>
      </w:r>
      <w:r>
        <w:rPr>
          <w:spacing w:val="72"/>
          <w:sz w:val="20"/>
        </w:rPr>
        <w:t xml:space="preserve"> </w:t>
      </w:r>
      <w:r>
        <w:rPr>
          <w:sz w:val="20"/>
        </w:rPr>
        <w:t>bude</w:t>
      </w:r>
      <w:r>
        <w:rPr>
          <w:spacing w:val="68"/>
          <w:sz w:val="20"/>
        </w:rPr>
        <w:t xml:space="preserve"> </w:t>
      </w:r>
      <w:r>
        <w:rPr>
          <w:sz w:val="20"/>
        </w:rPr>
        <w:t>Fond</w:t>
      </w:r>
    </w:p>
    <w:p w:rsidR="00220092" w:rsidRDefault="000373B8">
      <w:pPr>
        <w:pStyle w:val="Zkladntext"/>
        <w:spacing w:before="1"/>
      </w:pPr>
      <w:r>
        <w:t>postupovat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příslušných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rozpočtových</w:t>
      </w:r>
      <w:r>
        <w:rPr>
          <w:spacing w:val="-4"/>
        </w:rPr>
        <w:t xml:space="preserve"> </w:t>
      </w:r>
      <w:r>
        <w:t>pravidel.</w:t>
      </w:r>
    </w:p>
    <w:p w:rsidR="00220092" w:rsidRDefault="000373B8">
      <w:pPr>
        <w:pStyle w:val="Odstavecseseznamem"/>
        <w:numPr>
          <w:ilvl w:val="0"/>
          <w:numId w:val="2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 sankcí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20092" w:rsidRDefault="000373B8">
      <w:pPr>
        <w:pStyle w:val="Odstavecseseznamem"/>
        <w:numPr>
          <w:ilvl w:val="0"/>
          <w:numId w:val="2"/>
        </w:numPr>
        <w:tabs>
          <w:tab w:val="left" w:pos="386"/>
        </w:tabs>
        <w:spacing w:line="265" w:lineRule="exac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ostatních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sankcí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220092" w:rsidRDefault="000373B8">
      <w:pPr>
        <w:pStyle w:val="Zkladntext"/>
        <w:spacing w:line="265" w:lineRule="exact"/>
      </w:pPr>
      <w:r>
        <w:t>podpory.</w:t>
      </w:r>
    </w:p>
    <w:p w:rsidR="00220092" w:rsidRDefault="00220092">
      <w:pPr>
        <w:spacing w:line="265" w:lineRule="exact"/>
        <w:sectPr w:rsidR="00220092">
          <w:pgSz w:w="12240" w:h="15840"/>
          <w:pgMar w:top="1060" w:right="1020" w:bottom="1660" w:left="1600" w:header="0" w:footer="1460" w:gutter="0"/>
          <w:cols w:space="708"/>
        </w:sectPr>
      </w:pPr>
    </w:p>
    <w:p w:rsidR="00220092" w:rsidRDefault="000373B8">
      <w:pPr>
        <w:pStyle w:val="Nadpis1"/>
        <w:spacing w:before="73"/>
      </w:pPr>
      <w:r>
        <w:lastRenderedPageBreak/>
        <w:t>VI.</w:t>
      </w:r>
    </w:p>
    <w:p w:rsidR="00220092" w:rsidRDefault="000373B8">
      <w:pPr>
        <w:pStyle w:val="Nadpis2"/>
        <w:spacing w:before="0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20092" w:rsidRDefault="00220092">
      <w:pPr>
        <w:pStyle w:val="Zkladntext"/>
        <w:spacing w:before="1"/>
        <w:ind w:left="0"/>
        <w:rPr>
          <w:b/>
          <w:sz w:val="18"/>
        </w:rPr>
      </w:pP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podporu,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20092" w:rsidRDefault="000373B8">
      <w:pPr>
        <w:pStyle w:val="Zkladntext"/>
        <w:spacing w:before="1"/>
      </w:pPr>
      <w:r>
        <w:t>Smlouvou.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z w:val="20"/>
        </w:rPr>
        <w:t>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220092" w:rsidRDefault="000373B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20092" w:rsidRDefault="000373B8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0373B8">
      <w:pPr>
        <w:pStyle w:val="Zkladntext"/>
        <w:tabs>
          <w:tab w:val="left" w:pos="6551"/>
        </w:tabs>
        <w:spacing w:before="215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20092" w:rsidRDefault="00220092">
      <w:pPr>
        <w:pStyle w:val="Zkladntext"/>
        <w:spacing w:before="1"/>
        <w:ind w:left="0"/>
        <w:rPr>
          <w:sz w:val="18"/>
        </w:rPr>
      </w:pPr>
    </w:p>
    <w:p w:rsidR="00220092" w:rsidRDefault="000373B8">
      <w:pPr>
        <w:pStyle w:val="Zkladntext"/>
        <w:ind w:left="102"/>
      </w:pPr>
      <w:r>
        <w:t>dne:</w:t>
      </w: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ind w:left="0"/>
        <w:rPr>
          <w:sz w:val="26"/>
        </w:rPr>
      </w:pPr>
    </w:p>
    <w:p w:rsidR="00220092" w:rsidRDefault="00220092">
      <w:pPr>
        <w:pStyle w:val="Zkladntext"/>
        <w:spacing w:before="1"/>
        <w:ind w:left="0"/>
        <w:rPr>
          <w:sz w:val="29"/>
        </w:rPr>
      </w:pPr>
    </w:p>
    <w:p w:rsidR="00220092" w:rsidRDefault="000373B8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20092" w:rsidRDefault="000373B8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220092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B8" w:rsidRDefault="000373B8">
      <w:r>
        <w:separator/>
      </w:r>
    </w:p>
  </w:endnote>
  <w:endnote w:type="continuationSeparator" w:id="0">
    <w:p w:rsidR="000373B8" w:rsidRDefault="0003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92" w:rsidRDefault="00CA2FA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092" w:rsidRDefault="000373B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2FA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20092" w:rsidRDefault="000373B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2FA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B8" w:rsidRDefault="000373B8">
      <w:r>
        <w:separator/>
      </w:r>
    </w:p>
  </w:footnote>
  <w:footnote w:type="continuationSeparator" w:id="0">
    <w:p w:rsidR="000373B8" w:rsidRDefault="0003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1DA0"/>
    <w:multiLevelType w:val="hybridMultilevel"/>
    <w:tmpl w:val="5CAC9F4E"/>
    <w:lvl w:ilvl="0" w:tplc="081EDA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BAA96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D0842C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C6453B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14047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3785C3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52C46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BF67EB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B98994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95D5A46"/>
    <w:multiLevelType w:val="hybridMultilevel"/>
    <w:tmpl w:val="0FF8DBBA"/>
    <w:lvl w:ilvl="0" w:tplc="E7C4DB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54B0C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8122C3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4428EA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92ED12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B2000E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FD279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586D31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D7C870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A4B6B3A"/>
    <w:multiLevelType w:val="hybridMultilevel"/>
    <w:tmpl w:val="C428ABBC"/>
    <w:lvl w:ilvl="0" w:tplc="D3E6D5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80BD94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B422438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178299E"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 w:tplc="DD1C31F8"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 w:tplc="56C8B818"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 w:tplc="EF506C84"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 w:tplc="8A963EE2"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 w:tplc="C98A419A"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218F2172"/>
    <w:multiLevelType w:val="hybridMultilevel"/>
    <w:tmpl w:val="830CC8D0"/>
    <w:lvl w:ilvl="0" w:tplc="5184CA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74C96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B9E1DC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0EC708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AC0473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1F412B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614A06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6ECB10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8163A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BF7C5C"/>
    <w:multiLevelType w:val="hybridMultilevel"/>
    <w:tmpl w:val="508C6908"/>
    <w:lvl w:ilvl="0" w:tplc="E3D062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7C89C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A22C15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2F449D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1F8E7A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ED61D4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2B087A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E5E36A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B4A840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EF4226F"/>
    <w:multiLevelType w:val="hybridMultilevel"/>
    <w:tmpl w:val="8F308C74"/>
    <w:lvl w:ilvl="0" w:tplc="BB7E4A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9AF88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BB6B8B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3B4950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9A4C48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07E686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51A56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83ACB4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C623DE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92"/>
    <w:rsid w:val="000373B8"/>
    <w:rsid w:val="00220092"/>
    <w:rsid w:val="00C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79C0B-5E6D-4B12-B52B-0C145A8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2022-09-02T11:29:00Z</dcterms:created>
  <dcterms:modified xsi:type="dcterms:W3CDTF">2022-09-02T11:29:00Z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2022-09-02T00:00:00Z</vt:filetime>
  </property>
</Properties>
</file>