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3F54" w14:textId="77777777" w:rsidR="00202729" w:rsidRDefault="00202729" w:rsidP="00202729">
      <w:pPr>
        <w:jc w:val="center"/>
      </w:pPr>
      <w:r>
        <w:rPr>
          <w:b/>
          <w:bCs/>
        </w:rPr>
        <w:t>Úvěrové obchodní podmínky ČSOB</w:t>
      </w:r>
    </w:p>
    <w:p w14:paraId="34F136E2" w14:textId="77777777" w:rsidR="00202729" w:rsidRDefault="00202729" w:rsidP="00202729">
      <w:pPr>
        <w:jc w:val="center"/>
      </w:pPr>
      <w:r>
        <w:t>(„</w:t>
      </w:r>
      <w:r>
        <w:rPr>
          <w:b/>
          <w:bCs/>
        </w:rPr>
        <w:t>ÚOP</w:t>
      </w:r>
      <w:r>
        <w:t>“)</w:t>
      </w:r>
    </w:p>
    <w:p w14:paraId="24D34CE0" w14:textId="77777777" w:rsidR="00202729" w:rsidRDefault="00202729" w:rsidP="00202729">
      <w:r>
        <w:t> </w:t>
      </w:r>
    </w:p>
    <w:tbl>
      <w:tblPr>
        <w:tblW w:w="9072" w:type="dxa"/>
        <w:tblCellSpacing w:w="-10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87"/>
        <w:gridCol w:w="787"/>
        <w:gridCol w:w="7598"/>
      </w:tblGrid>
      <w:tr w:rsidR="00202729" w14:paraId="7ABCE753" w14:textId="77777777" w:rsidTr="003C2409">
        <w:trPr>
          <w:cantSplit/>
          <w:trHeight w:val="195"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8FFDF" w14:textId="77777777" w:rsidR="00202729" w:rsidRPr="00912AFA" w:rsidRDefault="00202729" w:rsidP="003C2409">
            <w:r w:rsidRPr="00912AFA">
              <w:rPr>
                <w:b/>
                <w:bCs/>
              </w:rPr>
              <w:t>Úvodní ustanovení</w:t>
            </w:r>
          </w:p>
        </w:tc>
      </w:tr>
      <w:tr w:rsidR="00202729" w14:paraId="650BA3E0" w14:textId="77777777" w:rsidTr="003C2409">
        <w:trPr>
          <w:cantSplit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0348C6" w14:textId="77777777" w:rsidR="00202729" w:rsidRPr="00912AFA" w:rsidRDefault="00202729" w:rsidP="003C2409">
            <w:r w:rsidRPr="00912AFA">
              <w:rPr>
                <w:b/>
                <w:bCs/>
              </w:rPr>
              <w:t> </w:t>
            </w:r>
          </w:p>
        </w:tc>
      </w:tr>
      <w:tr w:rsidR="00202729" w14:paraId="312F2DAF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9AC150" w14:textId="77777777" w:rsidR="00202729" w:rsidRPr="00912AFA" w:rsidRDefault="00202729" w:rsidP="003C2409">
            <w:r w:rsidRPr="00912AFA">
              <w:t>1.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6D3FB" w14:textId="77777777" w:rsidR="00202729" w:rsidRPr="00912AFA" w:rsidRDefault="00202729" w:rsidP="003C2409">
            <w:r w:rsidRPr="00912AFA">
              <w:t>ÚOP vydává Československá obchodní banka, a. s., se sídlem: Radlická 333/150, Praha 5, PSČ 150 57, IČO: 000 01 350, zapsaná v obchodním rejstříku vedeném Městským soudem v Praze, spisová značka B XXXVI 46 („</w:t>
            </w:r>
            <w:r w:rsidRPr="00912AFA">
              <w:rPr>
                <w:b/>
                <w:bCs/>
              </w:rPr>
              <w:t>Banka</w:t>
            </w:r>
            <w:r w:rsidRPr="00912AFA">
              <w:t>“).</w:t>
            </w:r>
          </w:p>
        </w:tc>
      </w:tr>
      <w:tr w:rsidR="00202729" w14:paraId="53CCFC3F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862D2" w14:textId="77777777" w:rsidR="00202729" w:rsidRPr="00912AFA" w:rsidRDefault="00202729" w:rsidP="003C2409">
            <w:r w:rsidRPr="00912AFA">
              <w:t>2.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F400BC" w14:textId="77777777" w:rsidR="00202729" w:rsidRPr="00912AFA" w:rsidRDefault="00202729" w:rsidP="003C2409">
            <w:r w:rsidRPr="00912AFA">
              <w:t>ÚOP jsou součástí smlouvy o poskytnutí příslušného bankovního produktu („</w:t>
            </w:r>
            <w:r w:rsidRPr="00912AFA">
              <w:rPr>
                <w:b/>
                <w:bCs/>
              </w:rPr>
              <w:t>Smlouva</w:t>
            </w:r>
            <w:r w:rsidRPr="00912AFA">
              <w:t>“), uzavřené mezi Bankou a Klientem.</w:t>
            </w:r>
          </w:p>
        </w:tc>
      </w:tr>
      <w:tr w:rsidR="00202729" w14:paraId="25795798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5CF74" w14:textId="77777777" w:rsidR="00202729" w:rsidRPr="00912AFA" w:rsidRDefault="00202729" w:rsidP="003C2409">
            <w:r w:rsidRPr="00912AFA">
              <w:t>3.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49BC9" w14:textId="77777777" w:rsidR="00202729" w:rsidRPr="00912AFA" w:rsidRDefault="00202729" w:rsidP="003C2409">
            <w:r w:rsidRPr="00912AFA">
              <w:t>Nestanoví-li ÚOP jinak, termíny definované ve Smlouvě mají stejný význam i v ÚOP; bankovní záruka, akreditiv a jiný platební či zajišťovací instrument dále jen „</w:t>
            </w:r>
            <w:r w:rsidRPr="00912AFA">
              <w:rPr>
                <w:b/>
                <w:bCs/>
              </w:rPr>
              <w:t>Instrument</w:t>
            </w:r>
            <w:r w:rsidRPr="00912AFA">
              <w:t>“.</w:t>
            </w:r>
          </w:p>
        </w:tc>
      </w:tr>
      <w:tr w:rsidR="00202729" w14:paraId="2B0241A6" w14:textId="77777777" w:rsidTr="003C2409">
        <w:trPr>
          <w:cantSplit/>
          <w:trHeight w:val="195"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23970" w14:textId="77777777" w:rsidR="00202729" w:rsidRPr="00912AFA" w:rsidRDefault="00202729" w:rsidP="003C2409">
            <w:r w:rsidRPr="00912AFA">
              <w:t> </w:t>
            </w:r>
          </w:p>
        </w:tc>
      </w:tr>
      <w:tr w:rsidR="00202729" w14:paraId="7DB228CB" w14:textId="77777777" w:rsidTr="003C2409">
        <w:trPr>
          <w:cantSplit/>
          <w:trHeight w:val="195"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D4D7B" w14:textId="77777777" w:rsidR="00202729" w:rsidRPr="00912AFA" w:rsidRDefault="00202729" w:rsidP="003C2409">
            <w:r w:rsidRPr="00912AFA">
              <w:rPr>
                <w:b/>
                <w:bCs/>
              </w:rPr>
              <w:t>Úvěr / Limit a čerpání</w:t>
            </w:r>
          </w:p>
        </w:tc>
      </w:tr>
      <w:tr w:rsidR="00202729" w14:paraId="7B5F6D2A" w14:textId="77777777" w:rsidTr="003C2409">
        <w:trPr>
          <w:cantSplit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3EE08" w14:textId="77777777" w:rsidR="00202729" w:rsidRPr="00912AFA" w:rsidRDefault="00202729" w:rsidP="003C2409">
            <w:r w:rsidRPr="00912AFA">
              <w:rPr>
                <w:b/>
                <w:bCs/>
              </w:rPr>
              <w:t> </w:t>
            </w:r>
          </w:p>
        </w:tc>
      </w:tr>
      <w:tr w:rsidR="00202729" w14:paraId="5EC886AC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EBD04F" w14:textId="77777777" w:rsidR="00202729" w:rsidRPr="00912AFA" w:rsidRDefault="00202729" w:rsidP="003C2409">
            <w:r w:rsidRPr="00912AFA">
              <w:t>4.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3177A" w14:textId="77777777" w:rsidR="00202729" w:rsidRPr="00912AFA" w:rsidRDefault="00202729" w:rsidP="003C2409">
            <w:r w:rsidRPr="00912AFA">
              <w:t>Obecné podmínky čerpání podle ÚOP jsou splněny, pokud:</w:t>
            </w:r>
          </w:p>
        </w:tc>
      </w:tr>
      <w:tr w:rsidR="00202729" w14:paraId="0E617471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36F4B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315EEC" w14:textId="77777777" w:rsidR="00202729" w:rsidRPr="00912AFA" w:rsidRDefault="00202729" w:rsidP="003C2409">
            <w:r w:rsidRPr="00912AFA">
              <w:t>a)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352EE" w14:textId="77777777" w:rsidR="00202729" w:rsidRPr="00912AFA" w:rsidRDefault="00202729" w:rsidP="003C2409">
            <w:r w:rsidRPr="00912AFA">
              <w:t>byla Smlouva ze strany Klienta řádně podepsána a Banka obdržela všechny smluvně dohodnuté podklady a dokumenty,</w:t>
            </w:r>
          </w:p>
        </w:tc>
      </w:tr>
      <w:tr w:rsidR="00202729" w14:paraId="5A326D61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CCFD1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7D6AAE" w14:textId="77777777" w:rsidR="00202729" w:rsidRPr="00912AFA" w:rsidRDefault="00202729" w:rsidP="003C2409">
            <w:r w:rsidRPr="00912AFA">
              <w:t>b)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26250" w14:textId="77777777" w:rsidR="00202729" w:rsidRPr="00912AFA" w:rsidRDefault="00202729" w:rsidP="003C2409">
            <w:r w:rsidRPr="00912AFA">
              <w:t>byly zaplaceny veškeré Smlouvou stanovené poplatky v dohodnutých dnech splatnosti a</w:t>
            </w:r>
          </w:p>
        </w:tc>
      </w:tr>
      <w:tr w:rsidR="00202729" w14:paraId="0FC7E1F3" w14:textId="77777777" w:rsidTr="003C2409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B05AB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354C62" w14:textId="77777777" w:rsidR="00202729" w:rsidRPr="00912AFA" w:rsidRDefault="00202729" w:rsidP="003C2409">
            <w:r w:rsidRPr="00912AFA">
              <w:t>c)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02E95" w14:textId="77777777" w:rsidR="00202729" w:rsidRPr="00912AFA" w:rsidRDefault="00202729" w:rsidP="003C2409">
            <w:r w:rsidRPr="00912AFA">
              <w:t>byl doložen vznik zajištění a věcných práv v souladu se zákonem a Smlouvou.</w:t>
            </w:r>
          </w:p>
        </w:tc>
      </w:tr>
      <w:tr w:rsidR="00202729" w14:paraId="7B89F9F8" w14:textId="77777777" w:rsidTr="003C2409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3D643" w14:textId="77777777" w:rsidR="00202729" w:rsidRPr="00912AFA" w:rsidRDefault="00202729" w:rsidP="003C2409">
            <w:r w:rsidRPr="00912AFA">
              <w:t>5.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F778C" w14:textId="77777777" w:rsidR="00202729" w:rsidRPr="00912AFA" w:rsidRDefault="00202729" w:rsidP="003C2409">
            <w:r w:rsidRPr="00912AFA">
              <w:t>Je-li ve Smlouvě sjednáno účelové čerpání Úvěru či Limitu, může být čerpání pouze v souladu s účelem dohodnutým ve Smlouvě. Banka je oprávněna posuzovat účelovost každého dílčího čerpání Úvěru a Limitu a může odmítnout každé čerpání, které nebude řádně doloženo nebo kde vzniknou pochybnosti o účelovosti požadovaného (či kteréhokoliv dřívějšího) čerpání dle Smlouvy.</w:t>
            </w:r>
          </w:p>
        </w:tc>
      </w:tr>
      <w:tr w:rsidR="00202729" w14:paraId="72AD63AC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479434" w14:textId="77777777" w:rsidR="00202729" w:rsidRPr="00912AFA" w:rsidRDefault="00202729" w:rsidP="003C2409">
            <w:r w:rsidRPr="00912AFA">
              <w:t>6.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D8B80" w14:textId="77777777" w:rsidR="00202729" w:rsidRPr="00912AFA" w:rsidRDefault="00202729" w:rsidP="003C2409">
            <w:r w:rsidRPr="00912AFA">
              <w:t>V případě úmrtí Klienta - fyzické osoby, kterému byl poskytnut Úvěr nebo Limit, je Banka oprávněna čerpání Úvěru či Limitu zastavit.</w:t>
            </w:r>
          </w:p>
        </w:tc>
      </w:tr>
      <w:tr w:rsidR="00202729" w14:paraId="1EFB2761" w14:textId="77777777" w:rsidTr="003C2409">
        <w:trPr>
          <w:cantSplit/>
          <w:trHeight w:val="195"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5A3D7" w14:textId="77777777" w:rsidR="00202729" w:rsidRPr="00912AFA" w:rsidRDefault="00202729" w:rsidP="003C2409">
            <w:r w:rsidRPr="00912AFA">
              <w:t> </w:t>
            </w:r>
          </w:p>
        </w:tc>
      </w:tr>
      <w:tr w:rsidR="00202729" w14:paraId="5950395D" w14:textId="77777777" w:rsidTr="003C2409">
        <w:trPr>
          <w:cantSplit/>
          <w:trHeight w:val="195"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27787" w14:textId="77777777" w:rsidR="00202729" w:rsidRPr="00912AFA" w:rsidRDefault="00202729" w:rsidP="003C2409">
            <w:r w:rsidRPr="00912AFA">
              <w:rPr>
                <w:b/>
                <w:bCs/>
              </w:rPr>
              <w:t>Úroky a poplatky, splácení</w:t>
            </w:r>
          </w:p>
        </w:tc>
      </w:tr>
      <w:tr w:rsidR="00202729" w14:paraId="52D3D323" w14:textId="77777777" w:rsidTr="003C2409">
        <w:trPr>
          <w:cantSplit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599A2" w14:textId="77777777" w:rsidR="00202729" w:rsidRPr="00912AFA" w:rsidRDefault="00202729" w:rsidP="003C2409">
            <w:r w:rsidRPr="00912AFA">
              <w:rPr>
                <w:b/>
                <w:bCs/>
              </w:rPr>
              <w:t> </w:t>
            </w:r>
          </w:p>
        </w:tc>
      </w:tr>
      <w:tr w:rsidR="00202729" w14:paraId="774C2FBE" w14:textId="77777777" w:rsidTr="003C2409">
        <w:trPr>
          <w:cantSplit/>
          <w:trHeight w:val="112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7C626" w14:textId="77777777" w:rsidR="00202729" w:rsidRPr="00912AFA" w:rsidRDefault="00202729" w:rsidP="003C2409">
            <w:r w:rsidRPr="00912AFA">
              <w:t>7.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970E0" w14:textId="77777777" w:rsidR="00202729" w:rsidRPr="00912AFA" w:rsidRDefault="00202729" w:rsidP="003C2409">
            <w:r w:rsidRPr="00912AFA">
              <w:t>Není-li možné stanovit pohyblivou úrokovou sazbu s přechodnou fixací, resp. pohyblivou úrokovou sazbu při úročení na bázi O/N *IBOR, resp. €STR v případě čerpání v EUR, podle Smlouvy z důvodu dočasného – krátkodobého neuvedení referenční úrokové sazby v informačních médiích, použije se úroková sazba s přechodnou fixací, která se skládá z průměru kotací (zjištěných Bankou) na mezibankovním peněžním trhu nejméně tří referenčních bank, a to vždy 2 pracovní dny před prvním dnem příslušného období fixace, resp. dílčího úvěrového období při úročení na bázi *IBOR, resp. vždy v příslušný den, kdy je Úvěr čerpán, při úročení na bázi O/N*IBOR, resp. €STR v případě čerpání v EUR (pro nepracovní dny bude použita sazba kotovaná pro nejbližší předcházející pracovní den), a marže (přirážky) v pevné výši sjednané ve Smlouvě. Není-li možné stanovit ani tímto způsobem úrokovou sazbu z důvodu nekotování na mezibankovním peněžním trhu, použije se úroková sazba s přechodnou fixací, resp. pohyblivá sazba, skládající se z úrokové sazby ve výši nákladů Banky na financování Úvěru z jakýchkoli jí rozumně vybraných zdrojů peněžních prostředků včetně nákladů na zajištění rizik a marže v pevné výši uvedené ve Smlouvě. Klient je povinen takto stanovené úroky Bance uhradit nebo předčasně splatit své dluhy z poskytnutého Úvěru, a to do 30 dnů ode dne doručení oznámení Banky o výši stanovené úrokové sazby (přičemž v případě předčasného splacení Úvěru pak pro období, než předčasné splacení nastane, platí úroková sazba stanovená kotací Banky). V případě, že by úroková sazba stanovená výše sjednaným způsobem byla menší než nula, použije se pro výpočet úročení podle Smlouvy úroková sazba v hodnotě nula.</w:t>
            </w:r>
          </w:p>
        </w:tc>
      </w:tr>
      <w:tr w:rsidR="00202729" w14:paraId="1838DCFF" w14:textId="77777777" w:rsidTr="003C2409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07B4B" w14:textId="77777777" w:rsidR="00202729" w:rsidRPr="00912AFA" w:rsidRDefault="00202729" w:rsidP="003C2409">
            <w:r w:rsidRPr="00912AFA">
              <w:lastRenderedPageBreak/>
              <w:t>8.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6BC0C" w14:textId="77777777" w:rsidR="00202729" w:rsidRPr="00912AFA" w:rsidRDefault="00202729" w:rsidP="003C2409">
            <w:r w:rsidRPr="00912AFA">
              <w:t>Není-li možné stanovit pohyblivou úrokovou sazbu podle Smlouvy z důvodu, že (i) ve Smlouvě uvedená referenční úroková sazba („</w:t>
            </w:r>
            <w:r w:rsidRPr="00912AFA">
              <w:rPr>
                <w:b/>
                <w:bCs/>
              </w:rPr>
              <w:t>Příslušná referenční hodnota</w:t>
            </w:r>
            <w:r w:rsidRPr="00912AFA">
              <w:t>“) přestane být trvale či dlouhodobě (na dobu neurčitou) k dispozici, (</w:t>
            </w:r>
            <w:proofErr w:type="spellStart"/>
            <w:r w:rsidRPr="00912AFA">
              <w:t>ii</w:t>
            </w:r>
            <w:proofErr w:type="spellEnd"/>
            <w:r w:rsidRPr="00912AFA">
              <w:t>) se stane protiprávním používat Příslušnou referenční hodnotu, (</w:t>
            </w:r>
            <w:proofErr w:type="spellStart"/>
            <w:r w:rsidRPr="00912AFA">
              <w:t>iii</w:t>
            </w:r>
            <w:proofErr w:type="spellEnd"/>
            <w:r w:rsidRPr="00912AFA">
              <w:t>) podle názoru administrátora referenční hodnoty (jak je definován v nařízení Evropského parlamentu a Rady (EU) 2016/1011 ze dne 8. června 2016) se podstatným způsobem změní metodika pro výpočet Příslušné referenční hodnoty a/nebo (</w:t>
            </w:r>
            <w:proofErr w:type="spellStart"/>
            <w:r w:rsidRPr="00912AFA">
              <w:t>iv</w:t>
            </w:r>
            <w:proofErr w:type="spellEnd"/>
            <w:r w:rsidRPr="00912AFA">
              <w:t>) centrální banka či jiný orgán dohledu nebo jimi nominovaný subjekt či pracovní skupina („</w:t>
            </w:r>
            <w:r w:rsidRPr="00912AFA">
              <w:rPr>
                <w:b/>
                <w:bCs/>
              </w:rPr>
              <w:t>Příslušný orgán</w:t>
            </w:r>
            <w:r w:rsidRPr="00912AFA">
              <w:t>“) oznámí, že Příslušná referenční hodnota již není reprezentativní, bude pro účely stanovení úrokové sazby Příslušná referenční hodnota nahrazena Náhradní referenční hodnotou (jak je definována níže) a použije se pohyblivá úroková sazba s přechodnou fixací, resp. pohyblivá úroková sazba při úročení na bázi O/N, která je součtem Náhradní referenční hodnoty upravené o vyrovnávací odchylku a marže v pevné výši uvedené ve Smlouvě, přičemž Klient je povinen takto stanovené úroky Bance uhradit nebo předčasně splatit své dluhy z poskytnutého Úvěru, a to do 30 dnů ode dne doručení oznámení Banky o výši takto stanovené úrokové sazby (v případě předčasného splacení Úvěru pak pro období, než předčasné splacení nastane, platí takto stanovená úroková sazba). V případě, že by úroková sazba stanovená výše sjednaným způsobem byla menší než nula, použije se pro výpočet úročení podle Smlouvy úroková sazba v hodnotě nula. Náhradní referenční hodnota („</w:t>
            </w:r>
            <w:r w:rsidRPr="00912AFA">
              <w:rPr>
                <w:b/>
                <w:bCs/>
              </w:rPr>
              <w:t>Náhradní referenční hodnota</w:t>
            </w:r>
            <w:r w:rsidRPr="00912AFA">
              <w:t>“) je referenční úroková sazba, (i) kterou za účelem nahrazení Příslušné referenční hodnoty doporučí Příslušný orgán nebo, (</w:t>
            </w:r>
            <w:proofErr w:type="spellStart"/>
            <w:r w:rsidRPr="00912AFA">
              <w:t>ii</w:t>
            </w:r>
            <w:proofErr w:type="spellEnd"/>
            <w:r w:rsidRPr="00912AFA">
              <w:t>) nelze-li takto Náhradní referenční hodnotu stanovit, hodnota, která je obvykle považována za nástupce či náhradu Příslušné referenční hodnoty v souladu s převažující či vznikající tržní praxí u srovnatelných transakcí v téže měně nebo (</w:t>
            </w:r>
            <w:proofErr w:type="spellStart"/>
            <w:r w:rsidRPr="00912AFA">
              <w:t>iii</w:t>
            </w:r>
            <w:proofErr w:type="spellEnd"/>
            <w:r w:rsidRPr="00912AFA">
              <w:t>) nelze-li ani takto Náhradní referenční hodnotu stanovit, referenční hodnota, která je Bankou vybrána coby nejsrovnatelnější s Příslušnou referenční hodnotou. Náhradní referenční hodnota bude upravena o případnou vyrovnávací odchylku s cílem v nejvyšší reálně možné míře vyloučit vznik ekonomického znevýhodnění či zvýhodnění Smluvních stran plynoucího z nahrazení Příslušné referenční hodnoty Náhradní referenční hodnotou. Touto vyrovnávací odchylkou bude (i) vyrovnávací odchylka doporučená Příslušným orgánem, nebo (</w:t>
            </w:r>
            <w:proofErr w:type="spellStart"/>
            <w:r w:rsidRPr="00912AFA">
              <w:t>ii</w:t>
            </w:r>
            <w:proofErr w:type="spellEnd"/>
            <w:r w:rsidRPr="00912AFA">
              <w:t>) nelze-li ji takto stanovit, vyrovnávací odchylka obvykle používaná v souladu s převažující či vznikající tržní praxí u srovnatelných transakcí v téže měně, nebo (</w:t>
            </w:r>
            <w:proofErr w:type="spellStart"/>
            <w:r w:rsidRPr="00912AFA">
              <w:t>iii</w:t>
            </w:r>
            <w:proofErr w:type="spellEnd"/>
            <w:r w:rsidRPr="00912AFA">
              <w:t>) nelze-li ji ani takto stanovit, vyrovnávací odchylka u transakcí s deriváty. Banka je oprávněna provést technické změny Smlouvy, které budou nezbytné pro použití Náhradní referenční hodnoty upravené o vyrovnávací odchylku, včetně změny délky úrokových období, doby a frekvence stanovení úrokových sazeb či data splatnosti úroků, a sdělí je bez zbytečného odkladu Klientovi společně s informací o tom, od kdy se Náhradní referenční hodnota a případné nezbytné změny Smlouvy použijí. Náhradní referenční hodnota i uvedené technické změny Smlouvy budou bez dalšího závazné pro Smluvní strany, aniž by s nimi musel Klient vyjádřit výslovný souhlas.</w:t>
            </w:r>
          </w:p>
        </w:tc>
      </w:tr>
      <w:tr w:rsidR="00202729" w14:paraId="2B2E2537" w14:textId="77777777" w:rsidTr="003C2409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82E4CC" w14:textId="77777777" w:rsidR="00202729" w:rsidRPr="00912AFA" w:rsidRDefault="00202729" w:rsidP="003C2409">
            <w:r w:rsidRPr="00912AFA">
              <w:t>9.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904EDC" w14:textId="77777777" w:rsidR="00202729" w:rsidRPr="00912AFA" w:rsidRDefault="00202729" w:rsidP="003C2409">
            <w:r w:rsidRPr="00912AFA">
              <w:t>Jakoukoli peněžitou pohledávku Banky ze Smlouvy či se Smlouvou související je Banka oprávněna ode dne její splatnosti inkasovat z účtu či účtů Klienta, uvedených ve Smlouvě. Klient je povinen zajistit, aby byl na tomto účtu/těchto účtech dostatek peněžních prostředků k tomuto inkasu. Nepostačuje-li zůstatek na tomto účtu/těchto účtech k tomuto inkasu, je Banka oprávněna inkasovat dlužnou částku z jakéhokoli jiného účtu Klienta, vedeného u Banky.</w:t>
            </w:r>
          </w:p>
        </w:tc>
      </w:tr>
      <w:tr w:rsidR="00202729" w14:paraId="36BAB384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679E9" w14:textId="77777777" w:rsidR="00202729" w:rsidRPr="00912AFA" w:rsidRDefault="00202729" w:rsidP="003C2409">
            <w:r w:rsidRPr="00912AFA">
              <w:t>10.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8FABB3" w14:textId="77777777" w:rsidR="00202729" w:rsidRPr="00912AFA" w:rsidRDefault="00202729" w:rsidP="003C2409">
            <w:r w:rsidRPr="00912AFA">
              <w:t>Inkasuje-li (nebo obdrží-li jinak) Banka v souvislosti se Smlouvou jakoukoli platbu, která nepostačuje k plné úhradě dlužné částky podle Smlouvy, Banka stanoví, na úhradu jaké dlužné částky podle Smlouvy či její části se tato platba použije.</w:t>
            </w:r>
          </w:p>
        </w:tc>
      </w:tr>
      <w:tr w:rsidR="00202729" w14:paraId="1730D50A" w14:textId="77777777" w:rsidTr="003C2409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59F5A" w14:textId="77777777" w:rsidR="00202729" w:rsidRPr="00912AFA" w:rsidRDefault="00202729" w:rsidP="003C2409">
            <w:r w:rsidRPr="00912AFA">
              <w:t>11.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3F15B7" w14:textId="77777777" w:rsidR="00202729" w:rsidRPr="00912AFA" w:rsidRDefault="00202729" w:rsidP="003C2409">
            <w:r w:rsidRPr="00912AFA">
              <w:t>Z každé splatné a nezaplacené částky podle Smlouvy (kromě úroku) se Klient zavazuje zaplatit Bance úrok z prodlení ve výši sjednané ve Smlouvě. Splátky jistiny Úvěru po dni splatnosti budou nadále úročeny úrokovou sazbou sjednanou ve Smlouvě a k ní navíc sjednanou sazbou úroku z prodlení. Pohledávky vyplývající z Limitů a Instrumentů, poplatky a jiné částky neuhrazené ve dnech splatnosti budou úročeny jen sazbou úroku z prodlení. Úrok z neuhrazené jistiny v prodlení i úrok z prodlení je splatný ihned.</w:t>
            </w:r>
          </w:p>
        </w:tc>
      </w:tr>
      <w:tr w:rsidR="00202729" w14:paraId="5AB35EBA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9A604" w14:textId="77777777" w:rsidR="00202729" w:rsidRPr="00912AFA" w:rsidRDefault="00202729" w:rsidP="003C2409">
            <w:r w:rsidRPr="00912AFA">
              <w:t>12.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12C8EF" w14:textId="77777777" w:rsidR="00202729" w:rsidRPr="00912AFA" w:rsidRDefault="00202729" w:rsidP="003C2409">
            <w:r w:rsidRPr="00912AFA">
              <w:t>Výpočet veškerých úroků podle Smlouvy (včetně úroku z prodlení) provádí Banka na základě roku o 360 dnech (365 dnů pro GBP) a měsících o skutečném počtu kalendářních dnů (v případě anuitních splátek o 30 dnech).</w:t>
            </w:r>
          </w:p>
        </w:tc>
      </w:tr>
      <w:tr w:rsidR="00202729" w14:paraId="615F1990" w14:textId="77777777" w:rsidTr="003C2409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5E09C" w14:textId="77777777" w:rsidR="00202729" w:rsidRPr="00912AFA" w:rsidRDefault="00202729" w:rsidP="003C2409">
            <w:r w:rsidRPr="00912AFA">
              <w:lastRenderedPageBreak/>
              <w:t>13.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68EBF" w14:textId="77777777" w:rsidR="00202729" w:rsidRPr="00912AFA" w:rsidRDefault="00202729" w:rsidP="003C2409">
            <w:r w:rsidRPr="00912AFA">
              <w:t xml:space="preserve">Sazbou *IBOR v ujednání Smlouvy o úročení (používá-li Smlouva *IBOR) je referenční úroková sazba mezibankovního peněžního trhu pro příslušnou měnu (PRIBOR v případě Kč, EURIBOR u dluhů v EUR, resp. LIBOR u dluhů v USD, GBP, CHF, příp. dalších měnách) ve výši uvedené pro příslušné časové období v informační síti REUTERS, popřípadě v jiných informačních mediích, a to vždy 2 pracovní dny před prvním dnem příslušného dílčího úvěrového období, období fixace či jiného časového období (jak jsou tato období sjednána ve Smlouvě) při úročení na bázi *IBOR, resp. vždy v příslušný den, kdy je Úvěr čerpán (pro nepracovní dny v České republice anebo na příslušném zahraničním trhu bude použita sazba vyhlášená pro nejbližší předcházející pracovní den) při úročení na bázi O/N*IBOR. Sazbou €STR v ujednání Smlouvy o úročení (používá-li Smlouva €STR) je 1-denní referenční (O/N = </w:t>
            </w:r>
            <w:proofErr w:type="spellStart"/>
            <w:r w:rsidRPr="00912AFA">
              <w:t>overnight</w:t>
            </w:r>
            <w:proofErr w:type="spellEnd"/>
            <w:r w:rsidRPr="00912AFA">
              <w:t>) úroková sazba mezibankovního peněžního trhu pro měnu EUR vypočtená Evropskou centrální bankou („</w:t>
            </w:r>
            <w:r w:rsidRPr="00912AFA">
              <w:rPr>
                <w:b/>
                <w:bCs/>
              </w:rPr>
              <w:t>ECB</w:t>
            </w:r>
            <w:r w:rsidRPr="00912AFA">
              <w:t>“) (nebo jakoukoli jinou entitou, která převzala správu této sazby) ve výši uvedené v informační síti REUTERS (na příslušné obrazovce nejpozději v 09:00 středoevropského času), vždy v příslušný den, kdy je vyčerpána jakákoli část Úvěrového limitu (pro nepracovní dny v ČR a pro nebankovní dny ECB bude použita sazba vyhlášená pro nejbližší předcházející pracovní / bankovní den).</w:t>
            </w:r>
          </w:p>
        </w:tc>
      </w:tr>
      <w:tr w:rsidR="00202729" w14:paraId="0CDF13B8" w14:textId="77777777" w:rsidTr="003C2409">
        <w:trPr>
          <w:cantSplit/>
          <w:trHeight w:val="180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4A3E6" w14:textId="77777777" w:rsidR="00202729" w:rsidRPr="00912AFA" w:rsidRDefault="00202729" w:rsidP="003C2409">
            <w:r w:rsidRPr="00912AFA">
              <w:t>14.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F06853" w14:textId="77777777" w:rsidR="00202729" w:rsidRPr="00912AFA" w:rsidRDefault="00202729" w:rsidP="003C2409">
            <w:r w:rsidRPr="00912AFA">
              <w:t>Nestanoví-li Smlouva jinak, je Klient oprávněn předčasně splatit peněžní prostředky z Úvěru  pouze po předchozí písemné dohodě s Bankou a po zaplacení poplatku, sjednaného v takové dohodě s tím, že jakékoli předčasně splacené peněžní prostředky z Úvěru nemohou být znovu čerpány.</w:t>
            </w:r>
          </w:p>
        </w:tc>
      </w:tr>
      <w:tr w:rsidR="00202729" w14:paraId="64CC3A39" w14:textId="77777777" w:rsidTr="003C2409">
        <w:trPr>
          <w:cantSplit/>
          <w:trHeight w:val="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42BF8" w14:textId="77777777" w:rsidR="00202729" w:rsidRPr="00912AFA" w:rsidRDefault="00202729" w:rsidP="003C2409">
            <w:r w:rsidRPr="00912AFA">
              <w:t>15.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17B6C9" w14:textId="77777777" w:rsidR="00202729" w:rsidRPr="00912AFA" w:rsidRDefault="00202729" w:rsidP="003C2409">
            <w:r w:rsidRPr="00912AFA">
              <w:t>Přepočet jedné měny do jiné měny provádí Banka kurzem podle kurzovního lístku Banky platného v okamžik provedení příslušného přepočtu měn.</w:t>
            </w:r>
          </w:p>
        </w:tc>
      </w:tr>
      <w:tr w:rsidR="00202729" w14:paraId="52ED07DF" w14:textId="77777777" w:rsidTr="003C2409">
        <w:trPr>
          <w:cantSplit/>
          <w:trHeight w:val="195"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28AA1" w14:textId="77777777" w:rsidR="00202729" w:rsidRPr="00912AFA" w:rsidRDefault="00202729" w:rsidP="003C2409">
            <w:r w:rsidRPr="00912AFA">
              <w:t> </w:t>
            </w:r>
          </w:p>
        </w:tc>
      </w:tr>
      <w:tr w:rsidR="00202729" w14:paraId="2D7EE2AD" w14:textId="77777777" w:rsidTr="003C2409">
        <w:trPr>
          <w:cantSplit/>
          <w:trHeight w:val="195"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3D77E" w14:textId="77777777" w:rsidR="00202729" w:rsidRPr="00912AFA" w:rsidRDefault="00202729" w:rsidP="003C2409">
            <w:r w:rsidRPr="00912AFA">
              <w:rPr>
                <w:b/>
                <w:bCs/>
              </w:rPr>
              <w:t>Závazky</w:t>
            </w:r>
          </w:p>
        </w:tc>
      </w:tr>
      <w:tr w:rsidR="00202729" w14:paraId="3D488F8A" w14:textId="77777777" w:rsidTr="003C2409">
        <w:trPr>
          <w:cantSplit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AE1E2" w14:textId="77777777" w:rsidR="00202729" w:rsidRPr="00912AFA" w:rsidRDefault="00202729" w:rsidP="003C2409">
            <w:r w:rsidRPr="00912AFA">
              <w:rPr>
                <w:b/>
                <w:bCs/>
              </w:rPr>
              <w:t> </w:t>
            </w:r>
          </w:p>
        </w:tc>
      </w:tr>
      <w:tr w:rsidR="00202729" w14:paraId="41F6D812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B78577" w14:textId="77777777" w:rsidR="00202729" w:rsidRPr="00912AFA" w:rsidRDefault="00202729" w:rsidP="003C2409">
            <w:r w:rsidRPr="00912AFA">
              <w:t>16.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7E206" w14:textId="77777777" w:rsidR="00202729" w:rsidRPr="00912AFA" w:rsidRDefault="00202729" w:rsidP="003C2409">
            <w:r w:rsidRPr="00912AFA">
              <w:t>Klient se zavazuje, že od uzavření Smlouvy do zániku veškerých existujících, budoucích či podmíněných dluhů ze Smlouvy:</w:t>
            </w:r>
          </w:p>
        </w:tc>
      </w:tr>
      <w:tr w:rsidR="00202729" w14:paraId="5B5E7056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C06DA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FAAA4" w14:textId="77777777" w:rsidR="00202729" w:rsidRPr="00912AFA" w:rsidRDefault="00202729" w:rsidP="003C2409">
            <w:r w:rsidRPr="00912AFA">
              <w:t>a)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2406E" w14:textId="77777777" w:rsidR="00202729" w:rsidRPr="00912AFA" w:rsidRDefault="00202729" w:rsidP="003C2409">
            <w:r w:rsidRPr="00912AFA">
              <w:t>bude mít k dispozici veškerá vyjádření, povolení a jiná rozhodnutí, nezbytná k provozování činnosti Klienta a učiní vše nezbytné, aby tato vyjádření, povolení či rozhodnutí byla platná a účinná a nebyla porušována,</w:t>
            </w:r>
          </w:p>
        </w:tc>
      </w:tr>
      <w:tr w:rsidR="00202729" w14:paraId="2CCD7191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086BCF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CB280" w14:textId="77777777" w:rsidR="00202729" w:rsidRPr="00912AFA" w:rsidRDefault="00202729" w:rsidP="003C2409">
            <w:r w:rsidRPr="00912AFA">
              <w:t>b)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8AB39" w14:textId="77777777" w:rsidR="00202729" w:rsidRPr="00912AFA" w:rsidRDefault="00202729" w:rsidP="003C2409">
            <w:r w:rsidRPr="00912AFA">
              <w:t>zajistí, aby plnění závazků Klienta ze Smlouvy nebylo v rozporu s jinými povinnostmi Klienta, ať zákonnými nebo smluvními,</w:t>
            </w:r>
          </w:p>
        </w:tc>
      </w:tr>
      <w:tr w:rsidR="00202729" w14:paraId="04C01F71" w14:textId="77777777" w:rsidTr="003C2409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A8291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BFEC09" w14:textId="77777777" w:rsidR="00202729" w:rsidRPr="00912AFA" w:rsidRDefault="00202729" w:rsidP="003C2409">
            <w:r w:rsidRPr="00912AFA">
              <w:t>c)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EFCAC" w14:textId="77777777" w:rsidR="00202729" w:rsidRPr="00912AFA" w:rsidRDefault="00202729" w:rsidP="003C2409">
            <w:r w:rsidRPr="00912AFA">
              <w:t>zajistí, aby údaje uvedené v Prohlášení o vzájemných vazbách k jiným subjektům a doplňující informace, jehož kopie tvoří Přílohu Smlouvy („</w:t>
            </w:r>
            <w:r w:rsidRPr="00912AFA">
              <w:rPr>
                <w:b/>
                <w:bCs/>
              </w:rPr>
              <w:t>Prohlášení</w:t>
            </w:r>
            <w:r w:rsidRPr="00912AFA">
              <w:t>“), byly pravdivé, aktuální a úplné, a informuje Banku písemnou formou neprodleně, nejpozději však do 14 dní poté o tom, že došlo ke změnám skutečností uvedených v Prohlášení,</w:t>
            </w:r>
          </w:p>
        </w:tc>
      </w:tr>
      <w:tr w:rsidR="00202729" w14:paraId="5ADD2FFE" w14:textId="77777777" w:rsidTr="003C2409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2D411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E7BDA" w14:textId="77777777" w:rsidR="00202729" w:rsidRPr="00912AFA" w:rsidRDefault="00202729" w:rsidP="003C2409">
            <w:r w:rsidRPr="00912AFA">
              <w:t>d)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20E58" w14:textId="77777777" w:rsidR="00202729" w:rsidRPr="00912AFA" w:rsidRDefault="00202729" w:rsidP="003C2409">
            <w:r w:rsidRPr="00912AFA">
              <w:t xml:space="preserve">zajistí rovné a spravedlivé postavení Banky vůči ostatním svým věřitelům, </w:t>
            </w:r>
            <w:proofErr w:type="spellStart"/>
            <w:r w:rsidRPr="00912AFA">
              <w:t>neupřednostněným</w:t>
            </w:r>
            <w:proofErr w:type="spellEnd"/>
            <w:r w:rsidRPr="00912AFA">
              <w:t xml:space="preserve"> ze zákona, zejména neupřednostní platby ve prospěch ostatních svých věřitelů před placením dluhů Bance a neposkytne žádnému z věřitelů výhodnější práva (včetně zajištění), než byla poskytnuta Bance podle Smlouvy,</w:t>
            </w:r>
          </w:p>
        </w:tc>
      </w:tr>
      <w:tr w:rsidR="00202729" w14:paraId="27C02745" w14:textId="77777777" w:rsidTr="003C2409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6FDEF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C8B1C9" w14:textId="77777777" w:rsidR="00202729" w:rsidRPr="00912AFA" w:rsidRDefault="00202729" w:rsidP="003C2409">
            <w:r w:rsidRPr="00912AFA">
              <w:t>e)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93E85" w14:textId="77777777" w:rsidR="00202729" w:rsidRPr="00912AFA" w:rsidRDefault="00202729" w:rsidP="003C2409">
            <w:r w:rsidRPr="00912AFA">
              <w:t>použije peněžní prostředky čerpané podle Smlouvy, resp. bude čerpat Limit pouze k účelu uvedenému ve Smlouvě, nikdy však na financování politických stran, nezákonných nebo společensky nepřijatelných činností (např. provoz kasin, heren, výroba či obchodování s omamnými a psychotropními látkami, zbraněmi, municí, vojenskou výzbrojí a výstrojí a souvisejícími technologiemi),</w:t>
            </w:r>
          </w:p>
        </w:tc>
      </w:tr>
      <w:tr w:rsidR="00202729" w14:paraId="1CB194D9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F4954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CC508" w14:textId="77777777" w:rsidR="00202729" w:rsidRPr="00912AFA" w:rsidRDefault="00202729" w:rsidP="003C2409">
            <w:r w:rsidRPr="00912AFA">
              <w:t>f)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F6925" w14:textId="77777777" w:rsidR="00202729" w:rsidRPr="00912AFA" w:rsidRDefault="00202729" w:rsidP="003C2409">
            <w:r w:rsidRPr="00912AFA">
              <w:t>bude Banku písemně informovat o zastavení svého majetku nebo jeho části nebo o tom, že umožnil vznik jakéhokoli věcného práva, opce či jiného práva třetí osoby či sjednal smluvní ujednání, které by mohlo vést k takovémuto zatížení jeho majetku, a to neprodleně, nejpozději však do 14 dní poté,</w:t>
            </w:r>
          </w:p>
        </w:tc>
      </w:tr>
      <w:tr w:rsidR="00202729" w14:paraId="4F7FCA82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80B97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199FD" w14:textId="77777777" w:rsidR="00202729" w:rsidRPr="00912AFA" w:rsidRDefault="00202729" w:rsidP="003C2409">
            <w:r w:rsidRPr="00912AFA">
              <w:t>g)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0D5B99" w14:textId="77777777" w:rsidR="00202729" w:rsidRPr="00912AFA" w:rsidRDefault="00202729" w:rsidP="003C2409">
            <w:r w:rsidRPr="00912AFA">
              <w:t>bude udržovat svůj majetek řádně pojištěn,</w:t>
            </w:r>
          </w:p>
        </w:tc>
      </w:tr>
      <w:tr w:rsidR="00202729" w14:paraId="7C97CCF0" w14:textId="77777777" w:rsidTr="003C2409">
        <w:trPr>
          <w:cantSplit/>
          <w:trHeight w:val="900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8B377" w14:textId="77777777" w:rsidR="00202729" w:rsidRPr="00912AFA" w:rsidRDefault="00202729" w:rsidP="003C2409">
            <w:r w:rsidRPr="00912AFA">
              <w:lastRenderedPageBreak/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59DF0E" w14:textId="77777777" w:rsidR="00202729" w:rsidRPr="00912AFA" w:rsidRDefault="00202729" w:rsidP="003C2409">
            <w:r w:rsidRPr="00912AFA">
              <w:t>h)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CEFBA0" w14:textId="77777777" w:rsidR="00202729" w:rsidRPr="00912AFA" w:rsidRDefault="00202729" w:rsidP="003C2409">
            <w:r w:rsidRPr="00912AFA">
              <w:t>bude Banku neprodleně informovat písemnou formou o skutečnostech ohrožujících plnění smluvních závazků Klienta, zejména o soudních, rozhodčích či jiných řízeních, jejichž výsledky mají nebo by mohly mít nepříznivý vliv na jeho finanční a majetkovou situaci nebo na jeho schopnost řádně dostát platebním závazkům ze Smlouvy; také bude Banku písemně informovat o každé Změně a jakékoli další změně, která může mít nepříznivý vliv na jeho finanční a majetkovou situaci nebo na jeho schopnost řádně dostát platebním závazkům ze Smlouvy, a to v časovém předstihu, je-li Klientovi tato změna předem známa; Změnou („</w:t>
            </w:r>
            <w:r w:rsidRPr="00912AFA">
              <w:rPr>
                <w:b/>
                <w:bCs/>
              </w:rPr>
              <w:t>Změna</w:t>
            </w:r>
            <w:r w:rsidRPr="00912AFA">
              <w:t>“) se rozumí odštěpení některých organizačních částí Klienta, jakákoli přeměna Klienta, snížení nebo zvýšení základního kapitálu Klienta, převod závodu Klienta či jeho části, změna druhu podílů v Klientovi, změna druhů kmenových listů nebo akcií vydaných Klientem, změna předmětu činnosti Klienta, ukončení podnikatelské činnosti Klienta či její podstatné části, ztráta oprávnění k podnikatelské činnosti Klienta,</w:t>
            </w:r>
          </w:p>
        </w:tc>
      </w:tr>
      <w:tr w:rsidR="00202729" w14:paraId="177286BE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9E0CA6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5817A4" w14:textId="77777777" w:rsidR="00202729" w:rsidRPr="00912AFA" w:rsidRDefault="00202729" w:rsidP="003C2409">
            <w:r w:rsidRPr="00912AFA">
              <w:t>i)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FD887" w14:textId="77777777" w:rsidR="00202729" w:rsidRPr="00912AFA" w:rsidRDefault="00202729" w:rsidP="003C2409">
            <w:r w:rsidRPr="00912AFA">
              <w:t>se dostaví na písemnou výzvu Banky do 30 dní od odeslání této výzvy k sepsání dohody (na náklady Klienta) ve formě notářského zápisu o uznání svého dluhu vůči Bance ze Smlouvy a/nebo v souvislosti se Smlouvou, se svolením k vykonatelnosti takto uznaného dluhu,</w:t>
            </w:r>
          </w:p>
        </w:tc>
      </w:tr>
      <w:tr w:rsidR="00202729" w14:paraId="794344F2" w14:textId="77777777" w:rsidTr="003C2409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7D661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8194A" w14:textId="77777777" w:rsidR="00202729" w:rsidRPr="00912AFA" w:rsidRDefault="00202729" w:rsidP="003C2409">
            <w:r w:rsidRPr="00912AFA">
              <w:t>j)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EDB62" w14:textId="77777777" w:rsidR="00202729" w:rsidRPr="00912AFA" w:rsidRDefault="00202729" w:rsidP="003C2409">
            <w:r w:rsidRPr="00912AFA">
              <w:t>změní-li se jakkoli právní předpisy (včetně vydání nového právního předpisu), v důsledku čehož (i) Bance vznikly dodatečné nebo zvýšené náklady, (</w:t>
            </w:r>
            <w:proofErr w:type="spellStart"/>
            <w:r w:rsidRPr="00912AFA">
              <w:t>ii</w:t>
            </w:r>
            <w:proofErr w:type="spellEnd"/>
            <w:r w:rsidRPr="00912AFA">
              <w:t>) došlo ke snížení míry návratnosti peněžních prostředků poskytnutých podle Smlouvy nebo (</w:t>
            </w:r>
            <w:proofErr w:type="spellStart"/>
            <w:r w:rsidRPr="00912AFA">
              <w:t>iii</w:t>
            </w:r>
            <w:proofErr w:type="spellEnd"/>
            <w:r w:rsidRPr="00912AFA">
              <w:t>) došlo ke snížení jakékoliv částky dlužné a splatné podle Smlouvy oproti stavu ke dni uzavření Smlouvy, zaplatí Bance odpovídající částku do 60 dnů ode dne doručení písemné výzvy Banky, specifikující tyto částky, nebo, v případě Úvěru, v téže lhůtě předčasně splatí veškeré dluhy ze Smlouvy a se Smlouvou související.</w:t>
            </w:r>
          </w:p>
        </w:tc>
      </w:tr>
      <w:tr w:rsidR="00202729" w14:paraId="6541BD98" w14:textId="77777777" w:rsidTr="003C2409">
        <w:trPr>
          <w:cantSplit/>
          <w:trHeight w:val="195"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8EBFB" w14:textId="77777777" w:rsidR="00202729" w:rsidRPr="00912AFA" w:rsidRDefault="00202729" w:rsidP="003C2409">
            <w:r w:rsidRPr="00912AFA">
              <w:t> </w:t>
            </w:r>
          </w:p>
        </w:tc>
      </w:tr>
      <w:tr w:rsidR="00202729" w14:paraId="50572D3A" w14:textId="77777777" w:rsidTr="003C2409">
        <w:trPr>
          <w:cantSplit/>
          <w:trHeight w:val="195"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36003" w14:textId="77777777" w:rsidR="00202729" w:rsidRPr="00912AFA" w:rsidRDefault="00202729" w:rsidP="003C2409">
            <w:r w:rsidRPr="00912AFA">
              <w:rPr>
                <w:b/>
                <w:bCs/>
              </w:rPr>
              <w:t>Případy porušení</w:t>
            </w:r>
          </w:p>
        </w:tc>
      </w:tr>
      <w:tr w:rsidR="00202729" w14:paraId="2B1E314E" w14:textId="77777777" w:rsidTr="003C2409">
        <w:trPr>
          <w:cantSplit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EF79E" w14:textId="77777777" w:rsidR="00202729" w:rsidRPr="00912AFA" w:rsidRDefault="00202729" w:rsidP="003C2409">
            <w:r w:rsidRPr="00912AFA">
              <w:rPr>
                <w:b/>
                <w:bCs/>
              </w:rPr>
              <w:t> </w:t>
            </w:r>
          </w:p>
        </w:tc>
      </w:tr>
      <w:tr w:rsidR="00202729" w14:paraId="5C6C60F7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564D0F" w14:textId="77777777" w:rsidR="00202729" w:rsidRPr="00912AFA" w:rsidRDefault="00202729" w:rsidP="003C2409">
            <w:r w:rsidRPr="00912AFA">
              <w:t>17.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71C7A" w14:textId="77777777" w:rsidR="00202729" w:rsidRPr="00912AFA" w:rsidRDefault="00202729" w:rsidP="003C2409">
            <w:r w:rsidRPr="00912AFA">
              <w:t>Případem porušení je:</w:t>
            </w:r>
          </w:p>
        </w:tc>
      </w:tr>
      <w:tr w:rsidR="00202729" w14:paraId="5985C6CA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0CC1B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302A0" w14:textId="77777777" w:rsidR="00202729" w:rsidRPr="00912AFA" w:rsidRDefault="00202729" w:rsidP="003C2409">
            <w:r w:rsidRPr="00912AFA">
              <w:t>a)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86D4B" w14:textId="77777777" w:rsidR="00202729" w:rsidRPr="00912AFA" w:rsidRDefault="00202729" w:rsidP="003C2409">
            <w:r w:rsidRPr="00912AFA">
              <w:t>Porušení či nedodržení podmínek čerpání Úvěru nebo Limitu nebo otevření či vystavení Instrumentu podle Smlouvy.</w:t>
            </w:r>
          </w:p>
        </w:tc>
      </w:tr>
      <w:tr w:rsidR="00202729" w14:paraId="7670D376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8067A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8D6105" w14:textId="77777777" w:rsidR="00202729" w:rsidRPr="00912AFA" w:rsidRDefault="00202729" w:rsidP="003C2409">
            <w:r w:rsidRPr="00912AFA">
              <w:t>b)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FC979" w14:textId="77777777" w:rsidR="00202729" w:rsidRPr="00912AFA" w:rsidRDefault="00202729" w:rsidP="003C2409">
            <w:r w:rsidRPr="00912AFA">
              <w:t>Prodlení Klienta se splacením jakéhokoli dluhu vůči Bance či s plněním jakékoli povinnosti (ze Smlouvy či jiného právního jednání) trvající déle než 5 pracovních dnů.</w:t>
            </w:r>
          </w:p>
        </w:tc>
      </w:tr>
      <w:tr w:rsidR="00202729" w14:paraId="2D9178E5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D5206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08945" w14:textId="77777777" w:rsidR="00202729" w:rsidRPr="00912AFA" w:rsidRDefault="00202729" w:rsidP="003C2409">
            <w:r w:rsidRPr="00912AFA">
              <w:t>c)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CEF4C8" w14:textId="77777777" w:rsidR="00202729" w:rsidRPr="00912AFA" w:rsidRDefault="00202729" w:rsidP="003C2409">
            <w:r w:rsidRPr="00912AFA">
              <w:t>Nepravdivost, neúplnost nebo nepřesnost jakéhokoli prohlášení učiněného Klientem ve Smlouvě či jiném právním jednání nebo dokumentu, souvisejícím se Smlouvou.</w:t>
            </w:r>
          </w:p>
        </w:tc>
      </w:tr>
      <w:tr w:rsidR="00202729" w14:paraId="263E1131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7B3AC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149617" w14:textId="77777777" w:rsidR="00202729" w:rsidRPr="00912AFA" w:rsidRDefault="00202729" w:rsidP="003C2409">
            <w:r w:rsidRPr="00912AFA">
              <w:t>d)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ECA91" w14:textId="77777777" w:rsidR="00202729" w:rsidRPr="00912AFA" w:rsidRDefault="00202729" w:rsidP="003C2409">
            <w:r w:rsidRPr="00912AFA">
              <w:t>Porušení jakéhokoli závazku podle Smlouvy (včetně ÚOP); v případě závazku předkládat Bance dokumenty a výkazy pouze opakované porušení nebo porušení trvající déle než 20 dnů ode dne zaslání písemné výzvy Banky ke splnění tohoto závazku.</w:t>
            </w:r>
          </w:p>
        </w:tc>
      </w:tr>
      <w:tr w:rsidR="00202729" w14:paraId="71452BD3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64996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1CF96" w14:textId="77777777" w:rsidR="00202729" w:rsidRPr="00912AFA" w:rsidRDefault="00202729" w:rsidP="003C2409">
            <w:r w:rsidRPr="00912AFA">
              <w:t>e)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5B45C" w14:textId="77777777" w:rsidR="00202729" w:rsidRPr="00912AFA" w:rsidRDefault="00202729" w:rsidP="003C2409">
            <w:r w:rsidRPr="00912AFA">
              <w:t>Zahájení exekuce, výkonu rozhodnutí či výkonu jakéhokoli zajištění vůči jakémukoli majetku Klienta.</w:t>
            </w:r>
          </w:p>
        </w:tc>
      </w:tr>
      <w:tr w:rsidR="00202729" w14:paraId="45A8778F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F27FB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D7212" w14:textId="77777777" w:rsidR="00202729" w:rsidRPr="00912AFA" w:rsidRDefault="00202729" w:rsidP="003C2409">
            <w:r w:rsidRPr="00912AFA">
              <w:t>f)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DE49F" w14:textId="77777777" w:rsidR="00202729" w:rsidRPr="00912AFA" w:rsidRDefault="00202729" w:rsidP="003C2409">
            <w:r w:rsidRPr="00912AFA">
              <w:t>Zahájení insolvenčního řízení, či jiného řízení z důvodu platební nevůle, platební neschopnosti či předlužení, nebo rozhodnutí o likvidaci, a to vůči Klientovi, ovládající osobě Klienta či ovládané osobě Klienta, nebo osobě, jejíž dluhy Klient zajišťuje.</w:t>
            </w:r>
          </w:p>
        </w:tc>
      </w:tr>
      <w:tr w:rsidR="00202729" w14:paraId="431D37DA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FF93F2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B9370" w14:textId="77777777" w:rsidR="00202729" w:rsidRPr="00912AFA" w:rsidRDefault="00202729" w:rsidP="003C2409">
            <w:r w:rsidRPr="00912AFA">
              <w:t>g)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41884" w14:textId="77777777" w:rsidR="00202729" w:rsidRPr="00912AFA" w:rsidRDefault="00202729" w:rsidP="003C2409">
            <w:r w:rsidRPr="00912AFA">
              <w:t>Prodlení Klienta s plněním zákonných či smluvních závazků vůči státu, zdravotní pojišťovně nebo vůči jakékoli bance.</w:t>
            </w:r>
          </w:p>
        </w:tc>
      </w:tr>
      <w:tr w:rsidR="00202729" w14:paraId="26AE3046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46D00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068BCB" w14:textId="77777777" w:rsidR="00202729" w:rsidRPr="00912AFA" w:rsidRDefault="00202729" w:rsidP="003C2409">
            <w:r w:rsidRPr="00912AFA">
              <w:t>h)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2DA8B6" w14:textId="77777777" w:rsidR="00202729" w:rsidRPr="00912AFA" w:rsidRDefault="00202729" w:rsidP="003C2409">
            <w:r w:rsidRPr="00912AFA">
              <w:t>Vznik skutečnosti či souhrnu skutečností, představujících podstatnou změnu podmínek, za nichž byla Smlouva uzavřena, a které dle odůvodněného stanoviska Banky mohou mít podstatný nepříznivý dopad na finanční a majetkovou situaci Klienta a jeho schopnost plnit závazky ze Smlouvy.</w:t>
            </w:r>
          </w:p>
        </w:tc>
      </w:tr>
      <w:tr w:rsidR="00202729" w14:paraId="1773E2AE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7EC553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64B71A" w14:textId="77777777" w:rsidR="00202729" w:rsidRPr="00912AFA" w:rsidRDefault="00202729" w:rsidP="003C2409">
            <w:r w:rsidRPr="00912AFA">
              <w:t>i)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131E4" w14:textId="77777777" w:rsidR="00202729" w:rsidRPr="00912AFA" w:rsidRDefault="00202729" w:rsidP="003C2409">
            <w:r w:rsidRPr="00912AFA">
              <w:t>Vznik Změny, která může mít nepříznivý dopad na majetkovou a finanční situaci Klienta nebo na jeho schopnost řádně dostát závazkům vyplývajícím ze Smlouvy, bez předchozího písemného souhlasu Banky.</w:t>
            </w:r>
          </w:p>
        </w:tc>
      </w:tr>
      <w:tr w:rsidR="00202729" w14:paraId="5955E178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BE196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A100F" w14:textId="77777777" w:rsidR="00202729" w:rsidRPr="00912AFA" w:rsidRDefault="00202729" w:rsidP="003C2409">
            <w:r w:rsidRPr="00912AFA">
              <w:t>j)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6DDBF" w14:textId="77777777" w:rsidR="00202729" w:rsidRPr="00912AFA" w:rsidRDefault="00202729" w:rsidP="003C2409">
            <w:r w:rsidRPr="00912AFA">
              <w:t>Klient nedoplnil zajištění dle Smlouvy ve lhůtě, kterou mu Banka určila, a způsobem, který Banka vyžaduje v souladu se Smlouvou.</w:t>
            </w:r>
          </w:p>
        </w:tc>
      </w:tr>
      <w:tr w:rsidR="00202729" w14:paraId="30BC06FF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7A6D0" w14:textId="77777777" w:rsidR="00202729" w:rsidRPr="00912AFA" w:rsidRDefault="00202729" w:rsidP="003C2409">
            <w:r w:rsidRPr="00912AFA">
              <w:lastRenderedPageBreak/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75AD1" w14:textId="77777777" w:rsidR="00202729" w:rsidRPr="00912AFA" w:rsidRDefault="00202729" w:rsidP="003C2409">
            <w:r w:rsidRPr="00912AFA">
              <w:t>k)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3FB49" w14:textId="77777777" w:rsidR="00202729" w:rsidRPr="00912AFA" w:rsidRDefault="00202729" w:rsidP="003C2409">
            <w:r w:rsidRPr="00912AFA">
              <w:t>Jakýkoli převod (včetně vyčlenění do svěřenského fondu) podstatné části majetku Klienta na třetí osobu (nejde-li o oběžná aktiva, převedená za podmínek obvyklých v obchodním styku).</w:t>
            </w:r>
          </w:p>
        </w:tc>
      </w:tr>
      <w:tr w:rsidR="00202729" w14:paraId="3AF803F7" w14:textId="77777777" w:rsidTr="003C2409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5388F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78A36" w14:textId="77777777" w:rsidR="00202729" w:rsidRPr="00912AFA" w:rsidRDefault="00202729" w:rsidP="003C2409">
            <w:r w:rsidRPr="00912AFA">
              <w:t>l)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DFF4D" w14:textId="77777777" w:rsidR="00202729" w:rsidRPr="00912AFA" w:rsidRDefault="00202729" w:rsidP="003C2409">
            <w:r w:rsidRPr="00912AFA">
              <w:t>Zastavení a/nebo zcizení podílu na Klientovi/akcií Klienta.</w:t>
            </w:r>
          </w:p>
        </w:tc>
      </w:tr>
      <w:tr w:rsidR="00202729" w14:paraId="2273F5F6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BCF026" w14:textId="77777777" w:rsidR="00202729" w:rsidRPr="00912AFA" w:rsidRDefault="00202729" w:rsidP="003C2409">
            <w:r w:rsidRPr="00912AFA">
              <w:t>18.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5BE58" w14:textId="77777777" w:rsidR="00202729" w:rsidRPr="00912AFA" w:rsidRDefault="00202729" w:rsidP="003C2409">
            <w:r w:rsidRPr="00912AFA">
              <w:t>Nastal-li Případ porušení (jak je definován ve Smlouvě), Banka je oprávněna oznámením odeslaným Klientovi:</w:t>
            </w:r>
          </w:p>
        </w:tc>
      </w:tr>
      <w:tr w:rsidR="00202729" w14:paraId="4E0F4164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AF967D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2D151F" w14:textId="77777777" w:rsidR="00202729" w:rsidRPr="00912AFA" w:rsidRDefault="00202729" w:rsidP="003C2409">
            <w:r w:rsidRPr="00912AFA">
              <w:t>a)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02CB0" w14:textId="77777777" w:rsidR="00202729" w:rsidRPr="00912AFA" w:rsidRDefault="00202729" w:rsidP="003C2409">
            <w:r w:rsidRPr="00912AFA">
              <w:t>omezit nebo zastavit čerpání peněžních prostředků z Úvěru nebo Limitu,</w:t>
            </w:r>
          </w:p>
        </w:tc>
      </w:tr>
      <w:tr w:rsidR="00202729" w14:paraId="47BD4DC3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C7112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9A8DEB" w14:textId="77777777" w:rsidR="00202729" w:rsidRPr="00912AFA" w:rsidRDefault="00202729" w:rsidP="003C2409">
            <w:r w:rsidRPr="00912AFA">
              <w:t>b)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4323B2" w14:textId="77777777" w:rsidR="00202729" w:rsidRPr="00912AFA" w:rsidRDefault="00202729" w:rsidP="003C2409">
            <w:r w:rsidRPr="00912AFA">
              <w:t>písemně prohlásit, že všechny peněžité dluhy Klienta vůči Bance z poskytnutého Úvěru nebo jakákoli jejich část jsou splatné v den uvedený v oznámení Banky, čímž se stávají v tento den splatnými a Klient je povinen je v tento den uhradit,</w:t>
            </w:r>
          </w:p>
        </w:tc>
      </w:tr>
      <w:tr w:rsidR="00202729" w14:paraId="7C88FB15" w14:textId="77777777" w:rsidTr="003C2409">
        <w:trPr>
          <w:cantSplit/>
          <w:trHeight w:val="43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5D1379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0D66F" w14:textId="77777777" w:rsidR="00202729" w:rsidRPr="00912AFA" w:rsidRDefault="00202729" w:rsidP="003C2409">
            <w:r w:rsidRPr="00912AFA">
              <w:t>c)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F331F" w14:textId="77777777" w:rsidR="00202729" w:rsidRPr="00912AFA" w:rsidRDefault="00202729" w:rsidP="003C2409">
            <w:r w:rsidRPr="00912AFA">
              <w:t>provést i před dnem splatnosti dluhů Klienta, jejichž řádné splacení je ohroženo, blokaci jakýchkoli účtů Klienta vedených Bankou (zejména neprovádět Klientovy platební příkazy a nevyplácet hotovost) a zůstatek a docházející úhrady použít na splacení peněžitých dluhů Klienta a/nebo k vytvoření peněžního krytí na vnitřním účtu Banky jako peněžité jistoty na úhradu v budoucnu splatných dluhů Klienta ze Smlouvy či se Smlouvou souvisejících, a/nebo</w:t>
            </w:r>
          </w:p>
        </w:tc>
      </w:tr>
      <w:tr w:rsidR="00202729" w14:paraId="4DD17E92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155821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2BB70" w14:textId="77777777" w:rsidR="00202729" w:rsidRPr="00912AFA" w:rsidRDefault="00202729" w:rsidP="003C2409">
            <w:r w:rsidRPr="00912AFA">
              <w:t>d)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D7C2C" w14:textId="77777777" w:rsidR="00202729" w:rsidRPr="00912AFA" w:rsidRDefault="00202729" w:rsidP="003C2409">
            <w:r w:rsidRPr="00912AFA">
              <w:t>požadovat zaplacení smluvní pokuty ve výši a za podmínek sjednaných ve Smlouvě.</w:t>
            </w:r>
          </w:p>
        </w:tc>
      </w:tr>
      <w:tr w:rsidR="00202729" w14:paraId="67624172" w14:textId="77777777" w:rsidTr="003C2409">
        <w:trPr>
          <w:cantSplit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F19807" w14:textId="77777777" w:rsidR="00202729" w:rsidRPr="00912AFA" w:rsidRDefault="00202729" w:rsidP="003C2409">
            <w:r w:rsidRPr="00912AFA">
              <w:t> </w:t>
            </w:r>
          </w:p>
        </w:tc>
      </w:tr>
      <w:tr w:rsidR="00202729" w14:paraId="20273686" w14:textId="77777777" w:rsidTr="003C2409">
        <w:trPr>
          <w:cantSplit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5AAD3" w14:textId="77777777" w:rsidR="00202729" w:rsidRPr="00912AFA" w:rsidRDefault="00202729" w:rsidP="003C2409">
            <w:r w:rsidRPr="00912AFA">
              <w:rPr>
                <w:b/>
                <w:bCs/>
              </w:rPr>
              <w:t>Doručování</w:t>
            </w:r>
          </w:p>
        </w:tc>
      </w:tr>
      <w:tr w:rsidR="00202729" w14:paraId="503E9399" w14:textId="77777777" w:rsidTr="003C2409">
        <w:trPr>
          <w:cantSplit/>
          <w:tblCellSpacing w:w="-100" w:type="dxa"/>
        </w:trPr>
        <w:tc>
          <w:tcPr>
            <w:tcW w:w="5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636C4D" w14:textId="77777777" w:rsidR="00202729" w:rsidRPr="00912AFA" w:rsidRDefault="00202729" w:rsidP="003C2409">
            <w:r w:rsidRPr="00912AFA">
              <w:rPr>
                <w:b/>
                <w:bCs/>
              </w:rPr>
              <w:t> </w:t>
            </w:r>
          </w:p>
        </w:tc>
      </w:tr>
      <w:tr w:rsidR="00202729" w14:paraId="3319C99D" w14:textId="77777777" w:rsidTr="003C2409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B13551" w14:textId="77777777" w:rsidR="00202729" w:rsidRPr="00912AFA" w:rsidRDefault="00202729" w:rsidP="003C2409">
            <w:r w:rsidRPr="00912AFA">
              <w:t>19.</w:t>
            </w:r>
          </w:p>
        </w:tc>
        <w:tc>
          <w:tcPr>
            <w:tcW w:w="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72B03" w14:textId="77777777" w:rsidR="00202729" w:rsidRPr="00912AFA" w:rsidRDefault="00202729" w:rsidP="003C2409">
            <w:r w:rsidRPr="00912AFA">
              <w:t>Doručování:</w:t>
            </w:r>
          </w:p>
        </w:tc>
      </w:tr>
      <w:tr w:rsidR="00202729" w14:paraId="2F6C3EF3" w14:textId="77777777" w:rsidTr="003C2409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58565C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60ED0" w14:textId="77777777" w:rsidR="00202729" w:rsidRPr="00912AFA" w:rsidRDefault="00202729" w:rsidP="003C2409">
            <w:r w:rsidRPr="00912AFA">
              <w:t>a)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34A75" w14:textId="77777777" w:rsidR="00202729" w:rsidRPr="00912AFA" w:rsidRDefault="00202729" w:rsidP="003C2409">
            <w:r w:rsidRPr="00912AFA">
              <w:t>písemnosti doručované poskytovatelem poštovních služeb zasílá Banka Klientovi na adresu bydliště či trvalého pobytu či sídla, uvedenou ve Smlouvě, popř. na jinou dohodnutou adresu; dohodnutou adresou nemůže být adresa pobočky Banky a PO BOX. Banka zasílá písemnosti jako obyčejnou zásilku, doporučené psaní nebo doporučené psaní s dodejkou,</w:t>
            </w:r>
          </w:p>
        </w:tc>
      </w:tr>
      <w:tr w:rsidR="00202729" w14:paraId="00FAEFFA" w14:textId="77777777" w:rsidTr="003C2409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B7BEF3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2565D7" w14:textId="77777777" w:rsidR="00202729" w:rsidRPr="00912AFA" w:rsidRDefault="00202729" w:rsidP="003C2409">
            <w:r w:rsidRPr="00912AFA">
              <w:t>b)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0C2B8" w14:textId="77777777" w:rsidR="00202729" w:rsidRPr="00912AFA" w:rsidRDefault="00202729" w:rsidP="003C2409">
            <w:r w:rsidRPr="00912AFA">
              <w:t>bude-li písemnost poskytovatelem poštovních služeb vrácena jako nedoručitelná, účinky doručení nastávají v den, kdy je zásilka vrácena Bance. Účinky doručení nastávají i v případě, jestliže převzetí písemnosti Klient odmítne,</w:t>
            </w:r>
          </w:p>
        </w:tc>
      </w:tr>
      <w:tr w:rsidR="00202729" w14:paraId="2CFB2A8A" w14:textId="77777777" w:rsidTr="003C2409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50936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CF29B8" w14:textId="77777777" w:rsidR="00202729" w:rsidRPr="00912AFA" w:rsidRDefault="00202729" w:rsidP="003C2409">
            <w:r w:rsidRPr="00912AFA">
              <w:t>c)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059A0" w14:textId="77777777" w:rsidR="00202729" w:rsidRPr="00912AFA" w:rsidRDefault="00202729" w:rsidP="003C2409">
            <w:r w:rsidRPr="00912AFA">
              <w:t>písemnosti určené pro Klienta, které nejsou doručovány poskytovatelem poštovních služeb, jsou v Bance oprávněni vyzvedávat Klient, resp. osoby, které Klient uvede ve zmocnění podepsaném před pracovníkem Banky, nebo osoby, které se prokážou plnou mocí s úředně ověřeným podpisem Klienta,</w:t>
            </w:r>
          </w:p>
        </w:tc>
      </w:tr>
      <w:tr w:rsidR="00202729" w14:paraId="346DCC1A" w14:textId="77777777" w:rsidTr="003C2409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9BBAB0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5C184" w14:textId="77777777" w:rsidR="00202729" w:rsidRPr="00912AFA" w:rsidRDefault="00202729" w:rsidP="003C2409">
            <w:r w:rsidRPr="00912AFA">
              <w:t>d)</w:t>
            </w:r>
          </w:p>
        </w:tc>
        <w:tc>
          <w:tcPr>
            <w:tcW w:w="4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D94B0" w14:textId="77777777" w:rsidR="00202729" w:rsidRPr="00912AFA" w:rsidRDefault="00202729" w:rsidP="003C2409">
            <w:r w:rsidRPr="00912AFA">
              <w:t>písemnosti Klienta jsou doručené, pouze byly-li doručeny na adresu pobočky Banky uvedené ve Smlouvě.</w:t>
            </w:r>
          </w:p>
        </w:tc>
      </w:tr>
      <w:tr w:rsidR="00202729" w14:paraId="56A97B9C" w14:textId="77777777" w:rsidTr="003C2409">
        <w:trPr>
          <w:cantSplit/>
          <w:trHeight w:val="195"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BC2B4" w14:textId="77777777" w:rsidR="00202729" w:rsidRPr="00912AFA" w:rsidRDefault="00202729" w:rsidP="003C2409">
            <w:r w:rsidRPr="00912AFA">
              <w:t> </w:t>
            </w:r>
          </w:p>
        </w:tc>
      </w:tr>
      <w:tr w:rsidR="00202729" w14:paraId="49138942" w14:textId="77777777" w:rsidTr="003C2409">
        <w:trPr>
          <w:cantSplit/>
          <w:trHeight w:val="195"/>
          <w:tblCellSpacing w:w="-100" w:type="dxa"/>
        </w:trPr>
        <w:tc>
          <w:tcPr>
            <w:tcW w:w="0" w:type="auto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7F234" w14:textId="77777777" w:rsidR="00202729" w:rsidRPr="00912AFA" w:rsidRDefault="00202729" w:rsidP="003C2409">
            <w:r w:rsidRPr="00912AFA">
              <w:rPr>
                <w:b/>
                <w:bCs/>
              </w:rPr>
              <w:t>Závěrečná ustanovení</w:t>
            </w:r>
          </w:p>
        </w:tc>
      </w:tr>
      <w:tr w:rsidR="00202729" w14:paraId="59007AAE" w14:textId="77777777" w:rsidTr="003C2409">
        <w:trPr>
          <w:cantSplit/>
          <w:tblCellSpacing w:w="-100" w:type="dxa"/>
        </w:trPr>
        <w:tc>
          <w:tcPr>
            <w:tcW w:w="5000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5970D" w14:textId="77777777" w:rsidR="00202729" w:rsidRPr="00912AFA" w:rsidRDefault="00202729" w:rsidP="003C2409">
            <w:r w:rsidRPr="00912AFA">
              <w:rPr>
                <w:b/>
                <w:bCs/>
              </w:rPr>
              <w:t> </w:t>
            </w:r>
          </w:p>
        </w:tc>
      </w:tr>
      <w:tr w:rsidR="00202729" w14:paraId="3A3957F5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F3E74" w14:textId="77777777" w:rsidR="00202729" w:rsidRPr="00912AFA" w:rsidRDefault="00202729" w:rsidP="003C2409">
            <w:r w:rsidRPr="00912AFA">
              <w:t>20.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BBA86F" w14:textId="77777777" w:rsidR="00202729" w:rsidRPr="00912AFA" w:rsidRDefault="00202729" w:rsidP="003C2409">
            <w:r w:rsidRPr="00912AFA">
              <w:t>Neodsouhlasí-li Banka jinak, musí být veškeré dokumenty předkládané jí podle Smlouvy či v souvislosti s ní v češtině nebo slovenštině, nebo úředně přeložené do češtiny.</w:t>
            </w:r>
          </w:p>
        </w:tc>
      </w:tr>
      <w:tr w:rsidR="00202729" w14:paraId="6B1F086A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0343B" w14:textId="77777777" w:rsidR="00202729" w:rsidRPr="00912AFA" w:rsidRDefault="00202729" w:rsidP="003C2409">
            <w:r w:rsidRPr="00912AFA">
              <w:t>21.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108730" w14:textId="77777777" w:rsidR="00202729" w:rsidRPr="00912AFA" w:rsidRDefault="00202729" w:rsidP="003C2409">
            <w:r w:rsidRPr="00912AFA">
              <w:t>Plná moc, zmocňující jakoukoli osobu jednat jménem Klienta vůči Bance podle Smlouvy musí (i) vyhovovat požadovanému právnímu jednání, (</w:t>
            </w:r>
            <w:proofErr w:type="spellStart"/>
            <w:r w:rsidRPr="00912AFA">
              <w:t>ii</w:t>
            </w:r>
            <w:proofErr w:type="spellEnd"/>
            <w:r w:rsidRPr="00912AFA">
              <w:t>) mít úředně ověřené podpisy, nebo být podepsána před pracovníkem Banky, a (</w:t>
            </w:r>
            <w:proofErr w:type="spellStart"/>
            <w:r w:rsidRPr="00912AFA">
              <w:t>iii</w:t>
            </w:r>
            <w:proofErr w:type="spellEnd"/>
            <w:r w:rsidRPr="00912AFA">
              <w:t>) musí být doručena pobočce Banky, ve které má být příslušné právní jednání uskutečněno, nejméně 5 pracovních dní přede dnem tohoto právního jednání. Banka je též oprávněna odmítnout plnou moc (i) substituční a/nebo (</w:t>
            </w:r>
            <w:proofErr w:type="spellStart"/>
            <w:r w:rsidRPr="00912AFA">
              <w:t>ii</w:t>
            </w:r>
            <w:proofErr w:type="spellEnd"/>
            <w:r w:rsidRPr="00912AFA">
              <w:t>) vystavenou/podepsanou za Klienta osobou, která nebyla dosud Bankou identifikována a/nebo (</w:t>
            </w:r>
            <w:proofErr w:type="spellStart"/>
            <w:r w:rsidRPr="00912AFA">
              <w:t>iii</w:t>
            </w:r>
            <w:proofErr w:type="spellEnd"/>
            <w:r w:rsidRPr="00912AFA">
              <w:t>) starší než tři měsíce od jejího vystavení a/nebo (</w:t>
            </w:r>
            <w:proofErr w:type="spellStart"/>
            <w:r w:rsidRPr="00912AFA">
              <w:t>iv</w:t>
            </w:r>
            <w:proofErr w:type="spellEnd"/>
            <w:r w:rsidRPr="00912AFA">
              <w:t>) generální, tj. obecnou plnou moc bez specifikace konkrétního požadovaného právního jednání.</w:t>
            </w:r>
          </w:p>
        </w:tc>
      </w:tr>
      <w:tr w:rsidR="00202729" w14:paraId="05920D5A" w14:textId="77777777" w:rsidTr="003C2409">
        <w:trPr>
          <w:cantSplit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92AB64" w14:textId="77777777" w:rsidR="00202729" w:rsidRPr="00912AFA" w:rsidRDefault="00202729" w:rsidP="003C2409">
            <w:r w:rsidRPr="00912AFA">
              <w:t>22.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5EFEC" w14:textId="77777777" w:rsidR="00202729" w:rsidRPr="00912AFA" w:rsidRDefault="00202729" w:rsidP="003C2409">
            <w:r w:rsidRPr="00912AFA">
              <w:t>Banka je oprávněna vyžadovat úřední ověření podpisu na všech písemných právních jednáních, která nejsou činěna před zaměstnancem Banky.</w:t>
            </w:r>
          </w:p>
        </w:tc>
      </w:tr>
      <w:tr w:rsidR="00202729" w14:paraId="1F7ADFFA" w14:textId="77777777" w:rsidTr="003C2409">
        <w:trPr>
          <w:cantSplit/>
          <w:trHeight w:val="195"/>
          <w:tblCellSpacing w:w="-100" w:type="dxa"/>
        </w:trPr>
        <w:tc>
          <w:tcPr>
            <w:tcW w:w="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6D64A" w14:textId="77777777" w:rsidR="00202729" w:rsidRPr="00912AFA" w:rsidRDefault="00202729" w:rsidP="003C2409">
            <w:r w:rsidRPr="00912AFA">
              <w:t>23.</w:t>
            </w:r>
          </w:p>
        </w:tc>
        <w:tc>
          <w:tcPr>
            <w:tcW w:w="4500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7AF3F" w14:textId="77777777" w:rsidR="00202729" w:rsidRPr="00912AFA" w:rsidRDefault="00202729" w:rsidP="003C2409">
            <w:r w:rsidRPr="00912AFA">
              <w:t>ÚOP nabývají účinnosti dnem 1.7.2020.</w:t>
            </w:r>
          </w:p>
        </w:tc>
      </w:tr>
    </w:tbl>
    <w:p w14:paraId="47EF365D" w14:textId="77777777" w:rsidR="00202729" w:rsidRDefault="00202729" w:rsidP="00202729">
      <w:r>
        <w:t> </w:t>
      </w:r>
    </w:p>
    <w:tbl>
      <w:tblPr>
        <w:tblW w:w="9102" w:type="dxa"/>
        <w:tblCellSpacing w:w="-100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225"/>
        <w:gridCol w:w="2325"/>
        <w:gridCol w:w="2326"/>
        <w:gridCol w:w="2226"/>
      </w:tblGrid>
      <w:tr w:rsidR="00202729" w14:paraId="7102FEC1" w14:textId="77777777" w:rsidTr="003C2409">
        <w:trPr>
          <w:cantSplit/>
          <w:tblCellSpacing w:w="-100" w:type="dxa"/>
        </w:trPr>
        <w:tc>
          <w:tcPr>
            <w:tcW w:w="1250" w:type="pc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55EA2" w14:textId="77777777" w:rsidR="00202729" w:rsidRPr="00912AFA" w:rsidRDefault="00202729" w:rsidP="003C2409">
            <w:r w:rsidRPr="00912AFA">
              <w:rPr>
                <w:color w:val="FFFFFF"/>
              </w:rPr>
              <w:lastRenderedPageBreak/>
              <w:t>*K*</w:t>
            </w:r>
          </w:p>
          <w:p w14:paraId="4C0C4651" w14:textId="77777777" w:rsidR="00202729" w:rsidRPr="00912AFA" w:rsidRDefault="00202729" w:rsidP="003C2409">
            <w:r w:rsidRPr="00912AFA">
              <w:t> </w:t>
            </w:r>
          </w:p>
          <w:p w14:paraId="0DF2669F" w14:textId="77777777" w:rsidR="00202729" w:rsidRPr="00912AFA" w:rsidRDefault="00202729" w:rsidP="003C2409">
            <w:r w:rsidRPr="00912AFA">
              <w:t> </w:t>
            </w:r>
          </w:p>
          <w:p w14:paraId="2757A965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1250" w:type="pc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A540B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1250" w:type="pc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7075B" w14:textId="77777777" w:rsidR="00202729" w:rsidRPr="00912AFA" w:rsidRDefault="00202729" w:rsidP="003C2409">
            <w:r w:rsidRPr="00912AFA">
              <w:t> </w:t>
            </w:r>
          </w:p>
        </w:tc>
        <w:tc>
          <w:tcPr>
            <w:tcW w:w="1250" w:type="pc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21456" w14:textId="77777777" w:rsidR="00202729" w:rsidRPr="00912AFA" w:rsidRDefault="00202729" w:rsidP="003C2409">
            <w:r w:rsidRPr="00912AFA">
              <w:t> </w:t>
            </w:r>
          </w:p>
        </w:tc>
      </w:tr>
    </w:tbl>
    <w:p w14:paraId="1AF43850" w14:textId="77777777" w:rsidR="00202729" w:rsidRDefault="00202729" w:rsidP="00202729"/>
    <w:p w14:paraId="6F1FAD2E" w14:textId="77777777" w:rsidR="006B10B9" w:rsidRDefault="006B10B9"/>
    <w:sectPr w:rsidR="006B10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A4E4" w14:textId="77777777" w:rsidR="00A3037F" w:rsidRDefault="008341CA">
      <w:r>
        <w:separator/>
      </w:r>
    </w:p>
  </w:endnote>
  <w:endnote w:type="continuationSeparator" w:id="0">
    <w:p w14:paraId="6AAAF96D" w14:textId="77777777" w:rsidR="00A3037F" w:rsidRDefault="0083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0B23" w14:textId="77777777" w:rsidR="008341CA" w:rsidRDefault="008341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D5CD" w14:textId="77777777" w:rsidR="00912AFA" w:rsidRDefault="00202729">
    <w:pPr>
      <w:pStyle w:val="anyParagraph"/>
      <w:jc w:val="right"/>
    </w:pPr>
    <w:r>
      <w:t xml:space="preserve">strana </w:t>
    </w:r>
    <w:r>
      <w:rPr>
        <w:rStyle w:val="any"/>
      </w:rPr>
      <w:fldChar w:fldCharType="begin"/>
    </w:r>
    <w:r>
      <w:rPr>
        <w:rStyle w:val="any"/>
      </w:rPr>
      <w:instrText>PAGE</w:instrText>
    </w:r>
    <w:r>
      <w:rPr>
        <w:rStyle w:val="any"/>
      </w:rPr>
      <w:fldChar w:fldCharType="separate"/>
    </w:r>
    <w:r>
      <w:rPr>
        <w:rStyle w:val="any"/>
        <w:noProof/>
      </w:rPr>
      <w:t>1</w:t>
    </w:r>
    <w:r>
      <w:rPr>
        <w:rStyle w:val="any"/>
      </w:rPr>
      <w:fldChar w:fldCharType="end"/>
    </w:r>
  </w:p>
  <w:p w14:paraId="43B40286" w14:textId="77777777" w:rsidR="00912AFA" w:rsidRDefault="00D073E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9960" w14:textId="77777777" w:rsidR="008341CA" w:rsidRDefault="008341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FB0E" w14:textId="77777777" w:rsidR="00A3037F" w:rsidRDefault="008341CA">
      <w:r>
        <w:separator/>
      </w:r>
    </w:p>
  </w:footnote>
  <w:footnote w:type="continuationSeparator" w:id="0">
    <w:p w14:paraId="46A9A23E" w14:textId="77777777" w:rsidR="00A3037F" w:rsidRDefault="0083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EAB4" w14:textId="77777777" w:rsidR="008341CA" w:rsidRDefault="008341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C0A2" w14:textId="77777777" w:rsidR="00912AFA" w:rsidRDefault="00D073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FC22" w14:textId="77777777" w:rsidR="008341CA" w:rsidRDefault="008341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lSxvG66DLpheWPoC2PFhojiLpprltUm+FB/7lYCpOoxzpsQgznfp2Xl5/Kz1PVYEnkFGiUqeROmsblPWCIe3g==" w:salt="2zw7bWnfbcdfqw7byz41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29"/>
    <w:rsid w:val="00202729"/>
    <w:rsid w:val="006B10B9"/>
    <w:rsid w:val="008341CA"/>
    <w:rsid w:val="00A3037F"/>
    <w:rsid w:val="00D0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BAEEF"/>
  <w15:chartTrackingRefBased/>
  <w15:docId w15:val="{49D8615A-05AC-4C91-9325-36C9DFAB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72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ny">
    <w:name w:val="any"/>
    <w:rsid w:val="00202729"/>
    <w:rPr>
      <w:sz w:val="18"/>
      <w:szCs w:val="18"/>
    </w:rPr>
  </w:style>
  <w:style w:type="paragraph" w:customStyle="1" w:styleId="anyParagraph">
    <w:name w:val="any Paragraph"/>
    <w:basedOn w:val="Normln"/>
    <w:rsid w:val="00202729"/>
    <w:rPr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341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41CA"/>
    <w:rPr>
      <w:rFonts w:ascii="Times New Roman" w:eastAsia="Times New Roman" w:hAnsi="Times New Roman" w:cs="Times New Roman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41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41CA"/>
    <w:rPr>
      <w:rFonts w:ascii="Times New Roman" w:eastAsia="Times New Roman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2706</Words>
  <Characters>15966</Characters>
  <Application>Microsoft Office Word</Application>
  <DocSecurity>8</DocSecurity>
  <Lines>133</Lines>
  <Paragraphs>37</Paragraphs>
  <ScaleCrop>false</ScaleCrop>
  <Company/>
  <LinksUpToDate>false</LinksUpToDate>
  <CharactersWithSpaces>18635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HANYK Jiří</dc:creator>
  <cp:keywords/>
  <dc:description/>
  <cp:lastModifiedBy>HANYK Jiří</cp:lastModifiedBy>
  <cp:revision>3</cp:revision>
  <dcterms:created xsi:type="dcterms:W3CDTF">2022-04-26T13:40:00Z</dcterms:created>
  <dcterms:modified xsi:type="dcterms:W3CDTF">2022-04-27T05:49:00Z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6547bf-3669-44b1-9e89-321d0b86b530_Enabled">
    <vt:lpwstr>true</vt:lpwstr>
  </property>
  <property fmtid="{D5CDD505-2E9C-101B-9397-08002B2CF9AE}" pid="3" name="MSIP_Label_8c6547bf-3669-44b1-9e89-321d0b86b530_SetDate">
    <vt:lpwstr>2022-04-26T13:41:31Z</vt:lpwstr>
  </property>
  <property fmtid="{D5CDD505-2E9C-101B-9397-08002B2CF9AE}" pid="4" name="MSIP_Label_8c6547bf-3669-44b1-9e89-321d0b86b530_Method">
    <vt:lpwstr>Privileged</vt:lpwstr>
  </property>
  <property fmtid="{D5CDD505-2E9C-101B-9397-08002B2CF9AE}" pid="5" name="MSIP_Label_8c6547bf-3669-44b1-9e89-321d0b86b530_Name">
    <vt:lpwstr>8c6547bf-3669-44b1-9e89-321d0b86b530</vt:lpwstr>
  </property>
  <property fmtid="{D5CDD505-2E9C-101B-9397-08002B2CF9AE}" pid="6" name="MSIP_Label_8c6547bf-3669-44b1-9e89-321d0b86b530_SiteId">
    <vt:lpwstr>64af2aee-7d6c-49ac-a409-192d3fee73b8</vt:lpwstr>
  </property>
  <property fmtid="{D5CDD505-2E9C-101B-9397-08002B2CF9AE}" pid="7" name="MSIP_Label_8c6547bf-3669-44b1-9e89-321d0b86b530_ActionId">
    <vt:lpwstr>47e3ec6a-fc70-4d4e-bc13-be05dcece78d</vt:lpwstr>
  </property>
  <property fmtid="{D5CDD505-2E9C-101B-9397-08002B2CF9AE}" pid="8" name="MSIP_Label_8c6547bf-3669-44b1-9e89-321d0b86b530_ContentBits">
    <vt:lpwstr>0</vt:lpwstr>
  </property>
</Properties>
</file>