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6C4802">
        <w:rPr>
          <w:rFonts w:eastAsia="Times New Roman" w:cs="Times New Roman"/>
          <w:b/>
          <w:bCs/>
          <w:sz w:val="28"/>
          <w:szCs w:val="28"/>
          <w:lang w:eastAsia="cs-CZ"/>
        </w:rPr>
        <w:t>SMLOUVA O ÚČETNÍCH SLUŽBÁCH A PORADENSTVÍ</w:t>
      </w:r>
    </w:p>
    <w:p w:rsidR="00F878E6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 </w:t>
      </w:r>
    </w:p>
    <w:p w:rsidR="00F878E6" w:rsidRPr="006C4802" w:rsidRDefault="00F878E6" w:rsidP="00F878E6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Odběratel:</w:t>
      </w:r>
      <w:r>
        <w:rPr>
          <w:rFonts w:eastAsia="Times New Roman" w:cs="Times New Roman"/>
          <w:b/>
          <w:bCs/>
          <w:lang w:eastAsia="cs-CZ"/>
        </w:rPr>
        <w:tab/>
        <w:t>Základní umělecká škola F. Jílka Brno, příspěvková organizace</w:t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Vídeňská 52</w:t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639 00 BRNO</w:t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IČ: </w:t>
      </w:r>
      <w:r w:rsidRPr="00F7404C">
        <w:rPr>
          <w:rFonts w:eastAsia="Times New Roman" w:cs="Times New Roman"/>
          <w:b/>
          <w:lang w:eastAsia="cs-CZ"/>
        </w:rPr>
        <w:t>44993536</w:t>
      </w:r>
    </w:p>
    <w:p w:rsidR="00F878E6" w:rsidRPr="006C4802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Pr="006C4802">
        <w:rPr>
          <w:rFonts w:eastAsia="Times New Roman" w:cs="Times New Roman"/>
          <w:lang w:eastAsia="cs-CZ"/>
        </w:rPr>
        <w:t>kterou zastupuje jako stat</w:t>
      </w:r>
      <w:r>
        <w:rPr>
          <w:rFonts w:eastAsia="Times New Roman" w:cs="Times New Roman"/>
          <w:lang w:eastAsia="cs-CZ"/>
        </w:rPr>
        <w:t>utární orgán Mgr. Pavel Sapák – ředitel školy</w:t>
      </w:r>
    </w:p>
    <w:p w:rsidR="00F878E6" w:rsidRDefault="00F878E6" w:rsidP="00F878E6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</w:p>
    <w:p w:rsidR="00F878E6" w:rsidRDefault="00F878E6" w:rsidP="00F878E6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Dodavatel:    </w:t>
      </w:r>
      <w:r>
        <w:rPr>
          <w:rFonts w:eastAsia="Times New Roman" w:cs="Times New Roman"/>
          <w:b/>
          <w:bCs/>
          <w:lang w:eastAsia="cs-CZ"/>
        </w:rPr>
        <w:tab/>
        <w:t>Ing. Vlasta ZEZULOVÁ</w:t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</w:p>
    <w:p w:rsidR="00F878E6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583466">
        <w:rPr>
          <w:rFonts w:eastAsia="Times New Roman" w:cs="Times New Roman"/>
          <w:lang w:eastAsia="cs-CZ"/>
        </w:rPr>
        <w:t>Pod Kaplí 415/</w:t>
      </w:r>
      <w:r>
        <w:rPr>
          <w:rFonts w:eastAsia="Times New Roman" w:cs="Times New Roman"/>
          <w:lang w:eastAsia="cs-CZ"/>
        </w:rPr>
        <w:t>20</w:t>
      </w:r>
    </w:p>
    <w:p w:rsidR="00F878E6" w:rsidRDefault="0058346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644 00 Brno</w:t>
      </w:r>
    </w:p>
    <w:p w:rsidR="00F878E6" w:rsidRPr="006C4802" w:rsidRDefault="00F878E6" w:rsidP="00F878E6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IČ: </w:t>
      </w:r>
      <w:r w:rsidRPr="006513D1">
        <w:rPr>
          <w:rFonts w:eastAsia="Times New Roman" w:cs="Times New Roman"/>
          <w:b/>
          <w:lang w:eastAsia="cs-CZ"/>
        </w:rPr>
        <w:t>68112904</w:t>
      </w:r>
      <w:r w:rsidRPr="006C4802">
        <w:rPr>
          <w:rFonts w:eastAsia="Times New Roman" w:cs="Times New Roman"/>
          <w:lang w:eastAsia="cs-CZ"/>
        </w:rPr>
        <w:t xml:space="preserve">           </w:t>
      </w:r>
    </w:p>
    <w:p w:rsidR="00F878E6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</w:p>
    <w:p w:rsidR="00F878E6" w:rsidRPr="008E5A5C" w:rsidRDefault="00F878E6" w:rsidP="008E5A5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a odběratel se dnešního dne dohodli na uzavření obchodní smlouv</w:t>
      </w:r>
      <w:r>
        <w:rPr>
          <w:rFonts w:eastAsia="Times New Roman" w:cs="Times New Roman"/>
          <w:lang w:eastAsia="cs-CZ"/>
        </w:rPr>
        <w:t>y o poskytování účetních služeb od 1. 1. 20</w:t>
      </w:r>
      <w:r w:rsidR="00B7601B">
        <w:rPr>
          <w:rFonts w:eastAsia="Times New Roman" w:cs="Times New Roman"/>
          <w:lang w:eastAsia="cs-CZ"/>
        </w:rPr>
        <w:t>21 do 31. 12. 2021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1.</w:t>
      </w:r>
    </w:p>
    <w:p w:rsidR="00F878E6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Dodavatel bude v </w:t>
      </w:r>
      <w:r>
        <w:rPr>
          <w:rFonts w:eastAsia="Times New Roman" w:cs="Times New Roman"/>
          <w:lang w:eastAsia="cs-CZ"/>
        </w:rPr>
        <w:t>roce</w:t>
      </w:r>
      <w:r w:rsidR="00B7601B">
        <w:rPr>
          <w:rFonts w:eastAsia="Times New Roman" w:cs="Times New Roman"/>
          <w:lang w:eastAsia="cs-CZ"/>
        </w:rPr>
        <w:t xml:space="preserve"> 2021</w:t>
      </w:r>
      <w:r w:rsidRPr="006C4802">
        <w:rPr>
          <w:rFonts w:eastAsia="Times New Roman" w:cs="Times New Roman"/>
          <w:lang w:eastAsia="cs-CZ"/>
        </w:rPr>
        <w:t xml:space="preserve"> zajišťovat vedení komplet</w:t>
      </w:r>
      <w:r>
        <w:rPr>
          <w:rFonts w:eastAsia="Times New Roman" w:cs="Times New Roman"/>
          <w:lang w:eastAsia="cs-CZ"/>
        </w:rPr>
        <w:t>ního účetnictví a poradenství pro odběratele.</w:t>
      </w:r>
    </w:p>
    <w:p w:rsidR="00F878E6" w:rsidRPr="00F9247A" w:rsidRDefault="00F878E6" w:rsidP="00F878E6">
      <w:pPr>
        <w:pStyle w:val="Style6"/>
        <w:widowControl/>
        <w:numPr>
          <w:ilvl w:val="0"/>
          <w:numId w:val="1"/>
        </w:numPr>
        <w:spacing w:before="14" w:line="250" w:lineRule="exact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>komplexní vedení účetnictví účetní jednotky, koordinace účtování o stavu, pohybu a změně</w:t>
      </w:r>
    </w:p>
    <w:p w:rsidR="00F878E6" w:rsidRPr="00F9247A" w:rsidRDefault="00F878E6" w:rsidP="00F878E6">
      <w:pPr>
        <w:pStyle w:val="Style6"/>
        <w:widowControl/>
        <w:spacing w:line="250" w:lineRule="exact"/>
        <w:ind w:left="360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majetku a závazků, o nákladech a výnosech, o výdajích a příjmech a o výsledku hospodaření</w:t>
      </w:r>
    </w:p>
    <w:p w:rsidR="00F878E6" w:rsidRPr="00F9247A" w:rsidRDefault="00F878E6" w:rsidP="00F878E6">
      <w:pPr>
        <w:pStyle w:val="Style6"/>
        <w:widowControl/>
        <w:spacing w:line="250" w:lineRule="exact"/>
        <w:ind w:left="360"/>
        <w:jc w:val="left"/>
        <w:rPr>
          <w:rStyle w:val="FontStyle12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včetně účetní závěrky a vedení účetních knih </w:t>
      </w:r>
    </w:p>
    <w:p w:rsidR="00F878E6" w:rsidRPr="00F9247A" w:rsidRDefault="00F878E6" w:rsidP="00F878E6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zaji</w:t>
      </w:r>
      <w:r w:rsidR="00583466">
        <w:rPr>
          <w:rStyle w:val="FontStyle13"/>
          <w:rFonts w:asciiTheme="minorHAnsi" w:hAnsiTheme="minorHAnsi" w:cs="Arial"/>
          <w:sz w:val="22"/>
          <w:szCs w:val="22"/>
        </w:rPr>
        <w:t xml:space="preserve">šťování poradenské, rozborové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činnosti v odborných agendách</w:t>
      </w:r>
    </w:p>
    <w:p w:rsidR="00F878E6" w:rsidRPr="00F9247A" w:rsidRDefault="00F878E6" w:rsidP="00F878E6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zajišťování hospodárného využívání objektů po provozně </w:t>
      </w:r>
      <w:r w:rsidR="00583466">
        <w:rPr>
          <w:rStyle w:val="FontStyle13"/>
          <w:rFonts w:asciiTheme="minorHAnsi" w:hAnsiTheme="minorHAnsi" w:cs="Arial"/>
          <w:sz w:val="22"/>
          <w:szCs w:val="22"/>
        </w:rPr>
        <w:t xml:space="preserve">po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ekonomické stránce</w:t>
      </w:r>
    </w:p>
    <w:p w:rsidR="00F878E6" w:rsidRPr="00F9247A" w:rsidRDefault="00F878E6" w:rsidP="00F878E6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analýzu a formulace konkrétních úkolů z oblasti zpracování dat </w:t>
      </w:r>
    </w:p>
    <w:p w:rsidR="00F878E6" w:rsidRDefault="00F878E6" w:rsidP="00F878E6">
      <w:pPr>
        <w:pStyle w:val="Style2"/>
        <w:widowControl/>
        <w:spacing w:before="38" w:line="240" w:lineRule="auto"/>
        <w:rPr>
          <w:rStyle w:val="FontStyle12"/>
          <w:rFonts w:ascii="Arial" w:hAnsi="Arial" w:cs="Arial"/>
          <w:b w:val="0"/>
        </w:rPr>
      </w:pPr>
    </w:p>
    <w:p w:rsidR="00F878E6" w:rsidRPr="00CD1B35" w:rsidRDefault="00F878E6" w:rsidP="00583466">
      <w:pPr>
        <w:pStyle w:val="Style2"/>
        <w:widowControl/>
        <w:spacing w:before="38" w:line="240" w:lineRule="auto"/>
        <w:rPr>
          <w:rStyle w:val="FontStyle12"/>
          <w:rFonts w:asciiTheme="minorHAnsi" w:hAnsiTheme="minorHAnsi" w:cs="Arial"/>
          <w:b w:val="0"/>
          <w:sz w:val="22"/>
          <w:szCs w:val="22"/>
        </w:rPr>
      </w:pPr>
      <w:r w:rsidRPr="00CD1B35">
        <w:rPr>
          <w:rStyle w:val="FontStyle12"/>
          <w:rFonts w:asciiTheme="minorHAnsi" w:hAnsiTheme="minorHAnsi" w:cs="Arial"/>
          <w:sz w:val="22"/>
          <w:szCs w:val="22"/>
        </w:rPr>
        <w:t xml:space="preserve">V účetním </w:t>
      </w:r>
      <w:r w:rsidR="00583466">
        <w:rPr>
          <w:rStyle w:val="FontStyle12"/>
          <w:rFonts w:asciiTheme="minorHAnsi" w:hAnsiTheme="minorHAnsi" w:cs="Arial"/>
          <w:sz w:val="22"/>
          <w:szCs w:val="22"/>
        </w:rPr>
        <w:t xml:space="preserve">programu </w:t>
      </w:r>
      <w:r w:rsidR="00583466" w:rsidRPr="00F9247A">
        <w:rPr>
          <w:rStyle w:val="FontStyle12"/>
          <w:rFonts w:asciiTheme="minorHAnsi" w:hAnsiTheme="minorHAnsi" w:cs="Arial"/>
          <w:sz w:val="22"/>
          <w:szCs w:val="22"/>
        </w:rPr>
        <w:t xml:space="preserve">Helios </w:t>
      </w:r>
      <w:proofErr w:type="spellStart"/>
      <w:r w:rsidR="00583466" w:rsidRPr="00F9247A">
        <w:rPr>
          <w:rStyle w:val="FontStyle12"/>
          <w:rFonts w:asciiTheme="minorHAnsi" w:hAnsiTheme="minorHAnsi" w:cs="Arial"/>
          <w:sz w:val="22"/>
          <w:szCs w:val="22"/>
        </w:rPr>
        <w:t>Fenix</w:t>
      </w:r>
      <w:proofErr w:type="spellEnd"/>
      <w:r w:rsidR="00583466" w:rsidRPr="00CD1B35">
        <w:rPr>
          <w:rStyle w:val="FontStyle12"/>
          <w:rFonts w:asciiTheme="minorHAnsi" w:hAnsiTheme="minorHAnsi" w:cs="Arial"/>
          <w:sz w:val="22"/>
          <w:szCs w:val="22"/>
        </w:rPr>
        <w:t xml:space="preserve"> </w:t>
      </w:r>
      <w:r w:rsidRPr="00CD1B35">
        <w:rPr>
          <w:rStyle w:val="FontStyle12"/>
          <w:rFonts w:asciiTheme="minorHAnsi" w:hAnsiTheme="minorHAnsi" w:cs="Arial"/>
          <w:sz w:val="22"/>
          <w:szCs w:val="22"/>
        </w:rPr>
        <w:t>provádí všechny potřebné operace pro komplexní vedení účetnictví</w:t>
      </w:r>
      <w:r w:rsidR="00583466">
        <w:rPr>
          <w:rStyle w:val="FontStyle12"/>
          <w:rFonts w:asciiTheme="minorHAnsi" w:hAnsiTheme="minorHAnsi" w:cs="Arial"/>
          <w:sz w:val="22"/>
          <w:szCs w:val="22"/>
        </w:rPr>
        <w:t xml:space="preserve">, </w:t>
      </w:r>
      <w:r w:rsidRPr="00CD1B35">
        <w:rPr>
          <w:rStyle w:val="FontStyle12"/>
          <w:rFonts w:asciiTheme="minorHAnsi" w:hAnsiTheme="minorHAnsi" w:cs="Arial"/>
          <w:sz w:val="22"/>
          <w:szCs w:val="22"/>
        </w:rPr>
        <w:t>včetně závěrkových operací dle zákona o účetnictví, zákona o finanční kontrole a dle Zásad vztahů orgánů Jihomoravského kraje k řízení příspěvkových organizací v aktuálním znění. Zajišťuje účtování s ohledem na dodržování Zákoníku práce a zákona o daních z</w:t>
      </w:r>
      <w:r w:rsidR="00C66E7C">
        <w:rPr>
          <w:rStyle w:val="FontStyle12"/>
          <w:rFonts w:asciiTheme="minorHAnsi" w:hAnsiTheme="minorHAnsi" w:cs="Arial"/>
          <w:sz w:val="22"/>
          <w:szCs w:val="22"/>
        </w:rPr>
        <w:t> </w:t>
      </w:r>
      <w:r w:rsidRPr="00CD1B35">
        <w:rPr>
          <w:rStyle w:val="FontStyle12"/>
          <w:rFonts w:asciiTheme="minorHAnsi" w:hAnsiTheme="minorHAnsi" w:cs="Arial"/>
          <w:sz w:val="22"/>
          <w:szCs w:val="22"/>
        </w:rPr>
        <w:t>příjmů</w:t>
      </w:r>
      <w:r w:rsidR="00C66E7C">
        <w:rPr>
          <w:rStyle w:val="FontStyle12"/>
          <w:rFonts w:asciiTheme="minorHAnsi" w:hAnsiTheme="minorHAnsi" w:cs="Arial"/>
          <w:sz w:val="22"/>
          <w:szCs w:val="22"/>
        </w:rPr>
        <w:t>.</w:t>
      </w:r>
      <w:r w:rsidR="00583466">
        <w:rPr>
          <w:rStyle w:val="FontStyle12"/>
          <w:rFonts w:asciiTheme="minorHAnsi" w:hAnsiTheme="minorHAnsi" w:cs="Arial"/>
          <w:sz w:val="22"/>
          <w:szCs w:val="22"/>
        </w:rPr>
        <w:t xml:space="preserve"> V případě potřeby ve spolupráci s konzultantem dodavatele účetního programu na náklady odběratele.</w:t>
      </w:r>
    </w:p>
    <w:p w:rsidR="00F878E6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2.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 účetních služeb dodavatele:</w:t>
      </w:r>
    </w:p>
    <w:p w:rsidR="00F878E6" w:rsidRPr="00F9247A" w:rsidRDefault="00583466" w:rsidP="00F878E6">
      <w:pPr>
        <w:pStyle w:val="Style4"/>
        <w:widowControl/>
        <w:tabs>
          <w:tab w:val="left" w:pos="350"/>
        </w:tabs>
        <w:spacing w:before="278" w:after="240"/>
        <w:rPr>
          <w:rStyle w:val="FontStyle14"/>
          <w:rFonts w:asciiTheme="minorHAnsi" w:hAnsiTheme="minorHAnsi" w:cs="Arial"/>
          <w:b/>
          <w:bCs/>
          <w:sz w:val="22"/>
          <w:szCs w:val="22"/>
        </w:rPr>
      </w:pPr>
      <w:r>
        <w:rPr>
          <w:rStyle w:val="FontStyle12"/>
          <w:rFonts w:asciiTheme="minorHAnsi" w:hAnsiTheme="minorHAnsi" w:cs="Arial"/>
          <w:sz w:val="22"/>
          <w:szCs w:val="22"/>
        </w:rPr>
        <w:t>FAKTURACE –</w:t>
      </w:r>
    </w:p>
    <w:p w:rsidR="00F878E6" w:rsidRPr="00F9247A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evidence faktur v kni</w:t>
      </w:r>
      <w:r>
        <w:rPr>
          <w:rStyle w:val="FontStyle14"/>
          <w:rFonts w:asciiTheme="minorHAnsi" w:hAnsiTheme="minorHAnsi" w:cs="Arial"/>
          <w:sz w:val="22"/>
          <w:szCs w:val="22"/>
        </w:rPr>
        <w:t>ze faktur, kontrola správ</w:t>
      </w:r>
      <w:r w:rsidR="00C66E7C">
        <w:rPr>
          <w:rStyle w:val="FontStyle14"/>
          <w:rFonts w:asciiTheme="minorHAnsi" w:hAnsiTheme="minorHAnsi" w:cs="Arial"/>
          <w:sz w:val="22"/>
          <w:szCs w:val="22"/>
        </w:rPr>
        <w:t>nosti v rámci řídící kontroly zák</w:t>
      </w:r>
      <w:r>
        <w:rPr>
          <w:rStyle w:val="FontStyle14"/>
          <w:rFonts w:asciiTheme="minorHAnsi" w:hAnsiTheme="minorHAnsi" w:cs="Arial"/>
          <w:sz w:val="22"/>
          <w:szCs w:val="22"/>
        </w:rPr>
        <w:t>. č. 320/2001 Sb.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br/>
      </w: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vystavení příkazu k</w:t>
      </w:r>
      <w:r>
        <w:rPr>
          <w:rStyle w:val="FontStyle14"/>
          <w:rFonts w:asciiTheme="minorHAnsi" w:hAnsiTheme="minorHAnsi" w:cs="Arial"/>
          <w:sz w:val="22"/>
          <w:szCs w:val="22"/>
        </w:rPr>
        <w:t> 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úhradě</w:t>
      </w:r>
      <w:r>
        <w:rPr>
          <w:rStyle w:val="FontStyle14"/>
          <w:rFonts w:asciiTheme="minorHAnsi" w:hAnsiTheme="minorHAnsi" w:cs="Arial"/>
          <w:sz w:val="22"/>
          <w:szCs w:val="22"/>
        </w:rPr>
        <w:t xml:space="preserve"> prostřednictvím internetového bankovnictví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</w:t>
      </w:r>
    </w:p>
    <w:p w:rsidR="00F878E6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  <w:t>zaúčtování bankovních operací z bankovních výpisů</w:t>
      </w:r>
    </w:p>
    <w:p w:rsidR="00F878E6" w:rsidRPr="00F9247A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zaúčtování </w:t>
      </w:r>
      <w:r>
        <w:rPr>
          <w:rStyle w:val="FontStyle14"/>
          <w:rFonts w:asciiTheme="minorHAnsi" w:hAnsiTheme="minorHAnsi" w:cs="Arial"/>
          <w:sz w:val="22"/>
          <w:szCs w:val="22"/>
        </w:rPr>
        <w:t>dle platné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účtové osnovy a charakteru nákladů</w:t>
      </w:r>
    </w:p>
    <w:p w:rsidR="00F878E6" w:rsidRDefault="00F878E6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>vystavování odběratelských faktur v rámci hlavní a doplňkové činnosti</w:t>
      </w:r>
    </w:p>
    <w:p w:rsidR="008E35C4" w:rsidRDefault="008E35C4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      vedení pokladny v tuzemské a cizí měně, zpracování hotovostních operací</w:t>
      </w:r>
    </w:p>
    <w:p w:rsidR="008E35C4" w:rsidRDefault="008E35C4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      dohled a kontrola kurzů v cizí měně</w:t>
      </w:r>
    </w:p>
    <w:p w:rsidR="008E35C4" w:rsidRDefault="008E35C4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</w:p>
    <w:p w:rsidR="008E35C4" w:rsidRDefault="008E35C4" w:rsidP="00F878E6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</w:p>
    <w:p w:rsidR="00F878E6" w:rsidRDefault="00F878E6" w:rsidP="00F878E6">
      <w:pPr>
        <w:pStyle w:val="Style4"/>
        <w:widowControl/>
        <w:tabs>
          <w:tab w:val="left" w:pos="350"/>
        </w:tabs>
        <w:spacing w:before="278" w:after="240"/>
        <w:rPr>
          <w:rStyle w:val="FontStyle13"/>
          <w:rFonts w:asciiTheme="minorHAnsi" w:hAnsiTheme="minorHAnsi" w:cs="Arial"/>
          <w:b/>
          <w:sz w:val="22"/>
          <w:szCs w:val="22"/>
        </w:rPr>
      </w:pPr>
    </w:p>
    <w:p w:rsidR="00F878E6" w:rsidRPr="00F9247A" w:rsidRDefault="00F878E6" w:rsidP="00F878E6">
      <w:pPr>
        <w:pStyle w:val="Style4"/>
        <w:widowControl/>
        <w:tabs>
          <w:tab w:val="left" w:pos="350"/>
        </w:tabs>
        <w:spacing w:before="278" w:after="240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b/>
          <w:sz w:val="22"/>
          <w:szCs w:val="22"/>
        </w:rPr>
        <w:t>ÚČETNICTVÍ</w:t>
      </w:r>
      <w:r>
        <w:rPr>
          <w:rStyle w:val="FontStyle13"/>
          <w:rFonts w:asciiTheme="minorHAnsi" w:hAnsiTheme="minorHAnsi" w:cs="Arial"/>
          <w:b/>
          <w:sz w:val="22"/>
          <w:szCs w:val="22"/>
        </w:rPr>
        <w:t xml:space="preserve"> </w:t>
      </w:r>
    </w:p>
    <w:p w:rsidR="00F878E6" w:rsidRPr="00F9247A" w:rsidRDefault="00F878E6" w:rsidP="00F878E6">
      <w:pPr>
        <w:pStyle w:val="Style1"/>
        <w:widowControl/>
        <w:ind w:left="322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vedení hlavní účetní knihy, zpracování potřebných účetních dokladů, </w:t>
      </w:r>
    </w:p>
    <w:p w:rsidR="00F878E6" w:rsidRPr="00F9247A" w:rsidRDefault="00F878E6" w:rsidP="00F878E6">
      <w:pPr>
        <w:pStyle w:val="Style1"/>
        <w:widowControl/>
        <w:ind w:left="322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sestavování předepsaných účetních výkazů při zpracování čtvrtletních a roční účetní </w:t>
      </w:r>
      <w:r w:rsidR="008E35C4">
        <w:rPr>
          <w:rStyle w:val="FontStyle13"/>
          <w:rFonts w:asciiTheme="minorHAnsi" w:hAnsiTheme="minorHAnsi" w:cs="Arial"/>
          <w:sz w:val="22"/>
          <w:szCs w:val="22"/>
        </w:rPr>
        <w:t>u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závěrky   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příspěvkové organizace (Rozvaha, Výsledovka, Příloha atd.)</w:t>
      </w: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rozbory hospodaření, zpracování tabulek dle Zásad vztahů JMK k řízení příspěvkových organizací</w:t>
      </w: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zpracování závěrečných zpráv o hospodaření organizace</w:t>
      </w:r>
      <w:r>
        <w:rPr>
          <w:rStyle w:val="FontStyle13"/>
          <w:rFonts w:asciiTheme="minorHAnsi" w:hAnsiTheme="minorHAnsi" w:cs="Arial"/>
          <w:sz w:val="22"/>
          <w:szCs w:val="22"/>
        </w:rPr>
        <w:br/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zakládání a evidence účetních dokladů</w:t>
      </w: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evidence a zaúčtování stravného pro zaměstnance dle aktuální směrnice o poskytování stravenek</w:t>
      </w:r>
    </w:p>
    <w:p w:rsidR="00F878E6" w:rsidRPr="00F9247A" w:rsidRDefault="00F878E6" w:rsidP="008E35C4">
      <w:pPr>
        <w:pStyle w:val="Style1"/>
        <w:widowControl/>
        <w:ind w:left="36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likvidace cestovních příkazů včetně finančního vypořádání se zaměstnanci</w:t>
      </w:r>
    </w:p>
    <w:p w:rsidR="00F878E6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</w:p>
    <w:p w:rsidR="00F878E6" w:rsidRPr="00F9247A" w:rsidRDefault="00F878E6" w:rsidP="00F878E6">
      <w:pPr>
        <w:pStyle w:val="Style1"/>
        <w:widowControl/>
        <w:ind w:left="331"/>
        <w:rPr>
          <w:rStyle w:val="FontStyle13"/>
          <w:rFonts w:asciiTheme="minorHAnsi" w:hAnsiTheme="minorHAnsi" w:cs="Arial"/>
          <w:sz w:val="22"/>
          <w:szCs w:val="22"/>
        </w:rPr>
      </w:pPr>
    </w:p>
    <w:p w:rsidR="005936CB" w:rsidRPr="005936CB" w:rsidRDefault="00F878E6" w:rsidP="00F878E6">
      <w:pPr>
        <w:pStyle w:val="Style2"/>
        <w:widowControl/>
        <w:spacing w:before="38" w:after="240" w:line="240" w:lineRule="auto"/>
        <w:rPr>
          <w:rStyle w:val="FontStyle14"/>
          <w:rFonts w:asciiTheme="minorHAnsi" w:hAnsiTheme="minorHAnsi" w:cs="Arial"/>
          <w:b/>
          <w:bCs/>
          <w:sz w:val="22"/>
          <w:szCs w:val="22"/>
        </w:rPr>
      </w:pPr>
      <w:r w:rsidRPr="00F9247A">
        <w:rPr>
          <w:rStyle w:val="FontStyle14"/>
          <w:rFonts w:asciiTheme="minorHAnsi" w:hAnsiTheme="minorHAnsi" w:cs="Arial"/>
          <w:b/>
          <w:sz w:val="22"/>
          <w:szCs w:val="22"/>
        </w:rPr>
        <w:t>MZDY</w:t>
      </w:r>
      <w:r>
        <w:rPr>
          <w:rStyle w:val="FontStyle14"/>
          <w:rFonts w:asciiTheme="minorHAnsi" w:hAnsiTheme="minorHAnsi" w:cs="Arial"/>
          <w:b/>
          <w:sz w:val="22"/>
          <w:szCs w:val="22"/>
        </w:rPr>
        <w:t xml:space="preserve"> </w:t>
      </w:r>
      <w:r w:rsidRPr="00F9247A">
        <w:rPr>
          <w:rStyle w:val="FontStyle12"/>
          <w:rFonts w:asciiTheme="minorHAnsi" w:hAnsiTheme="minorHAnsi" w:cs="Arial"/>
          <w:sz w:val="22"/>
          <w:szCs w:val="22"/>
        </w:rPr>
        <w:t xml:space="preserve">– účetní program Helios </w:t>
      </w:r>
      <w:proofErr w:type="spellStart"/>
      <w:r w:rsidRPr="00F9247A">
        <w:rPr>
          <w:rStyle w:val="FontStyle12"/>
          <w:rFonts w:asciiTheme="minorHAnsi" w:hAnsiTheme="minorHAnsi" w:cs="Arial"/>
          <w:sz w:val="22"/>
          <w:szCs w:val="22"/>
        </w:rPr>
        <w:t>Fen</w:t>
      </w:r>
      <w:r w:rsidR="005936CB">
        <w:rPr>
          <w:rStyle w:val="FontStyle12"/>
          <w:rFonts w:asciiTheme="minorHAnsi" w:hAnsiTheme="minorHAnsi" w:cs="Arial"/>
          <w:sz w:val="22"/>
          <w:szCs w:val="22"/>
        </w:rPr>
        <w:t>ix</w:t>
      </w:r>
      <w:proofErr w:type="spellEnd"/>
      <w:r w:rsidR="005936CB">
        <w:rPr>
          <w:rStyle w:val="FontStyle12"/>
          <w:rFonts w:asciiTheme="minorHAnsi" w:hAnsiTheme="minorHAnsi" w:cs="Arial"/>
          <w:sz w:val="22"/>
          <w:szCs w:val="22"/>
        </w:rPr>
        <w:t>, Windows Office – Word, Exce</w:t>
      </w:r>
      <w:r w:rsidR="005F58FB">
        <w:rPr>
          <w:rStyle w:val="FontStyle12"/>
          <w:rFonts w:asciiTheme="minorHAnsi" w:hAnsiTheme="minorHAnsi" w:cs="Arial"/>
          <w:sz w:val="22"/>
          <w:szCs w:val="22"/>
        </w:rPr>
        <w:t>l</w:t>
      </w:r>
      <w:bookmarkStart w:id="0" w:name="_GoBack"/>
      <w:bookmarkEnd w:id="0"/>
    </w:p>
    <w:p w:rsidR="00F878E6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sledování rozpočtu mzdových prostředků na příslušný rok</w:t>
      </w:r>
    </w:p>
    <w:p w:rsidR="005936CB" w:rsidRPr="00F9247A" w:rsidRDefault="005936CB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     úzká spolupráce s externím zpracovatelem mezd – mzdovou účetní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zaúčtování mezd dle účtové osnovy a dle účelových znaků</w:t>
      </w:r>
    </w:p>
    <w:p w:rsidR="00F878E6" w:rsidRPr="00F9247A" w:rsidRDefault="00F878E6" w:rsidP="00305D0D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zúčtování přímých výdajů na platy zaměstnanců 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příkazy plateb pro zdravotní pojišťovny</w:t>
      </w:r>
      <w:r w:rsidR="00305D0D">
        <w:rPr>
          <w:rStyle w:val="FontStyle13"/>
          <w:rFonts w:asciiTheme="minorHAnsi" w:hAnsiTheme="minorHAnsi" w:cs="Arial"/>
          <w:sz w:val="22"/>
          <w:szCs w:val="22"/>
        </w:rPr>
        <w:t>, sociální pojišťovnu a další</w:t>
      </w:r>
    </w:p>
    <w:p w:rsidR="00F878E6" w:rsidRDefault="00F878E6" w:rsidP="00C66E7C">
      <w:pPr>
        <w:pStyle w:val="Style3"/>
        <w:widowControl/>
        <w:numPr>
          <w:ilvl w:val="0"/>
          <w:numId w:val="1"/>
        </w:numPr>
        <w:spacing w:line="240" w:lineRule="auto"/>
        <w:rPr>
          <w:rStyle w:val="FontStyle14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>v</w:t>
      </w:r>
      <w:r w:rsidR="00C66E7C">
        <w:rPr>
          <w:rStyle w:val="FontStyle14"/>
          <w:rFonts w:asciiTheme="minorHAnsi" w:hAnsiTheme="minorHAnsi" w:cs="Arial"/>
          <w:sz w:val="22"/>
          <w:szCs w:val="22"/>
        </w:rPr>
        <w:t>yplácí mzdy zaměstnancům</w:t>
      </w:r>
    </w:p>
    <w:p w:rsidR="00F878E6" w:rsidRPr="00F9247A" w:rsidRDefault="00F878E6" w:rsidP="00F878E6">
      <w:pPr>
        <w:pStyle w:val="Style3"/>
        <w:widowControl/>
        <w:spacing w:before="5" w:line="240" w:lineRule="auto"/>
        <w:ind w:left="350"/>
        <w:rPr>
          <w:rStyle w:val="FontStyle14"/>
          <w:rFonts w:asciiTheme="minorHAnsi" w:hAnsiTheme="minorHAnsi" w:cs="Arial"/>
          <w:sz w:val="22"/>
          <w:szCs w:val="22"/>
        </w:rPr>
      </w:pPr>
    </w:p>
    <w:p w:rsidR="00F878E6" w:rsidRPr="00F9247A" w:rsidRDefault="00F878E6" w:rsidP="00F878E6">
      <w:pPr>
        <w:pStyle w:val="Style3"/>
        <w:widowControl/>
        <w:spacing w:before="5" w:after="240" w:line="240" w:lineRule="auto"/>
        <w:rPr>
          <w:rStyle w:val="FontStyle14"/>
          <w:rFonts w:asciiTheme="minorHAnsi" w:hAnsiTheme="minorHAnsi" w:cs="Arial"/>
          <w:sz w:val="22"/>
          <w:szCs w:val="22"/>
        </w:rPr>
      </w:pPr>
      <w:r w:rsidRPr="00F9247A">
        <w:rPr>
          <w:rStyle w:val="FontStyle14"/>
          <w:rFonts w:asciiTheme="minorHAnsi" w:hAnsiTheme="minorHAnsi" w:cs="Arial"/>
          <w:b/>
          <w:sz w:val="22"/>
          <w:szCs w:val="22"/>
        </w:rPr>
        <w:t xml:space="preserve">EVIDENCE MAJETKU 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b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b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zaúčtování a evidence dlouhodobého hmotného a nehmotného majetku (movitý i nemovitý)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zpracování odpisového plánu, účtování odpisů dlouhodobého majetku</w:t>
      </w:r>
    </w:p>
    <w:p w:rsidR="00F878E6" w:rsidRPr="00F9247A" w:rsidRDefault="00F878E6" w:rsidP="00F878E6">
      <w:pPr>
        <w:pStyle w:val="Style1"/>
        <w:widowControl/>
        <w:spacing w:before="5"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zaúčtování a evidence drobného dlouhodobého majetku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vyřazování a převodky majetku dle potřeby organizace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evidence a účtování smluv o pronájmu majetku (např. učebních pomůcek, hudebních nástrojů,</w:t>
      </w:r>
      <w:r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atd.)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zajištění inventarizace dle zákona o účetnictví, zpracování inventurních soupisů, 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provedení dokladové inventury, zajištění vyřazovacích protokolů</w:t>
      </w:r>
    </w:p>
    <w:p w:rsidR="00F878E6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zpracování závěrečné Inventarizační zprávy dle požadavků Zásad vztahů JMK k řízení příspěvkových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organizací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</w:p>
    <w:p w:rsidR="00F878E6" w:rsidRPr="00F9247A" w:rsidRDefault="00F878E6" w:rsidP="00F878E6">
      <w:pPr>
        <w:pStyle w:val="Style4"/>
        <w:widowControl/>
        <w:tabs>
          <w:tab w:val="left" w:pos="355"/>
        </w:tabs>
        <w:spacing w:before="269" w:after="240"/>
        <w:rPr>
          <w:rStyle w:val="FontStyle14"/>
          <w:rFonts w:asciiTheme="minorHAnsi" w:hAnsiTheme="minorHAnsi" w:cs="Arial"/>
          <w:b/>
          <w:sz w:val="22"/>
          <w:szCs w:val="22"/>
        </w:rPr>
      </w:pPr>
      <w:r w:rsidRPr="00F9247A">
        <w:rPr>
          <w:rStyle w:val="FontStyle14"/>
          <w:rFonts w:asciiTheme="minorHAnsi" w:hAnsiTheme="minorHAnsi" w:cs="Arial"/>
          <w:b/>
          <w:sz w:val="22"/>
          <w:szCs w:val="22"/>
        </w:rPr>
        <w:t>STATISTICKÉ VÝKAZY</w:t>
      </w:r>
    </w:p>
    <w:p w:rsidR="00F878E6" w:rsidRPr="00F9247A" w:rsidRDefault="00F878E6" w:rsidP="00F878E6">
      <w:pPr>
        <w:pStyle w:val="Style1"/>
        <w:widowControl/>
        <w:numPr>
          <w:ilvl w:val="0"/>
          <w:numId w:val="1"/>
        </w:numPr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čtvrtletní a roční výkazy o hospodaření příspěvkové organizace (kompletní hospodaření, přehled 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majetku, fondy atd.)</w:t>
      </w:r>
    </w:p>
    <w:p w:rsidR="00F878E6" w:rsidRPr="00F9247A" w:rsidRDefault="00F878E6" w:rsidP="00F878E6">
      <w:pPr>
        <w:pStyle w:val="Style1"/>
        <w:widowControl/>
        <w:ind w:left="365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výkazy o energiích a palivech</w:t>
      </w:r>
    </w:p>
    <w:p w:rsidR="00F878E6" w:rsidRPr="00F9247A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statistické výkazy o investicích (čtvrtletní a roční)</w:t>
      </w:r>
    </w:p>
    <w:p w:rsidR="00F878E6" w:rsidRDefault="00F878E6" w:rsidP="00F878E6">
      <w:pPr>
        <w:pStyle w:val="Style1"/>
        <w:widowControl/>
        <w:ind w:left="370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další statistiky dle pokynů ČSÚ</w:t>
      </w:r>
    </w:p>
    <w:p w:rsidR="00F878E6" w:rsidRDefault="00F878E6" w:rsidP="00F878E6">
      <w:pPr>
        <w:pStyle w:val="Style2"/>
        <w:widowControl/>
        <w:spacing w:before="38" w:line="240" w:lineRule="auto"/>
        <w:rPr>
          <w:rStyle w:val="FontStyle13"/>
          <w:rFonts w:ascii="Arial" w:hAnsi="Arial" w:cs="Arial"/>
          <w:b/>
        </w:rPr>
      </w:pP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3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Odběratel se zavazuje předat včas a podle pokynů dodavatele veškeré materiály, podklady a doklady potřebné ke zpracování účetnictví, a zpracování mzdové agendy. Odběratel výslovně prohlašuje, že si je vědom toho, že dodavatel může zaúčtovat včas a řádně jen ty účetní doklady, které včas, řádně a v úplnosti obdrží.</w:t>
      </w:r>
      <w:r>
        <w:rPr>
          <w:rFonts w:eastAsia="Times New Roman" w:cs="Times New Roman"/>
          <w:lang w:eastAsia="cs-CZ"/>
        </w:rPr>
        <w:t xml:space="preserve"> Odběratel se zavazuje zajistit provozní podporu servis, údržbu a aktualizaci informačního systému Helios </w:t>
      </w:r>
      <w:proofErr w:type="spellStart"/>
      <w:r>
        <w:rPr>
          <w:rFonts w:eastAsia="Times New Roman" w:cs="Times New Roman"/>
          <w:lang w:eastAsia="cs-CZ"/>
        </w:rPr>
        <w:t>Fenix</w:t>
      </w:r>
      <w:proofErr w:type="spellEnd"/>
      <w:r>
        <w:rPr>
          <w:rFonts w:eastAsia="Times New Roman" w:cs="Times New Roman"/>
          <w:lang w:eastAsia="cs-CZ"/>
        </w:rPr>
        <w:t>.</w:t>
      </w:r>
    </w:p>
    <w:p w:rsidR="00F878E6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</w:p>
    <w:p w:rsidR="00F878E6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4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Odběratel </w:t>
      </w:r>
      <w:r>
        <w:rPr>
          <w:rFonts w:eastAsia="Times New Roman" w:cs="Times New Roman"/>
          <w:lang w:eastAsia="cs-CZ"/>
        </w:rPr>
        <w:t>uhradí</w:t>
      </w:r>
      <w:r w:rsidRPr="006C4802">
        <w:rPr>
          <w:rFonts w:eastAsia="Times New Roman" w:cs="Times New Roman"/>
          <w:lang w:eastAsia="cs-CZ"/>
        </w:rPr>
        <w:t xml:space="preserve"> za služby stanovené </w:t>
      </w:r>
      <w:r>
        <w:rPr>
          <w:rFonts w:eastAsia="Times New Roman" w:cs="Times New Roman"/>
          <w:lang w:eastAsia="cs-CZ"/>
        </w:rPr>
        <w:t>touto smlouvou</w:t>
      </w:r>
      <w:r w:rsidRPr="006C4802">
        <w:rPr>
          <w:rFonts w:eastAsia="Times New Roman" w:cs="Times New Roman"/>
          <w:lang w:eastAsia="cs-CZ"/>
        </w:rPr>
        <w:t> </w:t>
      </w:r>
      <w:r>
        <w:rPr>
          <w:rFonts w:eastAsia="Times New Roman" w:cs="Times New Roman"/>
          <w:lang w:eastAsia="cs-CZ"/>
        </w:rPr>
        <w:t xml:space="preserve">částku, </w:t>
      </w:r>
      <w:r w:rsidRPr="009A68B4">
        <w:rPr>
          <w:rFonts w:eastAsia="Times New Roman" w:cs="Times New Roman"/>
          <w:lang w:eastAsia="cs-CZ"/>
        </w:rPr>
        <w:t xml:space="preserve">která bude stanovena na základě </w:t>
      </w:r>
      <w:r>
        <w:rPr>
          <w:rFonts w:eastAsia="Times New Roman" w:cs="Times New Roman"/>
          <w:lang w:eastAsia="cs-CZ"/>
        </w:rPr>
        <w:t xml:space="preserve">provedených úkonů </w:t>
      </w:r>
      <w:r w:rsidRPr="009A68B4">
        <w:rPr>
          <w:rFonts w:eastAsia="Times New Roman" w:cs="Times New Roman"/>
          <w:lang w:eastAsia="cs-CZ"/>
        </w:rPr>
        <w:t xml:space="preserve">dodavatelem </w:t>
      </w:r>
      <w:r>
        <w:rPr>
          <w:rFonts w:eastAsia="Times New Roman" w:cs="Times New Roman"/>
          <w:lang w:eastAsia="cs-CZ"/>
        </w:rPr>
        <w:t xml:space="preserve">a jím </w:t>
      </w:r>
      <w:r w:rsidRPr="009A68B4">
        <w:rPr>
          <w:rFonts w:eastAsia="Times New Roman" w:cs="Times New Roman"/>
          <w:lang w:eastAsia="cs-CZ"/>
        </w:rPr>
        <w:t>vystavené faktury.</w:t>
      </w:r>
      <w:r>
        <w:rPr>
          <w:rFonts w:eastAsia="Times New Roman" w:cs="Times New Roman"/>
          <w:lang w:eastAsia="cs-CZ"/>
        </w:rPr>
        <w:t xml:space="preserve"> Součástí této smlouvy je Ceník služeb (příloha č. 1), dle kterého budou služby položkově specifikované hodinovou respektive jednorázovou sazbou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5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odpovídá za řádné provedení účetní uzávěr</w:t>
      </w:r>
      <w:r>
        <w:rPr>
          <w:rFonts w:eastAsia="Times New Roman" w:cs="Times New Roman"/>
          <w:lang w:eastAsia="cs-CZ"/>
        </w:rPr>
        <w:t>ky</w:t>
      </w:r>
      <w:r w:rsidRPr="006C4802">
        <w:rPr>
          <w:rFonts w:eastAsia="Times New Roman" w:cs="Times New Roman"/>
          <w:lang w:eastAsia="cs-CZ"/>
        </w:rPr>
        <w:t xml:space="preserve"> a to přesně podle</w:t>
      </w:r>
      <w:r>
        <w:rPr>
          <w:rFonts w:eastAsia="Times New Roman" w:cs="Times New Roman"/>
          <w:lang w:eastAsia="cs-CZ"/>
        </w:rPr>
        <w:t xml:space="preserve"> požadavků zákona o účetnictví a</w:t>
      </w:r>
      <w:r w:rsidRPr="006C4802">
        <w:rPr>
          <w:rFonts w:eastAsia="Times New Roman" w:cs="Times New Roman"/>
          <w:lang w:eastAsia="cs-CZ"/>
        </w:rPr>
        <w:t xml:space="preserve"> požadavků daňových předpisů.</w:t>
      </w:r>
    </w:p>
    <w:p w:rsidR="00F878E6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6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nesdělovat žádné skutečnosti zjištěné v souvislosti s touto smlouvou neoprávněným osobám.</w:t>
      </w:r>
      <w:r>
        <w:rPr>
          <w:rFonts w:eastAsia="Times New Roman" w:cs="Times New Roman"/>
          <w:lang w:eastAsia="cs-CZ"/>
        </w:rPr>
        <w:t xml:space="preserve"> </w:t>
      </w:r>
      <w:r w:rsidRPr="006C4802">
        <w:rPr>
          <w:rFonts w:eastAsia="Times New Roman" w:cs="Times New Roman"/>
          <w:lang w:eastAsia="cs-CZ"/>
        </w:rPr>
        <w:t>Dále dodavatel odběratele ujišťuje o tom, že zpracování dat bude plně odpovídat pravidlům, která pro zpracování osobních údajů stanoví zákon č. 101/2000 Sb. o ochraně osobních údajů.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7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jednat podle dobrých obchodních zvyklostí</w:t>
      </w:r>
      <w:r>
        <w:rPr>
          <w:rFonts w:eastAsia="Times New Roman" w:cs="Times New Roman"/>
          <w:lang w:eastAsia="cs-CZ"/>
        </w:rPr>
        <w:t>. Pokud není dohodnuto jinak, řídí se obě strany ustanoveními Zákona č. 89/2012 Sb., občanský zákoník.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8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Tato smlouva je </w:t>
      </w:r>
      <w:r>
        <w:rPr>
          <w:rFonts w:eastAsia="Times New Roman" w:cs="Times New Roman"/>
          <w:lang w:eastAsia="cs-CZ"/>
        </w:rPr>
        <w:t>vyhotovena</w:t>
      </w:r>
      <w:r w:rsidRPr="006C4802">
        <w:rPr>
          <w:rFonts w:eastAsia="Times New Roman" w:cs="Times New Roman"/>
          <w:lang w:eastAsia="cs-CZ"/>
        </w:rPr>
        <w:t xml:space="preserve"> ve dvou </w:t>
      </w:r>
      <w:r>
        <w:rPr>
          <w:rFonts w:eastAsia="Times New Roman" w:cs="Times New Roman"/>
          <w:lang w:eastAsia="cs-CZ"/>
        </w:rPr>
        <w:t>stejnopisech s platností originálu</w:t>
      </w:r>
      <w:r w:rsidRPr="006C4802">
        <w:rPr>
          <w:rFonts w:eastAsia="Times New Roman" w:cs="Times New Roman"/>
          <w:lang w:eastAsia="cs-CZ"/>
        </w:rPr>
        <w:t>. Jakékoliv změny dohodnutých závazků a plnění, pokud jsou upraveny v této smlouvě, musí být upraveny písemným dodatkem.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9</w:t>
      </w:r>
      <w:r w:rsidRPr="006C4802">
        <w:rPr>
          <w:rFonts w:eastAsia="Times New Roman" w:cs="Times New Roman"/>
          <w:b/>
          <w:bCs/>
          <w:lang w:eastAsia="cs-CZ"/>
        </w:rPr>
        <w:t>.</w:t>
      </w:r>
    </w:p>
    <w:p w:rsidR="00F878E6" w:rsidRPr="006C4802" w:rsidRDefault="00F878E6" w:rsidP="00F878E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Smlouva nabývá platnosti dnem podepsání. Obě smluvní strany ji mohou vypovědět okamžitě jen z důvodu neplnění této smlouvy druhou stranou, nebo pokud plnění bude vyžadováno</w:t>
      </w:r>
      <w:r>
        <w:rPr>
          <w:rFonts w:eastAsia="Times New Roman" w:cs="Times New Roman"/>
          <w:lang w:eastAsia="cs-CZ"/>
        </w:rPr>
        <w:t xml:space="preserve"> v rozporu s právními předpisy. V ostatních případech je výpovědní doba 3 měsíce nebo po vzájemné dohodě obou stran.</w:t>
      </w:r>
    </w:p>
    <w:p w:rsidR="00F878E6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 </w:t>
      </w:r>
    </w:p>
    <w:p w:rsidR="00F878E6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</w:p>
    <w:p w:rsidR="00F878E6" w:rsidRPr="006C4802" w:rsidRDefault="00F878E6" w:rsidP="00F878E6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V </w:t>
      </w:r>
      <w:r>
        <w:rPr>
          <w:rFonts w:eastAsia="Times New Roman" w:cs="Times New Roman"/>
          <w:lang w:eastAsia="cs-CZ"/>
        </w:rPr>
        <w:t>Brně</w:t>
      </w:r>
      <w:r w:rsidRPr="006C4802">
        <w:rPr>
          <w:rFonts w:eastAsia="Times New Roman" w:cs="Times New Roman"/>
          <w:lang w:eastAsia="cs-CZ"/>
        </w:rPr>
        <w:t xml:space="preserve">  </w:t>
      </w:r>
      <w:r>
        <w:rPr>
          <w:rFonts w:eastAsia="Times New Roman" w:cs="Times New Roman"/>
          <w:lang w:eastAsia="cs-CZ"/>
        </w:rPr>
        <w:t>31</w:t>
      </w:r>
      <w:r w:rsidRPr="006C4802">
        <w:rPr>
          <w:rFonts w:eastAsia="Times New Roman" w:cs="Times New Roman"/>
          <w:lang w:eastAsia="cs-CZ"/>
        </w:rPr>
        <w:t xml:space="preserve">. </w:t>
      </w:r>
      <w:r w:rsidR="00B7601B">
        <w:rPr>
          <w:rFonts w:eastAsia="Times New Roman" w:cs="Times New Roman"/>
          <w:lang w:eastAsia="cs-CZ"/>
        </w:rPr>
        <w:t>prosince  2020</w:t>
      </w:r>
    </w:p>
    <w:p w:rsidR="00F878E6" w:rsidRDefault="00F878E6" w:rsidP="00F878E6"/>
    <w:p w:rsidR="00F878E6" w:rsidRDefault="00F878E6" w:rsidP="00F878E6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F878E6" w:rsidRDefault="00F878E6" w:rsidP="00F878E6"/>
    <w:p w:rsidR="00F878E6" w:rsidRDefault="00F878E6" w:rsidP="00F878E6"/>
    <w:p w:rsidR="00F878E6" w:rsidRDefault="00F878E6" w:rsidP="00F878E6"/>
    <w:p w:rsidR="00F878E6" w:rsidRDefault="00F878E6" w:rsidP="00F878E6">
      <w:r>
        <w:t>……………………………………………………………….</w:t>
      </w:r>
      <w:r>
        <w:tab/>
      </w:r>
      <w:r>
        <w:tab/>
      </w:r>
      <w:r>
        <w:tab/>
        <w:t>……………………………………………………………………</w:t>
      </w:r>
    </w:p>
    <w:p w:rsidR="00F878E6" w:rsidRPr="006C4802" w:rsidRDefault="00F878E6" w:rsidP="00F878E6">
      <w:r>
        <w:tab/>
        <w:t>Mgr. Pavel Sapák</w:t>
      </w:r>
      <w:r>
        <w:tab/>
      </w:r>
      <w:r>
        <w:tab/>
      </w:r>
      <w:r>
        <w:tab/>
      </w:r>
      <w:r>
        <w:tab/>
      </w:r>
      <w:r>
        <w:tab/>
      </w:r>
      <w:r>
        <w:tab/>
        <w:t>Ing. Vlasta Zezulová</w:t>
      </w:r>
    </w:p>
    <w:p w:rsidR="00D759AD" w:rsidRDefault="00D759AD"/>
    <w:sectPr w:rsidR="00D759AD" w:rsidSect="00CB0BE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56F4C"/>
    <w:multiLevelType w:val="hybridMultilevel"/>
    <w:tmpl w:val="E83CFFE4"/>
    <w:lvl w:ilvl="0" w:tplc="83F6D55C">
      <w:start w:val="1"/>
      <w:numFmt w:val="bullet"/>
      <w:lvlText w:val="-"/>
      <w:lvlJc w:val="left"/>
      <w:pPr>
        <w:ind w:left="725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EF"/>
    <w:rsid w:val="00105E22"/>
    <w:rsid w:val="00305D0D"/>
    <w:rsid w:val="00583466"/>
    <w:rsid w:val="005936CB"/>
    <w:rsid w:val="005F58FB"/>
    <w:rsid w:val="007D732E"/>
    <w:rsid w:val="00853DEF"/>
    <w:rsid w:val="008E35C4"/>
    <w:rsid w:val="008E5A5C"/>
    <w:rsid w:val="00B7601B"/>
    <w:rsid w:val="00C66E7C"/>
    <w:rsid w:val="00D759AD"/>
    <w:rsid w:val="00F8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70C5"/>
  <w15:chartTrackingRefBased/>
  <w15:docId w15:val="{BA154EA8-4170-4315-948D-EC5D86D6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8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">
    <w:name w:val="Font Style12"/>
    <w:basedOn w:val="Standardnpsmoodstavce"/>
    <w:uiPriority w:val="99"/>
    <w:rsid w:val="00F878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Standardnpsmoodstavce"/>
    <w:uiPriority w:val="99"/>
    <w:rsid w:val="00F878E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878E6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878E6"/>
    <w:rPr>
      <w:rFonts w:ascii="Times New Roman" w:hAnsi="Times New Roman" w:cs="Times New Roman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857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 ZUŠ F. Jílka</cp:lastModifiedBy>
  <cp:revision>6</cp:revision>
  <cp:lastPrinted>2020-12-17T13:59:00Z</cp:lastPrinted>
  <dcterms:created xsi:type="dcterms:W3CDTF">2020-12-17T06:39:00Z</dcterms:created>
  <dcterms:modified xsi:type="dcterms:W3CDTF">2020-12-17T14:00:00Z</dcterms:modified>
</cp:coreProperties>
</file>