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A3E" w:rsidRPr="000D3A4B" w:rsidRDefault="003B7654" w:rsidP="00265A7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D3A4B">
        <w:rPr>
          <w:rFonts w:ascii="Arial" w:hAnsi="Arial" w:cs="Arial"/>
          <w:b/>
          <w:bCs/>
          <w:sz w:val="28"/>
          <w:szCs w:val="28"/>
        </w:rPr>
        <w:t>Dodatek č.</w:t>
      </w:r>
      <w:r w:rsidR="00265A7A" w:rsidRPr="000D3A4B">
        <w:rPr>
          <w:rFonts w:ascii="Arial" w:hAnsi="Arial" w:cs="Arial"/>
          <w:b/>
          <w:bCs/>
          <w:sz w:val="28"/>
          <w:szCs w:val="28"/>
        </w:rPr>
        <w:t xml:space="preserve"> </w:t>
      </w:r>
      <w:r w:rsidRPr="000D3A4B">
        <w:rPr>
          <w:rFonts w:ascii="Arial" w:hAnsi="Arial" w:cs="Arial"/>
          <w:b/>
          <w:bCs/>
          <w:sz w:val="28"/>
          <w:szCs w:val="28"/>
        </w:rPr>
        <w:t>1</w:t>
      </w:r>
    </w:p>
    <w:p w:rsidR="003B7654" w:rsidRPr="000D3A4B" w:rsidRDefault="001F566F" w:rsidP="003B765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</w:t>
      </w:r>
      <w:r w:rsidR="003B7654" w:rsidRPr="000D3A4B">
        <w:rPr>
          <w:rFonts w:ascii="Arial" w:hAnsi="Arial" w:cs="Arial"/>
          <w:b/>
          <w:bCs/>
          <w:sz w:val="28"/>
          <w:szCs w:val="28"/>
        </w:rPr>
        <w:t xml:space="preserve">e </w:t>
      </w:r>
      <w:r w:rsidR="005D5279">
        <w:rPr>
          <w:rFonts w:ascii="Arial" w:hAnsi="Arial" w:cs="Arial"/>
          <w:b/>
          <w:bCs/>
          <w:sz w:val="28"/>
          <w:szCs w:val="28"/>
        </w:rPr>
        <w:t>S</w:t>
      </w:r>
      <w:r w:rsidR="003B7654" w:rsidRPr="000D3A4B">
        <w:rPr>
          <w:rFonts w:ascii="Arial" w:hAnsi="Arial" w:cs="Arial"/>
          <w:b/>
          <w:bCs/>
          <w:sz w:val="28"/>
          <w:szCs w:val="28"/>
        </w:rPr>
        <w:t>mlouvě o podnájmu nebytových prostor</w:t>
      </w:r>
    </w:p>
    <w:p w:rsidR="003B7654" w:rsidRPr="000D3A4B" w:rsidRDefault="003B7654" w:rsidP="003B7654">
      <w:pPr>
        <w:tabs>
          <w:tab w:val="left" w:pos="1843"/>
        </w:tabs>
        <w:spacing w:after="0"/>
        <w:rPr>
          <w:rFonts w:ascii="Arial" w:hAnsi="Arial" w:cs="Arial"/>
          <w:b/>
        </w:rPr>
      </w:pPr>
    </w:p>
    <w:p w:rsidR="003B7654" w:rsidRPr="000D3A4B" w:rsidRDefault="003B7654" w:rsidP="003B7654">
      <w:pPr>
        <w:tabs>
          <w:tab w:val="left" w:pos="1843"/>
        </w:tabs>
        <w:spacing w:after="0"/>
        <w:rPr>
          <w:rFonts w:ascii="Arial" w:hAnsi="Arial" w:cs="Arial"/>
          <w:b/>
        </w:rPr>
      </w:pPr>
      <w:r w:rsidRPr="000D3A4B">
        <w:rPr>
          <w:rFonts w:ascii="Arial" w:hAnsi="Arial" w:cs="Arial"/>
          <w:b/>
        </w:rPr>
        <w:t>Nájemce:</w:t>
      </w:r>
      <w:r w:rsidRPr="000D3A4B">
        <w:rPr>
          <w:rFonts w:ascii="Arial" w:hAnsi="Arial" w:cs="Arial"/>
          <w:b/>
        </w:rPr>
        <w:tab/>
      </w:r>
      <w:r w:rsidRPr="000D3A4B">
        <w:rPr>
          <w:rFonts w:ascii="Arial" w:hAnsi="Arial" w:cs="Arial"/>
          <w:b/>
          <w:shd w:val="clear" w:color="auto" w:fill="FFFFFF"/>
        </w:rPr>
        <w:t>Víceúčelová sportovní hala Slaný spol. s r.o.</w:t>
      </w:r>
      <w:r w:rsidRPr="000D3A4B">
        <w:rPr>
          <w:rFonts w:ascii="Arial" w:hAnsi="Arial" w:cs="Arial"/>
          <w:b/>
        </w:rPr>
        <w:tab/>
      </w:r>
    </w:p>
    <w:p w:rsidR="003B7654" w:rsidRPr="000D3A4B" w:rsidRDefault="003B7654" w:rsidP="003B7654">
      <w:pPr>
        <w:tabs>
          <w:tab w:val="left" w:pos="1843"/>
        </w:tabs>
        <w:spacing w:after="0"/>
        <w:rPr>
          <w:rFonts w:ascii="Arial" w:hAnsi="Arial" w:cs="Arial"/>
        </w:rPr>
      </w:pPr>
      <w:r w:rsidRPr="000D3A4B">
        <w:rPr>
          <w:rFonts w:ascii="Arial" w:hAnsi="Arial" w:cs="Arial"/>
        </w:rPr>
        <w:t>IČO:</w:t>
      </w:r>
      <w:r w:rsidRPr="000D3A4B">
        <w:rPr>
          <w:rFonts w:ascii="Arial" w:hAnsi="Arial" w:cs="Arial"/>
        </w:rPr>
        <w:tab/>
      </w:r>
      <w:r w:rsidRPr="000D3A4B">
        <w:rPr>
          <w:rFonts w:ascii="Arial" w:hAnsi="Arial" w:cs="Arial"/>
          <w:shd w:val="clear" w:color="auto" w:fill="FFFFFF"/>
        </w:rPr>
        <w:t>25105299</w:t>
      </w:r>
    </w:p>
    <w:p w:rsidR="003B7654" w:rsidRPr="000D3A4B" w:rsidRDefault="003B7654" w:rsidP="003B7654">
      <w:pPr>
        <w:tabs>
          <w:tab w:val="left" w:pos="1843"/>
        </w:tabs>
        <w:spacing w:after="0"/>
        <w:rPr>
          <w:rFonts w:ascii="Arial" w:hAnsi="Arial" w:cs="Arial"/>
          <w:shd w:val="clear" w:color="auto" w:fill="FFFFFF"/>
        </w:rPr>
      </w:pPr>
      <w:r w:rsidRPr="000D3A4B">
        <w:rPr>
          <w:rFonts w:ascii="Arial" w:hAnsi="Arial" w:cs="Arial"/>
        </w:rPr>
        <w:t xml:space="preserve">se sídlem: </w:t>
      </w:r>
      <w:r w:rsidRPr="000D3A4B">
        <w:rPr>
          <w:rFonts w:ascii="Arial" w:hAnsi="Arial" w:cs="Arial"/>
        </w:rPr>
        <w:tab/>
      </w:r>
      <w:r w:rsidRPr="000D3A4B">
        <w:rPr>
          <w:rFonts w:ascii="Arial" w:hAnsi="Arial" w:cs="Arial"/>
          <w:shd w:val="clear" w:color="auto" w:fill="FFFFFF"/>
        </w:rPr>
        <w:t>Lacinova 1720, 274 01 Slaný</w:t>
      </w:r>
    </w:p>
    <w:p w:rsidR="003B7654" w:rsidRPr="000D3A4B" w:rsidRDefault="003B7654" w:rsidP="003B7654">
      <w:pPr>
        <w:tabs>
          <w:tab w:val="left" w:pos="1843"/>
        </w:tabs>
        <w:spacing w:after="0"/>
        <w:rPr>
          <w:rFonts w:ascii="Arial" w:hAnsi="Arial" w:cs="Arial"/>
        </w:rPr>
      </w:pPr>
      <w:r w:rsidRPr="000D3A4B">
        <w:rPr>
          <w:rFonts w:ascii="Arial" w:hAnsi="Arial" w:cs="Arial"/>
          <w:shd w:val="clear" w:color="auto" w:fill="FFFFFF"/>
        </w:rPr>
        <w:t>zastoupený:</w:t>
      </w:r>
      <w:r w:rsidRPr="000D3A4B">
        <w:rPr>
          <w:rFonts w:ascii="Arial" w:hAnsi="Arial" w:cs="Arial"/>
          <w:shd w:val="clear" w:color="auto" w:fill="FFFFFF"/>
        </w:rPr>
        <w:tab/>
        <w:t>Mgr. Radkem Hlavatým, jednatelem</w:t>
      </w:r>
    </w:p>
    <w:p w:rsidR="003B7654" w:rsidRPr="000D3A4B" w:rsidRDefault="003B7654" w:rsidP="003B7654">
      <w:pPr>
        <w:tabs>
          <w:tab w:val="left" w:pos="1843"/>
        </w:tabs>
        <w:spacing w:after="120"/>
        <w:rPr>
          <w:rFonts w:ascii="Arial" w:hAnsi="Arial" w:cs="Arial"/>
        </w:rPr>
      </w:pPr>
      <w:r w:rsidRPr="000D3A4B">
        <w:rPr>
          <w:rFonts w:ascii="Arial" w:hAnsi="Arial" w:cs="Arial"/>
        </w:rPr>
        <w:t xml:space="preserve">zapsaný pod </w:t>
      </w:r>
      <w:proofErr w:type="spellStart"/>
      <w:r w:rsidRPr="000D3A4B">
        <w:rPr>
          <w:rFonts w:ascii="Arial" w:hAnsi="Arial" w:cs="Arial"/>
        </w:rPr>
        <w:t>sp</w:t>
      </w:r>
      <w:proofErr w:type="spellEnd"/>
      <w:r w:rsidRPr="000D3A4B">
        <w:rPr>
          <w:rFonts w:ascii="Arial" w:hAnsi="Arial" w:cs="Arial"/>
        </w:rPr>
        <w:t xml:space="preserve">. zn. </w:t>
      </w:r>
      <w:r w:rsidRPr="000D3A4B">
        <w:rPr>
          <w:rFonts w:ascii="Arial" w:hAnsi="Arial" w:cs="Arial"/>
          <w:shd w:val="clear" w:color="auto" w:fill="FFFFFF"/>
        </w:rPr>
        <w:t xml:space="preserve">C 50039 </w:t>
      </w:r>
      <w:r w:rsidRPr="000D3A4B">
        <w:rPr>
          <w:rFonts w:ascii="Arial" w:hAnsi="Arial" w:cs="Arial"/>
        </w:rPr>
        <w:t>v obchodním rejstříku vedením Městským soudem v Praze</w:t>
      </w:r>
    </w:p>
    <w:p w:rsidR="003B7654" w:rsidRPr="000D3A4B" w:rsidRDefault="003B7654" w:rsidP="003B7654">
      <w:pPr>
        <w:tabs>
          <w:tab w:val="left" w:pos="1843"/>
        </w:tabs>
        <w:rPr>
          <w:rFonts w:ascii="Arial" w:hAnsi="Arial" w:cs="Arial"/>
        </w:rPr>
      </w:pPr>
      <w:r w:rsidRPr="000D3A4B">
        <w:rPr>
          <w:rFonts w:ascii="Arial" w:hAnsi="Arial" w:cs="Arial"/>
        </w:rPr>
        <w:t>(Dále též jen jako „</w:t>
      </w:r>
      <w:r w:rsidRPr="002876A2">
        <w:rPr>
          <w:rFonts w:ascii="Arial" w:hAnsi="Arial" w:cs="Arial"/>
          <w:b/>
          <w:iCs/>
        </w:rPr>
        <w:t>Nájemce</w:t>
      </w:r>
      <w:r w:rsidRPr="000D3A4B">
        <w:rPr>
          <w:rFonts w:ascii="Arial" w:hAnsi="Arial" w:cs="Arial"/>
        </w:rPr>
        <w:t>“)</w:t>
      </w:r>
    </w:p>
    <w:p w:rsidR="003B7654" w:rsidRPr="000D3A4B" w:rsidRDefault="003B7654" w:rsidP="003B7654">
      <w:pPr>
        <w:tabs>
          <w:tab w:val="left" w:pos="1843"/>
        </w:tabs>
        <w:rPr>
          <w:rFonts w:ascii="Arial" w:hAnsi="Arial" w:cs="Arial"/>
        </w:rPr>
      </w:pPr>
      <w:r w:rsidRPr="000D3A4B">
        <w:rPr>
          <w:rFonts w:ascii="Arial" w:hAnsi="Arial" w:cs="Arial"/>
        </w:rPr>
        <w:t>a</w:t>
      </w:r>
    </w:p>
    <w:p w:rsidR="003B7654" w:rsidRPr="00E03BC6" w:rsidRDefault="003B7654" w:rsidP="00E03BC6">
      <w:pPr>
        <w:tabs>
          <w:tab w:val="left" w:pos="1843"/>
        </w:tabs>
        <w:spacing w:after="0"/>
        <w:rPr>
          <w:rFonts w:ascii="Arial" w:hAnsi="Arial" w:cs="Arial"/>
        </w:rPr>
      </w:pPr>
      <w:r w:rsidRPr="00E03BC6">
        <w:rPr>
          <w:rFonts w:ascii="Arial" w:hAnsi="Arial" w:cs="Arial"/>
          <w:b/>
        </w:rPr>
        <w:t xml:space="preserve">Podnájemce: </w:t>
      </w:r>
      <w:r w:rsidR="000A502B" w:rsidRPr="00E03BC6">
        <w:rPr>
          <w:rFonts w:ascii="Arial" w:hAnsi="Arial" w:cs="Arial"/>
          <w:b/>
        </w:rPr>
        <w:tab/>
      </w:r>
      <w:r w:rsidRPr="00E03BC6">
        <w:rPr>
          <w:rFonts w:ascii="Arial" w:hAnsi="Arial" w:cs="Arial"/>
          <w:b/>
        </w:rPr>
        <w:t>Robert Kurka</w:t>
      </w:r>
      <w:r w:rsidRPr="00E03BC6">
        <w:rPr>
          <w:rFonts w:ascii="Arial" w:hAnsi="Arial" w:cs="Arial"/>
        </w:rPr>
        <w:tab/>
      </w:r>
    </w:p>
    <w:p w:rsidR="003B7654" w:rsidRPr="00E03BC6" w:rsidRDefault="003B7654" w:rsidP="00E03BC6">
      <w:pPr>
        <w:tabs>
          <w:tab w:val="left" w:pos="1843"/>
        </w:tabs>
        <w:spacing w:after="0"/>
        <w:rPr>
          <w:rFonts w:ascii="Arial" w:hAnsi="Arial" w:cs="Arial"/>
        </w:rPr>
      </w:pPr>
      <w:r w:rsidRPr="00E03BC6">
        <w:rPr>
          <w:rFonts w:ascii="Arial" w:hAnsi="Arial" w:cs="Arial"/>
        </w:rPr>
        <w:t xml:space="preserve">IČO: </w:t>
      </w:r>
      <w:r w:rsidR="00C37F1B" w:rsidRPr="00E03BC6">
        <w:rPr>
          <w:rFonts w:ascii="Arial" w:hAnsi="Arial" w:cs="Arial"/>
        </w:rPr>
        <w:tab/>
      </w:r>
      <w:r w:rsidRPr="00E03BC6">
        <w:rPr>
          <w:rFonts w:ascii="Arial" w:hAnsi="Arial" w:cs="Arial"/>
        </w:rPr>
        <w:t>71753095</w:t>
      </w:r>
      <w:r w:rsidRPr="00E03BC6">
        <w:rPr>
          <w:rFonts w:ascii="Arial" w:hAnsi="Arial" w:cs="Arial"/>
        </w:rPr>
        <w:tab/>
      </w:r>
    </w:p>
    <w:p w:rsidR="003B7654" w:rsidRPr="00E03BC6" w:rsidRDefault="003B7654" w:rsidP="00E03BC6">
      <w:pPr>
        <w:tabs>
          <w:tab w:val="left" w:pos="1843"/>
        </w:tabs>
        <w:spacing w:after="0"/>
        <w:rPr>
          <w:rFonts w:ascii="Arial" w:hAnsi="Arial" w:cs="Arial"/>
        </w:rPr>
      </w:pPr>
      <w:r w:rsidRPr="00E03BC6">
        <w:rPr>
          <w:rFonts w:ascii="Arial" w:hAnsi="Arial" w:cs="Arial"/>
        </w:rPr>
        <w:t>nar. dne:</w:t>
      </w:r>
      <w:r w:rsidR="00E03BC6" w:rsidRPr="00E03BC6">
        <w:rPr>
          <w:rFonts w:ascii="Arial" w:hAnsi="Arial" w:cs="Arial"/>
        </w:rPr>
        <w:tab/>
        <w:t>7. 12. 1972</w:t>
      </w:r>
    </w:p>
    <w:p w:rsidR="003B7654" w:rsidRPr="000D3A4B" w:rsidRDefault="003B7654" w:rsidP="00E03BC6">
      <w:pPr>
        <w:tabs>
          <w:tab w:val="left" w:pos="1843"/>
        </w:tabs>
        <w:spacing w:after="120"/>
        <w:rPr>
          <w:rFonts w:ascii="Arial" w:hAnsi="Arial" w:cs="Arial"/>
        </w:rPr>
      </w:pPr>
      <w:r w:rsidRPr="00E03BC6">
        <w:rPr>
          <w:rFonts w:ascii="Arial" w:hAnsi="Arial" w:cs="Arial"/>
        </w:rPr>
        <w:t>se sídlem:</w:t>
      </w:r>
      <w:r w:rsidRPr="00E03BC6">
        <w:rPr>
          <w:rFonts w:ascii="Arial" w:hAnsi="Arial" w:cs="Arial"/>
        </w:rPr>
        <w:tab/>
      </w:r>
      <w:r w:rsidR="00C37F1B" w:rsidRPr="00E03BC6">
        <w:rPr>
          <w:rFonts w:ascii="Arial" w:hAnsi="Arial" w:cs="Arial"/>
        </w:rPr>
        <w:t>č. p. 47, 273 77 Malíkovice</w:t>
      </w:r>
    </w:p>
    <w:p w:rsidR="003B7654" w:rsidRPr="000D3A4B" w:rsidRDefault="003B7654" w:rsidP="003B7654">
      <w:pPr>
        <w:tabs>
          <w:tab w:val="left" w:pos="1843"/>
        </w:tabs>
        <w:spacing w:after="240"/>
        <w:rPr>
          <w:rFonts w:ascii="Arial" w:hAnsi="Arial" w:cs="Arial"/>
        </w:rPr>
      </w:pPr>
      <w:r w:rsidRPr="000D3A4B">
        <w:rPr>
          <w:rFonts w:ascii="Arial" w:hAnsi="Arial" w:cs="Arial"/>
        </w:rPr>
        <w:t>(Dále též jen jako „</w:t>
      </w:r>
      <w:r w:rsidRPr="002876A2">
        <w:rPr>
          <w:rFonts w:ascii="Arial" w:hAnsi="Arial" w:cs="Arial"/>
          <w:b/>
          <w:iCs/>
        </w:rPr>
        <w:t>Podnájemce</w:t>
      </w:r>
      <w:r w:rsidRPr="000D3A4B">
        <w:rPr>
          <w:rFonts w:ascii="Arial" w:hAnsi="Arial" w:cs="Arial"/>
        </w:rPr>
        <w:t>“)</w:t>
      </w:r>
    </w:p>
    <w:p w:rsidR="003B7654" w:rsidRPr="000D3A4B" w:rsidRDefault="008D306C" w:rsidP="003B7654">
      <w:pPr>
        <w:rPr>
          <w:rFonts w:ascii="Arial" w:hAnsi="Arial" w:cs="Arial"/>
        </w:rPr>
      </w:pPr>
      <w:r w:rsidRPr="000D3A4B">
        <w:rPr>
          <w:rFonts w:ascii="Arial" w:hAnsi="Arial" w:cs="Arial"/>
        </w:rPr>
        <w:t>(Nájemce a Podnájem</w:t>
      </w:r>
      <w:r w:rsidR="001F566F">
        <w:rPr>
          <w:rFonts w:ascii="Arial" w:hAnsi="Arial" w:cs="Arial"/>
        </w:rPr>
        <w:t>ce</w:t>
      </w:r>
      <w:r w:rsidRPr="000D3A4B">
        <w:rPr>
          <w:rFonts w:ascii="Arial" w:hAnsi="Arial" w:cs="Arial"/>
        </w:rPr>
        <w:t xml:space="preserve"> společně též </w:t>
      </w:r>
      <w:r w:rsidR="006066A1">
        <w:rPr>
          <w:rFonts w:ascii="Arial" w:hAnsi="Arial" w:cs="Arial"/>
        </w:rPr>
        <w:t xml:space="preserve">jen </w:t>
      </w:r>
      <w:r w:rsidRPr="000D3A4B">
        <w:rPr>
          <w:rFonts w:ascii="Arial" w:hAnsi="Arial" w:cs="Arial"/>
        </w:rPr>
        <w:t>jako „</w:t>
      </w:r>
      <w:r w:rsidRPr="000D3A4B">
        <w:rPr>
          <w:rFonts w:ascii="Arial" w:hAnsi="Arial" w:cs="Arial"/>
          <w:b/>
          <w:bCs/>
        </w:rPr>
        <w:t>Smluvní strany</w:t>
      </w:r>
      <w:r w:rsidRPr="000D3A4B">
        <w:rPr>
          <w:rFonts w:ascii="Arial" w:hAnsi="Arial" w:cs="Arial"/>
        </w:rPr>
        <w:t>“)</w:t>
      </w:r>
    </w:p>
    <w:p w:rsidR="008D306C" w:rsidRDefault="00A2498C" w:rsidP="003B7654">
      <w:pPr>
        <w:rPr>
          <w:rFonts w:ascii="Arial" w:hAnsi="Arial" w:cs="Arial"/>
        </w:rPr>
      </w:pPr>
      <w:r w:rsidRPr="000D3A4B">
        <w:rPr>
          <w:rFonts w:ascii="Arial" w:hAnsi="Arial" w:cs="Arial"/>
        </w:rPr>
        <w:t>Uzavírají níže uvedeného dne, měsíce a roku tento Dodatek č. 1 ke Smlouvě o podnájmu nebytových prostor (dále</w:t>
      </w:r>
      <w:r w:rsidR="009438E2" w:rsidRPr="000D3A4B">
        <w:rPr>
          <w:rFonts w:ascii="Arial" w:hAnsi="Arial" w:cs="Arial"/>
        </w:rPr>
        <w:t xml:space="preserve"> </w:t>
      </w:r>
      <w:r w:rsidRPr="000D3A4B">
        <w:rPr>
          <w:rFonts w:ascii="Arial" w:hAnsi="Arial" w:cs="Arial"/>
        </w:rPr>
        <w:t>jen „</w:t>
      </w:r>
      <w:r w:rsidRPr="000D3A4B">
        <w:rPr>
          <w:rFonts w:ascii="Arial" w:hAnsi="Arial" w:cs="Arial"/>
          <w:b/>
          <w:bCs/>
        </w:rPr>
        <w:t>Dodatek</w:t>
      </w:r>
      <w:r w:rsidRPr="000D3A4B">
        <w:rPr>
          <w:rFonts w:ascii="Arial" w:hAnsi="Arial" w:cs="Arial"/>
        </w:rPr>
        <w:t>“)</w:t>
      </w:r>
      <w:r w:rsidR="009438E2" w:rsidRPr="000D3A4B">
        <w:rPr>
          <w:rFonts w:ascii="Arial" w:hAnsi="Arial" w:cs="Arial"/>
        </w:rPr>
        <w:t>:</w:t>
      </w:r>
    </w:p>
    <w:p w:rsidR="00923B7F" w:rsidRPr="000D3A4B" w:rsidRDefault="00923B7F" w:rsidP="003B7654">
      <w:pPr>
        <w:rPr>
          <w:rFonts w:ascii="Arial" w:hAnsi="Arial" w:cs="Arial"/>
        </w:rPr>
      </w:pPr>
    </w:p>
    <w:p w:rsidR="00265A7A" w:rsidRPr="000D3A4B" w:rsidRDefault="00BD4827" w:rsidP="00265A7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1</w:t>
      </w:r>
      <w:r w:rsidR="008D306C" w:rsidRPr="000D3A4B">
        <w:rPr>
          <w:rFonts w:ascii="Arial" w:hAnsi="Arial" w:cs="Arial"/>
          <w:b/>
          <w:bCs/>
        </w:rPr>
        <w:t xml:space="preserve"> </w:t>
      </w:r>
    </w:p>
    <w:p w:rsidR="008F7392" w:rsidRPr="000D3A4B" w:rsidRDefault="008F7392" w:rsidP="008F7392">
      <w:pPr>
        <w:spacing w:after="120"/>
        <w:jc w:val="center"/>
        <w:rPr>
          <w:rFonts w:ascii="Arial" w:hAnsi="Arial" w:cs="Arial"/>
          <w:b/>
          <w:bCs/>
        </w:rPr>
      </w:pPr>
      <w:r w:rsidRPr="000D3A4B">
        <w:rPr>
          <w:rFonts w:ascii="Arial" w:hAnsi="Arial" w:cs="Arial"/>
          <w:b/>
          <w:bCs/>
        </w:rPr>
        <w:t>Úvodní ujednání</w:t>
      </w:r>
    </w:p>
    <w:p w:rsidR="008F7392" w:rsidRPr="000D3A4B" w:rsidRDefault="008F7392" w:rsidP="008D306C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0D3A4B">
        <w:rPr>
          <w:rFonts w:ascii="Arial" w:hAnsi="Arial" w:cs="Arial"/>
        </w:rPr>
        <w:t>Smluvní strany uzavřely dne</w:t>
      </w:r>
      <w:r w:rsidR="00C37F1B">
        <w:rPr>
          <w:rFonts w:ascii="Arial" w:hAnsi="Arial" w:cs="Arial"/>
        </w:rPr>
        <w:t xml:space="preserve"> 1. 7. 2019</w:t>
      </w:r>
      <w:r w:rsidRPr="000D3A4B">
        <w:rPr>
          <w:rFonts w:ascii="Arial" w:hAnsi="Arial" w:cs="Arial"/>
        </w:rPr>
        <w:t xml:space="preserve"> </w:t>
      </w:r>
      <w:r w:rsidR="00FC0074" w:rsidRPr="000D3A4B">
        <w:rPr>
          <w:rFonts w:ascii="Arial" w:hAnsi="Arial" w:cs="Arial"/>
        </w:rPr>
        <w:t>Smlouvu o podnájmu nebytových prostor, jejímž předmětem je podnájem nebytových prostor střediska FITNESS s příslušenstvím (dále jen „</w:t>
      </w:r>
      <w:r w:rsidR="00FC0074" w:rsidRPr="000D3A4B">
        <w:rPr>
          <w:rFonts w:ascii="Arial" w:hAnsi="Arial" w:cs="Arial"/>
          <w:b/>
          <w:bCs/>
        </w:rPr>
        <w:t>Smlouva</w:t>
      </w:r>
      <w:r w:rsidR="00FC0074" w:rsidRPr="000D3A4B">
        <w:rPr>
          <w:rFonts w:ascii="Arial" w:hAnsi="Arial" w:cs="Arial"/>
        </w:rPr>
        <w:t>“); předmět podnájmu</w:t>
      </w:r>
      <w:r w:rsidR="00CF07A6" w:rsidRPr="000D3A4B">
        <w:rPr>
          <w:rFonts w:ascii="Arial" w:hAnsi="Arial" w:cs="Arial"/>
        </w:rPr>
        <w:t xml:space="preserve"> </w:t>
      </w:r>
      <w:r w:rsidR="00FC0074" w:rsidRPr="000D3A4B">
        <w:rPr>
          <w:rFonts w:ascii="Arial" w:hAnsi="Arial" w:cs="Arial"/>
        </w:rPr>
        <w:t>je detailně specifikován v </w:t>
      </w:r>
      <w:r w:rsidR="00942FA9" w:rsidRPr="000D3A4B">
        <w:rPr>
          <w:rFonts w:ascii="Arial" w:hAnsi="Arial" w:cs="Arial"/>
        </w:rPr>
        <w:t>Článku</w:t>
      </w:r>
      <w:r w:rsidR="00FC0074" w:rsidRPr="000D3A4B">
        <w:rPr>
          <w:rFonts w:ascii="Arial" w:hAnsi="Arial" w:cs="Arial"/>
        </w:rPr>
        <w:t xml:space="preserve"> 1 odst. 1</w:t>
      </w:r>
      <w:r w:rsidR="00942FA9" w:rsidRPr="000D3A4B">
        <w:rPr>
          <w:rFonts w:ascii="Arial" w:hAnsi="Arial" w:cs="Arial"/>
        </w:rPr>
        <w:t>.</w:t>
      </w:r>
      <w:r w:rsidR="00FC0074" w:rsidRPr="000D3A4B">
        <w:rPr>
          <w:rFonts w:ascii="Arial" w:hAnsi="Arial" w:cs="Arial"/>
        </w:rPr>
        <w:t xml:space="preserve"> a odst. 2</w:t>
      </w:r>
      <w:r w:rsidR="00942FA9" w:rsidRPr="000D3A4B">
        <w:rPr>
          <w:rFonts w:ascii="Arial" w:hAnsi="Arial" w:cs="Arial"/>
        </w:rPr>
        <w:t>.</w:t>
      </w:r>
      <w:r w:rsidR="008D306C" w:rsidRPr="000D3A4B">
        <w:rPr>
          <w:rFonts w:ascii="Arial" w:hAnsi="Arial" w:cs="Arial"/>
        </w:rPr>
        <w:t xml:space="preserve"> Smlouvy.</w:t>
      </w:r>
    </w:p>
    <w:p w:rsidR="008D306C" w:rsidRPr="000D3A4B" w:rsidRDefault="008D306C" w:rsidP="008D306C">
      <w:pPr>
        <w:pStyle w:val="Odstavecseseznamem"/>
        <w:spacing w:after="120"/>
        <w:ind w:left="360"/>
        <w:jc w:val="both"/>
        <w:rPr>
          <w:rFonts w:ascii="Arial" w:hAnsi="Arial" w:cs="Arial"/>
        </w:rPr>
      </w:pPr>
    </w:p>
    <w:p w:rsidR="008F7392" w:rsidRPr="000D3A4B" w:rsidRDefault="008D306C" w:rsidP="008F7392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0D3A4B">
        <w:rPr>
          <w:rFonts w:ascii="Arial" w:hAnsi="Arial" w:cs="Arial"/>
        </w:rPr>
        <w:t xml:space="preserve">Smluvní strany uzavírají tento </w:t>
      </w:r>
      <w:r w:rsidR="004F41F8" w:rsidRPr="000D3A4B">
        <w:rPr>
          <w:rFonts w:ascii="Arial" w:hAnsi="Arial" w:cs="Arial"/>
        </w:rPr>
        <w:t>D</w:t>
      </w:r>
      <w:r w:rsidRPr="000D3A4B">
        <w:rPr>
          <w:rFonts w:ascii="Arial" w:hAnsi="Arial" w:cs="Arial"/>
        </w:rPr>
        <w:t xml:space="preserve">odatek za účelem změny způsobu určení </w:t>
      </w:r>
      <w:r w:rsidR="00923B7F">
        <w:rPr>
          <w:rFonts w:ascii="Arial" w:hAnsi="Arial" w:cs="Arial"/>
        </w:rPr>
        <w:t xml:space="preserve">konečné </w:t>
      </w:r>
      <w:r w:rsidRPr="000D3A4B">
        <w:rPr>
          <w:rFonts w:ascii="Arial" w:hAnsi="Arial" w:cs="Arial"/>
        </w:rPr>
        <w:t>výše úhrad</w:t>
      </w:r>
      <w:r w:rsidR="004F41F8" w:rsidRPr="000D3A4B">
        <w:rPr>
          <w:rFonts w:ascii="Arial" w:hAnsi="Arial" w:cs="Arial"/>
        </w:rPr>
        <w:t xml:space="preserve"> Podnájemce</w:t>
      </w:r>
      <w:r w:rsidRPr="000D3A4B">
        <w:rPr>
          <w:rFonts w:ascii="Arial" w:hAnsi="Arial" w:cs="Arial"/>
        </w:rPr>
        <w:t xml:space="preserve"> za služby uvedené v </w:t>
      </w:r>
      <w:r w:rsidR="00942FA9" w:rsidRPr="000D3A4B">
        <w:rPr>
          <w:rFonts w:ascii="Arial" w:hAnsi="Arial" w:cs="Arial"/>
        </w:rPr>
        <w:t>Článku</w:t>
      </w:r>
      <w:r w:rsidRPr="000D3A4B">
        <w:rPr>
          <w:rFonts w:ascii="Arial" w:hAnsi="Arial" w:cs="Arial"/>
        </w:rPr>
        <w:t xml:space="preserve"> 6 Smlouvy (úhrady za elektrickou energii, vodné, stočné</w:t>
      </w:r>
      <w:r w:rsidR="00923B7F">
        <w:rPr>
          <w:rFonts w:ascii="Arial" w:hAnsi="Arial" w:cs="Arial"/>
        </w:rPr>
        <w:t>,</w:t>
      </w:r>
      <w:r w:rsidRPr="000D3A4B">
        <w:rPr>
          <w:rFonts w:ascii="Arial" w:hAnsi="Arial" w:cs="Arial"/>
        </w:rPr>
        <w:t xml:space="preserve"> náklady na vytápění nebytových prostor)</w:t>
      </w:r>
      <w:r w:rsidR="00265A7A" w:rsidRPr="000D3A4B">
        <w:rPr>
          <w:rFonts w:ascii="Arial" w:hAnsi="Arial" w:cs="Arial"/>
        </w:rPr>
        <w:t xml:space="preserve">, a to z </w:t>
      </w:r>
      <w:r w:rsidR="003B7654" w:rsidRPr="000D3A4B">
        <w:rPr>
          <w:rFonts w:ascii="Arial" w:hAnsi="Arial" w:cs="Arial"/>
        </w:rPr>
        <w:t xml:space="preserve">důvodu </w:t>
      </w:r>
      <w:r w:rsidR="00265A7A" w:rsidRPr="000D3A4B">
        <w:rPr>
          <w:rFonts w:ascii="Arial" w:hAnsi="Arial" w:cs="Arial"/>
        </w:rPr>
        <w:t xml:space="preserve">technické </w:t>
      </w:r>
      <w:r w:rsidR="003B7654" w:rsidRPr="000D3A4B">
        <w:rPr>
          <w:rFonts w:ascii="Arial" w:hAnsi="Arial" w:cs="Arial"/>
        </w:rPr>
        <w:t xml:space="preserve">nemožnosti určit přesně reálnou spotřebu </w:t>
      </w:r>
      <w:r w:rsidR="00C219B9">
        <w:rPr>
          <w:rFonts w:ascii="Arial" w:hAnsi="Arial" w:cs="Arial"/>
        </w:rPr>
        <w:t xml:space="preserve">těchto </w:t>
      </w:r>
      <w:r w:rsidR="003B7654" w:rsidRPr="000D3A4B">
        <w:rPr>
          <w:rFonts w:ascii="Arial" w:hAnsi="Arial" w:cs="Arial"/>
        </w:rPr>
        <w:t>odebraných médií</w:t>
      </w:r>
      <w:r w:rsidR="00923B7F">
        <w:rPr>
          <w:rFonts w:ascii="Arial" w:hAnsi="Arial" w:cs="Arial"/>
        </w:rPr>
        <w:t xml:space="preserve"> podružným měřením tak, jak předpokládá současné znění Článku 6 Smlouvy.</w:t>
      </w:r>
      <w:r w:rsidR="003F2268">
        <w:rPr>
          <w:rFonts w:ascii="Arial" w:hAnsi="Arial" w:cs="Arial"/>
        </w:rPr>
        <w:t xml:space="preserve"> Konečná výše těchto úhrad se tak nadále </w:t>
      </w:r>
      <w:r w:rsidR="00333675">
        <w:rPr>
          <w:rFonts w:ascii="Arial" w:hAnsi="Arial" w:cs="Arial"/>
        </w:rPr>
        <w:t>neurčí</w:t>
      </w:r>
      <w:r w:rsidR="003F2268" w:rsidRPr="003F2268">
        <w:rPr>
          <w:rFonts w:ascii="Arial" w:hAnsi="Arial" w:cs="Arial"/>
        </w:rPr>
        <w:t xml:space="preserve"> podle výše reálné spotřeby Podnájemcem určené podružným měřením, jak doposud </w:t>
      </w:r>
      <w:r w:rsidR="003F2268">
        <w:rPr>
          <w:rFonts w:ascii="Arial" w:hAnsi="Arial" w:cs="Arial"/>
        </w:rPr>
        <w:t>stanovil</w:t>
      </w:r>
      <w:r w:rsidR="003F2268" w:rsidRPr="003F2268">
        <w:rPr>
          <w:rFonts w:ascii="Arial" w:hAnsi="Arial" w:cs="Arial"/>
        </w:rPr>
        <w:t xml:space="preserve"> Článek 6 Smlouvy, ale stanoví se</w:t>
      </w:r>
      <w:r w:rsidR="003F2268">
        <w:rPr>
          <w:rFonts w:ascii="Arial" w:hAnsi="Arial" w:cs="Arial"/>
        </w:rPr>
        <w:t xml:space="preserve"> způsobem uvedeným v novém znění Článku 6 Smlouvy, vymezeném Článkem 2 tohoto Dodatku.</w:t>
      </w:r>
    </w:p>
    <w:p w:rsidR="00265A7A" w:rsidRPr="000D3A4B" w:rsidRDefault="00265A7A" w:rsidP="00265A7A">
      <w:pPr>
        <w:spacing w:after="120"/>
        <w:jc w:val="both"/>
        <w:rPr>
          <w:rFonts w:ascii="Arial" w:hAnsi="Arial" w:cs="Arial"/>
        </w:rPr>
      </w:pPr>
    </w:p>
    <w:p w:rsidR="00942FA9" w:rsidRPr="000D3A4B" w:rsidRDefault="00BD4827" w:rsidP="00942FA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2</w:t>
      </w:r>
    </w:p>
    <w:p w:rsidR="00942FA9" w:rsidRDefault="00942FA9" w:rsidP="00942FA9">
      <w:pPr>
        <w:spacing w:after="120"/>
        <w:jc w:val="center"/>
        <w:rPr>
          <w:rFonts w:ascii="Arial" w:hAnsi="Arial" w:cs="Arial"/>
          <w:b/>
          <w:bCs/>
        </w:rPr>
      </w:pPr>
      <w:r w:rsidRPr="000D3A4B">
        <w:rPr>
          <w:rFonts w:ascii="Arial" w:hAnsi="Arial" w:cs="Arial"/>
          <w:b/>
          <w:bCs/>
        </w:rPr>
        <w:t>Změna Článku 6 Smlouvy</w:t>
      </w:r>
    </w:p>
    <w:p w:rsidR="003F2268" w:rsidRDefault="003F2268" w:rsidP="003F2268">
      <w:pPr>
        <w:spacing w:after="0"/>
        <w:rPr>
          <w:rFonts w:ascii="Arial" w:hAnsi="Arial" w:cs="Arial"/>
        </w:rPr>
      </w:pPr>
      <w:r w:rsidRPr="003F2268">
        <w:rPr>
          <w:rFonts w:ascii="Arial" w:hAnsi="Arial" w:cs="Arial"/>
        </w:rPr>
        <w:t>Č</w:t>
      </w:r>
      <w:r>
        <w:rPr>
          <w:rFonts w:ascii="Arial" w:hAnsi="Arial" w:cs="Arial"/>
        </w:rPr>
        <w:t>lánek 6 Smlouvy zní účinností tohoto Dodatku takto:</w:t>
      </w:r>
    </w:p>
    <w:p w:rsidR="003F2268" w:rsidRDefault="003F2268" w:rsidP="003F2268">
      <w:pPr>
        <w:spacing w:after="0"/>
        <w:rPr>
          <w:rFonts w:ascii="Arial" w:hAnsi="Arial" w:cs="Arial"/>
        </w:rPr>
      </w:pPr>
    </w:p>
    <w:p w:rsidR="00395496" w:rsidRPr="003F2268" w:rsidRDefault="003F2268" w:rsidP="003F226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se dále zavazuje platit </w:t>
      </w:r>
      <w:r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 xml:space="preserve">ájemci úhrady za plnění poskytovaná v souvislosti s užíváním nebytových prostor, za </w:t>
      </w:r>
      <w:r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>odnájemcem odebraná média a služby</w:t>
      </w:r>
      <w:r>
        <w:rPr>
          <w:rFonts w:ascii="Arial" w:hAnsi="Arial" w:cs="Arial"/>
        </w:rPr>
        <w:t>,</w:t>
      </w:r>
      <w:r w:rsidRPr="0058531F">
        <w:rPr>
          <w:rFonts w:ascii="Arial" w:hAnsi="Arial" w:cs="Arial"/>
        </w:rPr>
        <w:t xml:space="preserve"> tj. úhradu za elektrickou energii, vodné, stočné</w:t>
      </w:r>
      <w:r>
        <w:rPr>
          <w:rFonts w:ascii="Arial" w:hAnsi="Arial" w:cs="Arial"/>
        </w:rPr>
        <w:t xml:space="preserve"> a </w:t>
      </w:r>
      <w:r w:rsidRPr="0058531F">
        <w:rPr>
          <w:rFonts w:ascii="Arial" w:hAnsi="Arial" w:cs="Arial"/>
        </w:rPr>
        <w:t>náklady na vytápění nebytových prostor</w:t>
      </w:r>
      <w:r>
        <w:rPr>
          <w:rFonts w:ascii="Arial" w:hAnsi="Arial" w:cs="Arial"/>
        </w:rPr>
        <w:t xml:space="preserve">. </w:t>
      </w:r>
      <w:r w:rsidR="00395496" w:rsidRPr="003F2268">
        <w:rPr>
          <w:rFonts w:ascii="Arial" w:hAnsi="Arial" w:cs="Arial"/>
        </w:rPr>
        <w:t xml:space="preserve">Konečná výše </w:t>
      </w:r>
      <w:r>
        <w:rPr>
          <w:rFonts w:ascii="Arial" w:hAnsi="Arial" w:cs="Arial"/>
        </w:rPr>
        <w:t xml:space="preserve">těchto </w:t>
      </w:r>
      <w:r w:rsidR="00395496" w:rsidRPr="003F2268">
        <w:rPr>
          <w:rFonts w:ascii="Arial" w:hAnsi="Arial" w:cs="Arial"/>
        </w:rPr>
        <w:t>úhrad</w:t>
      </w:r>
      <w:r w:rsidR="003862B6" w:rsidRPr="003F2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stanoví </w:t>
      </w:r>
      <w:r w:rsidR="00395496" w:rsidRPr="003F2268">
        <w:rPr>
          <w:rFonts w:ascii="Arial" w:hAnsi="Arial" w:cs="Arial"/>
        </w:rPr>
        <w:t>následujícím způsobem:</w:t>
      </w:r>
    </w:p>
    <w:p w:rsidR="00395496" w:rsidRPr="000D3A4B" w:rsidRDefault="00395496" w:rsidP="00395496">
      <w:pPr>
        <w:pStyle w:val="Odstavecseseznamem"/>
        <w:spacing w:after="120"/>
        <w:ind w:left="360"/>
        <w:jc w:val="both"/>
        <w:rPr>
          <w:rFonts w:ascii="Arial" w:hAnsi="Arial" w:cs="Arial"/>
        </w:rPr>
      </w:pPr>
    </w:p>
    <w:p w:rsidR="00395496" w:rsidRDefault="00AF38D0" w:rsidP="00395496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Propočet pro</w:t>
      </w:r>
      <w:r w:rsidR="003B7654" w:rsidRPr="000D3A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vyúčtování </w:t>
      </w:r>
      <w:r w:rsidR="003B7654" w:rsidRPr="000D3A4B">
        <w:rPr>
          <w:rFonts w:ascii="Arial" w:hAnsi="Arial" w:cs="Arial"/>
        </w:rPr>
        <w:t xml:space="preserve">tepla </w:t>
      </w:r>
      <w:r w:rsidR="00FF6DE7">
        <w:rPr>
          <w:rFonts w:ascii="Arial" w:hAnsi="Arial" w:cs="Arial"/>
        </w:rPr>
        <w:t>vychází</w:t>
      </w:r>
      <w:r w:rsidR="003B7654" w:rsidRPr="000D3A4B">
        <w:rPr>
          <w:rFonts w:ascii="Arial" w:hAnsi="Arial" w:cs="Arial"/>
        </w:rPr>
        <w:t xml:space="preserve"> z vnitřního předpisu</w:t>
      </w:r>
      <w:r w:rsidR="008F7392" w:rsidRPr="000D3A4B">
        <w:rPr>
          <w:rFonts w:ascii="Arial" w:hAnsi="Arial" w:cs="Arial"/>
        </w:rPr>
        <w:t xml:space="preserve"> </w:t>
      </w:r>
      <w:r w:rsidR="00703A91" w:rsidRPr="000D3A4B">
        <w:rPr>
          <w:rFonts w:ascii="Arial" w:hAnsi="Arial" w:cs="Arial"/>
        </w:rPr>
        <w:t>č.</w:t>
      </w:r>
      <w:r w:rsidR="008F7392" w:rsidRPr="000D3A4B">
        <w:rPr>
          <w:rFonts w:ascii="Arial" w:hAnsi="Arial" w:cs="Arial"/>
        </w:rPr>
        <w:t xml:space="preserve"> </w:t>
      </w:r>
      <w:r w:rsidR="00703A91" w:rsidRPr="000D3A4B">
        <w:rPr>
          <w:rFonts w:ascii="Arial" w:hAnsi="Arial" w:cs="Arial"/>
        </w:rPr>
        <w:t>2</w:t>
      </w:r>
      <w:r w:rsidR="003B7654" w:rsidRPr="000D3A4B">
        <w:rPr>
          <w:rFonts w:ascii="Arial" w:hAnsi="Arial" w:cs="Arial"/>
        </w:rPr>
        <w:t xml:space="preserve"> společnosti Víceúčelová sportovní hala</w:t>
      </w:r>
      <w:r>
        <w:rPr>
          <w:rFonts w:ascii="Arial" w:hAnsi="Arial" w:cs="Arial"/>
        </w:rPr>
        <w:t xml:space="preserve"> Slaný</w:t>
      </w:r>
      <w:r w:rsidR="003B7654" w:rsidRPr="000D3A4B">
        <w:rPr>
          <w:rFonts w:ascii="Arial" w:hAnsi="Arial" w:cs="Arial"/>
        </w:rPr>
        <w:t xml:space="preserve"> spol. s r.o. ze dne 5.</w:t>
      </w:r>
      <w:r w:rsidR="008F7392" w:rsidRPr="000D3A4B">
        <w:rPr>
          <w:rFonts w:ascii="Arial" w:hAnsi="Arial" w:cs="Arial"/>
        </w:rPr>
        <w:t xml:space="preserve"> </w:t>
      </w:r>
      <w:r w:rsidR="003B7654" w:rsidRPr="000D3A4B">
        <w:rPr>
          <w:rFonts w:ascii="Arial" w:hAnsi="Arial" w:cs="Arial"/>
        </w:rPr>
        <w:t>1.</w:t>
      </w:r>
      <w:r w:rsidR="008F7392" w:rsidRPr="000D3A4B">
        <w:rPr>
          <w:rFonts w:ascii="Arial" w:hAnsi="Arial" w:cs="Arial"/>
        </w:rPr>
        <w:t xml:space="preserve"> </w:t>
      </w:r>
      <w:r w:rsidR="003B7654" w:rsidRPr="000D3A4B">
        <w:rPr>
          <w:rFonts w:ascii="Arial" w:hAnsi="Arial" w:cs="Arial"/>
        </w:rPr>
        <w:t>2002 pro potřeby účetního zpracování</w:t>
      </w:r>
      <w:r w:rsidR="00703A91" w:rsidRPr="000D3A4B">
        <w:rPr>
          <w:rFonts w:ascii="Arial" w:hAnsi="Arial" w:cs="Arial"/>
        </w:rPr>
        <w:t xml:space="preserve"> hospodaření společnosti a činí </w:t>
      </w:r>
      <w:proofErr w:type="gramStart"/>
      <w:r w:rsidR="00703A91" w:rsidRPr="000D3A4B">
        <w:rPr>
          <w:rFonts w:ascii="Arial" w:hAnsi="Arial" w:cs="Arial"/>
        </w:rPr>
        <w:t>2,4%</w:t>
      </w:r>
      <w:proofErr w:type="gramEnd"/>
      <w:r w:rsidR="00703A91" w:rsidRPr="000D3A4B">
        <w:rPr>
          <w:rFonts w:ascii="Arial" w:hAnsi="Arial" w:cs="Arial"/>
        </w:rPr>
        <w:t xml:space="preserve"> celkového odběru tepelné energie</w:t>
      </w:r>
      <w:r>
        <w:rPr>
          <w:rFonts w:ascii="Arial" w:hAnsi="Arial" w:cs="Arial"/>
        </w:rPr>
        <w:t xml:space="preserve"> Víceúčelové sportovní haly</w:t>
      </w:r>
      <w:r w:rsidR="00F9007E">
        <w:rPr>
          <w:rFonts w:ascii="Arial" w:hAnsi="Arial" w:cs="Arial"/>
        </w:rPr>
        <w:t>.</w:t>
      </w:r>
    </w:p>
    <w:p w:rsidR="00BD4827" w:rsidRPr="000D3A4B" w:rsidRDefault="00BD4827" w:rsidP="00BD4827">
      <w:pPr>
        <w:pStyle w:val="Odstavecseseznamem"/>
        <w:ind w:left="1080"/>
        <w:jc w:val="both"/>
        <w:rPr>
          <w:rFonts w:ascii="Arial" w:hAnsi="Arial" w:cs="Arial"/>
        </w:rPr>
      </w:pPr>
    </w:p>
    <w:p w:rsidR="00395496" w:rsidRPr="000D3A4B" w:rsidRDefault="00703A91" w:rsidP="00395496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 w:rsidRPr="000D3A4B">
        <w:rPr>
          <w:rFonts w:ascii="Arial" w:hAnsi="Arial" w:cs="Arial"/>
        </w:rPr>
        <w:t>Propočet pro vyúčtování vodného a stočného vychází z vnitřního předpisu</w:t>
      </w:r>
      <w:r w:rsidR="00395496" w:rsidRPr="000D3A4B">
        <w:rPr>
          <w:rFonts w:ascii="Arial" w:hAnsi="Arial" w:cs="Arial"/>
        </w:rPr>
        <w:br/>
      </w:r>
      <w:r w:rsidRPr="000D3A4B">
        <w:rPr>
          <w:rFonts w:ascii="Arial" w:hAnsi="Arial" w:cs="Arial"/>
        </w:rPr>
        <w:t>č.</w:t>
      </w:r>
      <w:r w:rsidR="008F7392" w:rsidRPr="000D3A4B">
        <w:rPr>
          <w:rFonts w:ascii="Arial" w:hAnsi="Arial" w:cs="Arial"/>
        </w:rPr>
        <w:t xml:space="preserve"> </w:t>
      </w:r>
      <w:r w:rsidRPr="000D3A4B">
        <w:rPr>
          <w:rFonts w:ascii="Arial" w:hAnsi="Arial" w:cs="Arial"/>
        </w:rPr>
        <w:t>3 společnosti Víceúčelová sportovní hala</w:t>
      </w:r>
      <w:r w:rsidR="00AF38D0">
        <w:rPr>
          <w:rFonts w:ascii="Arial" w:hAnsi="Arial" w:cs="Arial"/>
        </w:rPr>
        <w:t xml:space="preserve"> Slaný</w:t>
      </w:r>
      <w:r w:rsidRPr="000D3A4B">
        <w:rPr>
          <w:rFonts w:ascii="Arial" w:hAnsi="Arial" w:cs="Arial"/>
        </w:rPr>
        <w:t xml:space="preserve"> spol. s r.o. ze dne 5.</w:t>
      </w:r>
      <w:r w:rsidR="008F7392" w:rsidRPr="000D3A4B">
        <w:rPr>
          <w:rFonts w:ascii="Arial" w:hAnsi="Arial" w:cs="Arial"/>
        </w:rPr>
        <w:t xml:space="preserve"> </w:t>
      </w:r>
      <w:r w:rsidRPr="000D3A4B">
        <w:rPr>
          <w:rFonts w:ascii="Arial" w:hAnsi="Arial" w:cs="Arial"/>
        </w:rPr>
        <w:t>1.</w:t>
      </w:r>
      <w:r w:rsidR="008F7392" w:rsidRPr="000D3A4B">
        <w:rPr>
          <w:rFonts w:ascii="Arial" w:hAnsi="Arial" w:cs="Arial"/>
        </w:rPr>
        <w:t xml:space="preserve"> </w:t>
      </w:r>
      <w:r w:rsidRPr="000D3A4B">
        <w:rPr>
          <w:rFonts w:ascii="Arial" w:hAnsi="Arial" w:cs="Arial"/>
        </w:rPr>
        <w:t>2002 pro potřeby účetního zpracování hospodaření společnosti a činí 2,4% celkové spotřeby vody</w:t>
      </w:r>
      <w:r w:rsidR="00AF38D0">
        <w:rPr>
          <w:rFonts w:ascii="Arial" w:hAnsi="Arial" w:cs="Arial"/>
        </w:rPr>
        <w:t xml:space="preserve"> Víceúčelové sportovní haly</w:t>
      </w:r>
      <w:r w:rsidR="00F9007E">
        <w:rPr>
          <w:rFonts w:ascii="Arial" w:hAnsi="Arial" w:cs="Arial"/>
        </w:rPr>
        <w:t>.</w:t>
      </w:r>
    </w:p>
    <w:p w:rsidR="00395496" w:rsidRPr="000D3A4B" w:rsidRDefault="00395496" w:rsidP="00395496">
      <w:pPr>
        <w:pStyle w:val="Odstavecseseznamem"/>
        <w:ind w:left="1080"/>
        <w:jc w:val="both"/>
        <w:rPr>
          <w:rFonts w:ascii="Arial" w:hAnsi="Arial" w:cs="Arial"/>
        </w:rPr>
      </w:pPr>
    </w:p>
    <w:p w:rsidR="00473D16" w:rsidRDefault="00703A91" w:rsidP="00473D16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0D3A4B">
        <w:rPr>
          <w:rFonts w:ascii="Arial" w:hAnsi="Arial" w:cs="Arial"/>
        </w:rPr>
        <w:t>Propočet pro vyúčtování elektrické energie vychází z vnitřního předpisu</w:t>
      </w:r>
      <w:r w:rsidR="00395496" w:rsidRPr="000D3A4B">
        <w:rPr>
          <w:rFonts w:ascii="Arial" w:hAnsi="Arial" w:cs="Arial"/>
        </w:rPr>
        <w:br/>
      </w:r>
      <w:r w:rsidRPr="000D3A4B">
        <w:rPr>
          <w:rFonts w:ascii="Arial" w:hAnsi="Arial" w:cs="Arial"/>
        </w:rPr>
        <w:t>č.</w:t>
      </w:r>
      <w:r w:rsidR="008F7392" w:rsidRPr="000D3A4B">
        <w:rPr>
          <w:rFonts w:ascii="Arial" w:hAnsi="Arial" w:cs="Arial"/>
        </w:rPr>
        <w:t xml:space="preserve"> </w:t>
      </w:r>
      <w:r w:rsidRPr="000D3A4B">
        <w:rPr>
          <w:rFonts w:ascii="Arial" w:hAnsi="Arial" w:cs="Arial"/>
        </w:rPr>
        <w:t>6 společnosti Víceúčelová sportovní hala spol. s r.o. ze dne 5.</w:t>
      </w:r>
      <w:r w:rsidR="008F7392" w:rsidRPr="000D3A4B">
        <w:rPr>
          <w:rFonts w:ascii="Arial" w:hAnsi="Arial" w:cs="Arial"/>
        </w:rPr>
        <w:t xml:space="preserve"> </w:t>
      </w:r>
      <w:r w:rsidRPr="000D3A4B">
        <w:rPr>
          <w:rFonts w:ascii="Arial" w:hAnsi="Arial" w:cs="Arial"/>
        </w:rPr>
        <w:t>11.</w:t>
      </w:r>
      <w:r w:rsidR="008F7392" w:rsidRPr="000D3A4B">
        <w:rPr>
          <w:rFonts w:ascii="Arial" w:hAnsi="Arial" w:cs="Arial"/>
        </w:rPr>
        <w:t xml:space="preserve"> </w:t>
      </w:r>
      <w:r w:rsidRPr="000D3A4B">
        <w:rPr>
          <w:rFonts w:ascii="Arial" w:hAnsi="Arial" w:cs="Arial"/>
        </w:rPr>
        <w:t xml:space="preserve">2003 pro potřeby účetního zpracování hospodaření společnosti a činí </w:t>
      </w:r>
      <w:proofErr w:type="gramStart"/>
      <w:r w:rsidRPr="000D3A4B">
        <w:rPr>
          <w:rFonts w:ascii="Arial" w:hAnsi="Arial" w:cs="Arial"/>
        </w:rPr>
        <w:t>2,8%</w:t>
      </w:r>
      <w:proofErr w:type="gramEnd"/>
      <w:r w:rsidRPr="000D3A4B">
        <w:rPr>
          <w:rFonts w:ascii="Arial" w:hAnsi="Arial" w:cs="Arial"/>
        </w:rPr>
        <w:t xml:space="preserve"> celkového odběru elektrické energie Víceúčelové sportovní haly</w:t>
      </w:r>
      <w:r w:rsidR="00F9007E">
        <w:rPr>
          <w:rFonts w:ascii="Arial" w:hAnsi="Arial" w:cs="Arial"/>
        </w:rPr>
        <w:t>.</w:t>
      </w:r>
    </w:p>
    <w:p w:rsidR="003F2268" w:rsidRDefault="003F2268" w:rsidP="003F2268">
      <w:pPr>
        <w:pStyle w:val="Odstavecseseznamem"/>
        <w:spacing w:after="0"/>
        <w:ind w:left="1080"/>
        <w:jc w:val="both"/>
        <w:rPr>
          <w:rFonts w:ascii="Arial" w:hAnsi="Arial" w:cs="Arial"/>
        </w:rPr>
      </w:pPr>
    </w:p>
    <w:p w:rsidR="003F2268" w:rsidRPr="0058531F" w:rsidRDefault="003F2268" w:rsidP="003F2268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Podnájemce se zavazuje platit </w:t>
      </w:r>
      <w:r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>ájemci zálohu na poskytované služby ve výši</w:t>
      </w:r>
      <w:r w:rsidR="00CB7EF4">
        <w:rPr>
          <w:rFonts w:ascii="Arial" w:hAnsi="Arial" w:cs="Arial"/>
        </w:rPr>
        <w:t xml:space="preserve"> </w:t>
      </w:r>
      <w:r w:rsidR="00CB7EF4" w:rsidRPr="009D404B">
        <w:rPr>
          <w:rFonts w:ascii="Arial" w:hAnsi="Arial" w:cs="Arial"/>
        </w:rPr>
        <w:t>5000,-</w:t>
      </w:r>
      <w:r w:rsidRPr="009D404B">
        <w:rPr>
          <w:rFonts w:ascii="Arial" w:hAnsi="Arial" w:cs="Arial"/>
        </w:rPr>
        <w:t xml:space="preserve"> Kč</w:t>
      </w:r>
      <w:r w:rsidR="00AE3D08" w:rsidRPr="009D404B">
        <w:rPr>
          <w:rFonts w:ascii="Arial" w:hAnsi="Arial" w:cs="Arial"/>
        </w:rPr>
        <w:br/>
        <w:t xml:space="preserve">+ </w:t>
      </w:r>
      <w:r w:rsidR="00CB7EF4" w:rsidRPr="009D404B">
        <w:rPr>
          <w:rFonts w:ascii="Arial" w:hAnsi="Arial" w:cs="Arial"/>
        </w:rPr>
        <w:t>DPH</w:t>
      </w:r>
      <w:r w:rsidR="004D3598" w:rsidRPr="009D404B">
        <w:rPr>
          <w:rFonts w:ascii="Arial" w:hAnsi="Arial" w:cs="Arial"/>
        </w:rPr>
        <w:t xml:space="preserve"> </w:t>
      </w:r>
      <w:r w:rsidR="00CB7EF4" w:rsidRPr="009D404B">
        <w:rPr>
          <w:rFonts w:ascii="Arial" w:hAnsi="Arial" w:cs="Arial"/>
        </w:rPr>
        <w:t>(2000 Kč elektřina, 600 Kč voda, 2400 Kč teplo</w:t>
      </w:r>
      <w:r w:rsidR="00B56330" w:rsidRPr="009D404B">
        <w:rPr>
          <w:rFonts w:ascii="Arial" w:hAnsi="Arial" w:cs="Arial"/>
        </w:rPr>
        <w:t xml:space="preserve"> (uvedené ceny jsou bez DPH)</w:t>
      </w:r>
      <w:r w:rsidR="00CB7EF4" w:rsidRPr="009D404B">
        <w:rPr>
          <w:rFonts w:ascii="Arial" w:hAnsi="Arial" w:cs="Arial"/>
        </w:rPr>
        <w:t>)</w:t>
      </w:r>
      <w:r w:rsidR="004D3598" w:rsidRPr="00AE3D08">
        <w:rPr>
          <w:rFonts w:ascii="Arial" w:hAnsi="Arial" w:cs="Arial"/>
        </w:rPr>
        <w:t xml:space="preserve"> měsíčně předem</w:t>
      </w:r>
      <w:r w:rsidR="005B2DEC">
        <w:rPr>
          <w:rFonts w:ascii="Arial" w:hAnsi="Arial" w:cs="Arial"/>
        </w:rPr>
        <w:t xml:space="preserve"> na základě vydané faktury</w:t>
      </w:r>
      <w:r w:rsidRPr="00AE3D08">
        <w:rPr>
          <w:rFonts w:ascii="Arial" w:hAnsi="Arial" w:cs="Arial"/>
        </w:rPr>
        <w:t>, vždy do 5. dne příslušného kalendářního měsíce, za který jsou placeny, na účet Nájemce č.</w:t>
      </w:r>
      <w:r w:rsidR="009D404B">
        <w:rPr>
          <w:rFonts w:ascii="Arial" w:hAnsi="Arial" w:cs="Arial"/>
        </w:rPr>
        <w:t xml:space="preserve"> 386603399/0800</w:t>
      </w:r>
      <w:bookmarkStart w:id="0" w:name="_GoBack"/>
      <w:bookmarkEnd w:id="0"/>
      <w:r w:rsidRPr="00AE3D08">
        <w:rPr>
          <w:rFonts w:ascii="Arial" w:hAnsi="Arial" w:cs="Arial"/>
        </w:rPr>
        <w:t xml:space="preserve"> vedený u</w:t>
      </w:r>
      <w:r w:rsidR="009D404B">
        <w:rPr>
          <w:rFonts w:ascii="Arial" w:hAnsi="Arial" w:cs="Arial"/>
        </w:rPr>
        <w:t xml:space="preserve"> Česká spořitelna a.s.</w:t>
      </w:r>
      <w:r w:rsidRPr="005853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Záloha na poskytované služby</w:t>
      </w:r>
      <w:r w:rsidRPr="0058531F">
        <w:rPr>
          <w:rFonts w:ascii="Arial" w:hAnsi="Arial" w:cs="Arial"/>
        </w:rPr>
        <w:t xml:space="preserve"> za měsíc</w:t>
      </w:r>
      <w:r>
        <w:rPr>
          <w:rFonts w:ascii="Arial" w:hAnsi="Arial" w:cs="Arial"/>
        </w:rPr>
        <w:t>, ve kterém tato Smlouva vešla v účinnost, je splatná do 5 dnů od účinnosti této Smlouvy. Záloha na poskytované služby za měsíc, ve kterém uplyne sjednaná doba podnájmu, je splatná k poslednímu dni měsíce, který předchází měsíci, ve kterém doba podnájmu uplyne.</w:t>
      </w:r>
    </w:p>
    <w:p w:rsidR="003F2268" w:rsidRDefault="00703F8F" w:rsidP="003F2268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8531F">
        <w:rPr>
          <w:rFonts w:ascii="Arial" w:hAnsi="Arial" w:cs="Arial"/>
        </w:rPr>
        <w:t>Jestliže podnájemce nesplní svou povinnost zaplatit zálohu na úhradu kterékoliv služby nebo doplatek za službu spojenou s užíváním předmětných nebytových prostor řádně a včas, je povinen nájemci zaplatit smluvní pokutu ve výši 0,5 % z dlužné částky za každý kalendářní den prodlení se splněním této povinnosti. Smluvní pokutu je podnájemce povinen uhradit nájemci do 10 dnů po obdržení výzvy nájemce k její úhradě. Zaplacením této smluvní pokuty nezaniká povinnost podnájemce nahradit nájemci škodu způsobenou porušením povinnosti, která je touto smluvní pokutou utvrzena. Smluvní pokuta žádným způsobem tuto náhradu škody nelimituje.</w:t>
      </w:r>
    </w:p>
    <w:p w:rsidR="00703F8F" w:rsidRDefault="00703F8F" w:rsidP="00703F8F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:rsidR="00703F8F" w:rsidRPr="00703F8F" w:rsidRDefault="00703F8F" w:rsidP="00703F8F">
      <w:pPr>
        <w:pStyle w:val="Odstavecseseznamem"/>
        <w:numPr>
          <w:ilvl w:val="0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Konečnou výši úhrady</w:t>
      </w:r>
      <w:r w:rsidRPr="005853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spotřebu</w:t>
      </w:r>
      <w:r w:rsidRPr="0058531F">
        <w:rPr>
          <w:rFonts w:ascii="Arial" w:hAnsi="Arial" w:cs="Arial"/>
        </w:rPr>
        <w:t xml:space="preserve"> služeb</w:t>
      </w:r>
      <w:r>
        <w:rPr>
          <w:rFonts w:ascii="Arial" w:hAnsi="Arial" w:cs="Arial"/>
        </w:rPr>
        <w:t xml:space="preserve"> Podnájemcem</w:t>
      </w:r>
      <w:r w:rsidRPr="0058531F">
        <w:rPr>
          <w:rFonts w:ascii="Arial" w:hAnsi="Arial" w:cs="Arial"/>
        </w:rPr>
        <w:t xml:space="preserve"> (vodné, stočné, elektrická energie, teplo)</w:t>
      </w:r>
      <w:r>
        <w:rPr>
          <w:rFonts w:ascii="Arial" w:hAnsi="Arial" w:cs="Arial"/>
        </w:rPr>
        <w:t>, určenou dle Článku 6 odst. 1. Smlouvy, vyúčtuje Nájemce vždy zpětně za každé kalendářní pololetí a to do 31. 1. a 31. 7.</w:t>
      </w:r>
      <w:r w:rsidRPr="0058531F">
        <w:rPr>
          <w:rFonts w:ascii="Arial" w:hAnsi="Arial" w:cs="Arial"/>
        </w:rPr>
        <w:t xml:space="preserve"> Podnájemce je povinen do 20 dnů od doručení vyúčtování od </w:t>
      </w:r>
      <w:r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 xml:space="preserve">ájemce uhradit nedoplatek na účet sjednaný pro placení </w:t>
      </w:r>
      <w:r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 xml:space="preserve">odnájemného. Ve stejné lhůtě je </w:t>
      </w:r>
      <w:r>
        <w:rPr>
          <w:rFonts w:ascii="Arial" w:hAnsi="Arial" w:cs="Arial"/>
        </w:rPr>
        <w:t>N</w:t>
      </w:r>
      <w:r w:rsidRPr="0058531F">
        <w:rPr>
          <w:rFonts w:ascii="Arial" w:hAnsi="Arial" w:cs="Arial"/>
        </w:rPr>
        <w:t xml:space="preserve">ájemce povinen vrátit </w:t>
      </w:r>
      <w:r>
        <w:rPr>
          <w:rFonts w:ascii="Arial" w:hAnsi="Arial" w:cs="Arial"/>
        </w:rPr>
        <w:t>P</w:t>
      </w:r>
      <w:r w:rsidRPr="0058531F">
        <w:rPr>
          <w:rFonts w:ascii="Arial" w:hAnsi="Arial" w:cs="Arial"/>
        </w:rPr>
        <w:t>odnájemci přeplatek.</w:t>
      </w:r>
    </w:p>
    <w:p w:rsidR="00703F8F" w:rsidRPr="00703F8F" w:rsidRDefault="00703F8F" w:rsidP="00703F8F">
      <w:pPr>
        <w:spacing w:after="0"/>
        <w:jc w:val="both"/>
        <w:rPr>
          <w:rFonts w:ascii="Arial" w:hAnsi="Arial" w:cs="Arial"/>
        </w:rPr>
      </w:pPr>
    </w:p>
    <w:p w:rsidR="00FB40A8" w:rsidRDefault="00703F8F" w:rsidP="00703F8F">
      <w:pPr>
        <w:pStyle w:val="Odstavecseseznamem"/>
        <w:numPr>
          <w:ilvl w:val="0"/>
          <w:numId w:val="3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Odvoz a likvidaci odpadu si zajišťuje Podnájemce sám a na své náklady.</w:t>
      </w:r>
    </w:p>
    <w:p w:rsidR="00703F8F" w:rsidRDefault="00703F8F" w:rsidP="00703F8F">
      <w:pPr>
        <w:spacing w:after="0"/>
        <w:jc w:val="both"/>
        <w:rPr>
          <w:rFonts w:ascii="Arial" w:hAnsi="Arial" w:cs="Arial"/>
        </w:rPr>
      </w:pPr>
    </w:p>
    <w:p w:rsidR="00703F8F" w:rsidRPr="00703F8F" w:rsidRDefault="00703F8F" w:rsidP="00703F8F">
      <w:pPr>
        <w:spacing w:after="0"/>
        <w:jc w:val="both"/>
        <w:rPr>
          <w:rFonts w:ascii="Arial" w:hAnsi="Arial" w:cs="Arial"/>
        </w:rPr>
      </w:pPr>
    </w:p>
    <w:p w:rsidR="00FB40A8" w:rsidRPr="000D3A4B" w:rsidRDefault="0030496F" w:rsidP="00FB40A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3</w:t>
      </w:r>
    </w:p>
    <w:p w:rsidR="00703F8F" w:rsidRDefault="00FB40A8" w:rsidP="00C51003">
      <w:pPr>
        <w:spacing w:after="120"/>
        <w:jc w:val="center"/>
        <w:rPr>
          <w:rFonts w:ascii="Arial" w:hAnsi="Arial" w:cs="Arial"/>
          <w:b/>
          <w:bCs/>
        </w:rPr>
      </w:pPr>
      <w:r w:rsidRPr="000D3A4B">
        <w:rPr>
          <w:rFonts w:ascii="Arial" w:hAnsi="Arial" w:cs="Arial"/>
          <w:b/>
          <w:bCs/>
        </w:rPr>
        <w:t>Závěrečná ujednání</w:t>
      </w:r>
    </w:p>
    <w:p w:rsidR="00703F8F" w:rsidRPr="00703F8F" w:rsidRDefault="00703F8F" w:rsidP="00703F8F">
      <w:pPr>
        <w:pStyle w:val="Odstavecseseznamem"/>
        <w:numPr>
          <w:ilvl w:val="0"/>
          <w:numId w:val="6"/>
        </w:numPr>
        <w:spacing w:after="120"/>
        <w:rPr>
          <w:rFonts w:ascii="Arial" w:hAnsi="Arial" w:cs="Arial"/>
          <w:b/>
          <w:bCs/>
        </w:rPr>
      </w:pPr>
      <w:r w:rsidRPr="00703F8F">
        <w:rPr>
          <w:rFonts w:ascii="Arial" w:hAnsi="Arial" w:cs="Arial"/>
        </w:rPr>
        <w:t xml:space="preserve">V rozsahu, ve kterém </w:t>
      </w:r>
      <w:r>
        <w:rPr>
          <w:rFonts w:ascii="Arial" w:hAnsi="Arial" w:cs="Arial"/>
        </w:rPr>
        <w:t>není Smlouva tímto Dodatkem dotčena, zůstává platná a účinná ve stávajícím znění.</w:t>
      </w:r>
    </w:p>
    <w:p w:rsidR="00703F8F" w:rsidRPr="00703F8F" w:rsidRDefault="00703F8F" w:rsidP="00703F8F">
      <w:pPr>
        <w:pStyle w:val="Odstavecseseznamem"/>
        <w:spacing w:after="120"/>
        <w:ind w:left="360"/>
        <w:rPr>
          <w:rFonts w:ascii="Arial" w:hAnsi="Arial" w:cs="Arial"/>
          <w:b/>
          <w:bCs/>
        </w:rPr>
      </w:pPr>
    </w:p>
    <w:p w:rsidR="000D3A4B" w:rsidRPr="004E24FE" w:rsidRDefault="000D3A4B" w:rsidP="000D3A4B">
      <w:pPr>
        <w:pStyle w:val="Odstavecseseznamem"/>
        <w:numPr>
          <w:ilvl w:val="0"/>
          <w:numId w:val="6"/>
        </w:numPr>
        <w:spacing w:after="120"/>
        <w:rPr>
          <w:rFonts w:ascii="Arial" w:hAnsi="Arial" w:cs="Arial"/>
          <w:b/>
          <w:bCs/>
        </w:rPr>
      </w:pPr>
      <w:r w:rsidRPr="000D3A4B">
        <w:rPr>
          <w:rFonts w:ascii="Arial" w:hAnsi="Arial" w:cs="Arial"/>
        </w:rPr>
        <w:t>Tento Dodatek se pořizuje ve dvou vyhotoveních, z nich</w:t>
      </w:r>
      <w:r w:rsidR="00B735F5">
        <w:rPr>
          <w:rFonts w:ascii="Arial" w:hAnsi="Arial" w:cs="Arial"/>
        </w:rPr>
        <w:t>ž</w:t>
      </w:r>
      <w:r w:rsidRPr="000D3A4B">
        <w:rPr>
          <w:rFonts w:ascii="Arial" w:hAnsi="Arial" w:cs="Arial"/>
        </w:rPr>
        <w:t xml:space="preserve"> jedno obdrží Nájemce a jedno Podnájemce</w:t>
      </w:r>
      <w:r w:rsidR="00B735F5">
        <w:rPr>
          <w:rFonts w:ascii="Arial" w:hAnsi="Arial" w:cs="Arial"/>
        </w:rPr>
        <w:t>.</w:t>
      </w:r>
    </w:p>
    <w:p w:rsidR="004E24FE" w:rsidRPr="000D3A4B" w:rsidRDefault="004E24FE" w:rsidP="004E24FE">
      <w:pPr>
        <w:pStyle w:val="Odstavecseseznamem"/>
        <w:spacing w:after="120"/>
        <w:ind w:left="360"/>
        <w:rPr>
          <w:rFonts w:ascii="Arial" w:hAnsi="Arial" w:cs="Arial"/>
          <w:b/>
          <w:bCs/>
        </w:rPr>
      </w:pPr>
    </w:p>
    <w:p w:rsidR="004E24FE" w:rsidRDefault="004E24FE" w:rsidP="004E24FE">
      <w:pPr>
        <w:pStyle w:val="Odstavecseseznamem"/>
        <w:numPr>
          <w:ilvl w:val="0"/>
          <w:numId w:val="6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Podnájemce</w:t>
      </w:r>
      <w:r w:rsidRPr="00591219">
        <w:rPr>
          <w:rFonts w:ascii="Arial" w:hAnsi="Arial" w:cs="Arial"/>
        </w:rPr>
        <w:t xml:space="preserve"> prohlašuj</w:t>
      </w:r>
      <w:r>
        <w:rPr>
          <w:rFonts w:ascii="Arial" w:hAnsi="Arial" w:cs="Arial"/>
        </w:rPr>
        <w:t>e</w:t>
      </w:r>
      <w:r w:rsidRPr="00591219">
        <w:rPr>
          <w:rFonts w:ascii="Arial" w:hAnsi="Arial" w:cs="Arial"/>
        </w:rPr>
        <w:t>, že j</w:t>
      </w:r>
      <w:r>
        <w:rPr>
          <w:rFonts w:ascii="Arial" w:hAnsi="Arial" w:cs="Arial"/>
        </w:rPr>
        <w:t>e</w:t>
      </w:r>
      <w:r w:rsidRPr="00591219">
        <w:rPr>
          <w:rFonts w:ascii="Arial" w:hAnsi="Arial" w:cs="Arial"/>
        </w:rPr>
        <w:t xml:space="preserve"> seznámen se skutečností, že </w:t>
      </w:r>
      <w:r>
        <w:rPr>
          <w:rFonts w:ascii="Arial" w:hAnsi="Arial" w:cs="Arial"/>
        </w:rPr>
        <w:t>Nájemce</w:t>
      </w:r>
      <w:r w:rsidRPr="00591219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povinen</w:t>
      </w:r>
      <w:r w:rsidRPr="00591219">
        <w:rPr>
          <w:rFonts w:ascii="Arial" w:hAnsi="Arial" w:cs="Arial"/>
        </w:rPr>
        <w:t xml:space="preserve"> uveřejňovat uzavřené smlouvy</w:t>
      </w:r>
      <w:r>
        <w:rPr>
          <w:rFonts w:ascii="Arial" w:hAnsi="Arial" w:cs="Arial"/>
        </w:rPr>
        <w:t xml:space="preserve"> (dodatky)</w:t>
      </w:r>
      <w:r w:rsidRPr="00591219">
        <w:rPr>
          <w:rFonts w:ascii="Arial" w:hAnsi="Arial" w:cs="Arial"/>
        </w:rPr>
        <w:t xml:space="preserve"> v registru smluv zřízené</w:t>
      </w:r>
      <w:r>
        <w:rPr>
          <w:rFonts w:ascii="Arial" w:hAnsi="Arial" w:cs="Arial"/>
        </w:rPr>
        <w:t>m</w:t>
      </w:r>
      <w:r w:rsidRPr="00591219">
        <w:rPr>
          <w:rFonts w:ascii="Arial" w:hAnsi="Arial" w:cs="Arial"/>
        </w:rPr>
        <w:t xml:space="preserve"> dle zákona č. 340/2015 Sb., o zvláštních podmínkách účinnosti některých smluv, uveřejňování těchto smluv</w:t>
      </w:r>
      <w:r>
        <w:rPr>
          <w:rFonts w:ascii="Arial" w:hAnsi="Arial" w:cs="Arial"/>
        </w:rPr>
        <w:br/>
      </w:r>
      <w:r w:rsidRPr="00591219">
        <w:rPr>
          <w:rFonts w:ascii="Arial" w:hAnsi="Arial" w:cs="Arial"/>
        </w:rPr>
        <w:t>a o registru smluv (zákon o registru smluv), v platném znění (dále jen „</w:t>
      </w:r>
      <w:r w:rsidRPr="00591219">
        <w:rPr>
          <w:rFonts w:ascii="Arial" w:hAnsi="Arial" w:cs="Arial"/>
          <w:b/>
        </w:rPr>
        <w:t>zákon o registru smluv</w:t>
      </w:r>
      <w:r w:rsidRPr="00591219">
        <w:rPr>
          <w:rFonts w:ascii="Arial" w:hAnsi="Arial" w:cs="Arial"/>
        </w:rPr>
        <w:t>“).</w:t>
      </w:r>
    </w:p>
    <w:p w:rsidR="004E24FE" w:rsidRDefault="004E24FE" w:rsidP="004E24FE">
      <w:pPr>
        <w:pStyle w:val="Odstavecseseznamem"/>
        <w:spacing w:after="0"/>
        <w:ind w:left="360"/>
        <w:contextualSpacing w:val="0"/>
        <w:jc w:val="both"/>
        <w:rPr>
          <w:rFonts w:ascii="Arial" w:hAnsi="Arial" w:cs="Arial"/>
        </w:rPr>
      </w:pPr>
    </w:p>
    <w:p w:rsidR="004E24FE" w:rsidRDefault="004E24FE" w:rsidP="004E24FE">
      <w:pPr>
        <w:pStyle w:val="Odstavecseseznamem"/>
        <w:numPr>
          <w:ilvl w:val="0"/>
          <w:numId w:val="6"/>
        </w:numPr>
        <w:spacing w:after="0"/>
        <w:contextualSpacing w:val="0"/>
        <w:jc w:val="both"/>
        <w:rPr>
          <w:rFonts w:ascii="Arial" w:hAnsi="Arial" w:cs="Arial"/>
        </w:rPr>
      </w:pPr>
      <w:r w:rsidRPr="00A6142D">
        <w:rPr>
          <w:rFonts w:ascii="Arial" w:hAnsi="Arial" w:cs="Arial"/>
        </w:rPr>
        <w:t>Smluvní strany se</w:t>
      </w:r>
      <w:r>
        <w:rPr>
          <w:rFonts w:ascii="Arial" w:hAnsi="Arial" w:cs="Arial"/>
        </w:rPr>
        <w:t xml:space="preserve"> zavazují</w:t>
      </w:r>
      <w:r w:rsidRPr="00A614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nakládat s osobními údaji získanými v souvislosti s tímto Dodatkem a plněním závazku vyplývajícího ze Smlouvy v souladu s nařízením Evropského parlamentu a Rady (EU) č. 2016/679 ze dne 27. dubna 2016 o ochraně fyzických osob v souvislosti se zpracováním osobních údajů a o volném pohybu těchto údajů (GDPR).</w:t>
      </w:r>
    </w:p>
    <w:p w:rsidR="004E24FE" w:rsidRPr="000E06BA" w:rsidRDefault="004E24FE" w:rsidP="004E24FE">
      <w:pPr>
        <w:pStyle w:val="Odstavecseseznamem"/>
        <w:spacing w:after="0"/>
        <w:ind w:left="360"/>
        <w:contextualSpacing w:val="0"/>
        <w:jc w:val="both"/>
        <w:rPr>
          <w:rFonts w:ascii="Arial" w:hAnsi="Arial" w:cs="Arial"/>
        </w:rPr>
      </w:pPr>
    </w:p>
    <w:p w:rsidR="004E24FE" w:rsidRDefault="004E24FE" w:rsidP="004E24FE">
      <w:pPr>
        <w:pStyle w:val="Odstavecseseznamem"/>
        <w:numPr>
          <w:ilvl w:val="0"/>
          <w:numId w:val="6"/>
        </w:numPr>
        <w:spacing w:after="0"/>
        <w:contextualSpacing w:val="0"/>
        <w:jc w:val="both"/>
        <w:rPr>
          <w:rFonts w:ascii="Arial" w:hAnsi="Arial" w:cs="Arial"/>
        </w:rPr>
      </w:pPr>
      <w:r w:rsidRPr="0059121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ento Dodatek </w:t>
      </w:r>
      <w:r w:rsidRPr="00591219">
        <w:rPr>
          <w:rFonts w:ascii="Arial" w:hAnsi="Arial" w:cs="Arial"/>
        </w:rPr>
        <w:t xml:space="preserve">odešle správci registru smluv k uveřejnění </w:t>
      </w:r>
      <w:r>
        <w:rPr>
          <w:rFonts w:ascii="Arial" w:hAnsi="Arial" w:cs="Arial"/>
        </w:rPr>
        <w:t>Nájemce</w:t>
      </w:r>
      <w:r w:rsidRPr="00591219">
        <w:rPr>
          <w:rFonts w:ascii="Arial" w:hAnsi="Arial" w:cs="Arial"/>
        </w:rPr>
        <w:t xml:space="preserve">, a to bez zbytečného odkladu, nejpozději však do 30 dnů od </w:t>
      </w:r>
      <w:r>
        <w:rPr>
          <w:rFonts w:ascii="Arial" w:hAnsi="Arial" w:cs="Arial"/>
        </w:rPr>
        <w:t>jeho uzavření</w:t>
      </w:r>
      <w:r w:rsidRPr="00591219">
        <w:rPr>
          <w:rFonts w:ascii="Arial" w:hAnsi="Arial" w:cs="Arial"/>
        </w:rPr>
        <w:t>.</w:t>
      </w:r>
    </w:p>
    <w:p w:rsidR="004E24FE" w:rsidRDefault="004E24FE" w:rsidP="004E24FE">
      <w:pPr>
        <w:pStyle w:val="Odstavecseseznamem"/>
        <w:spacing w:after="0"/>
        <w:ind w:left="360"/>
        <w:contextualSpacing w:val="0"/>
        <w:jc w:val="both"/>
        <w:rPr>
          <w:rFonts w:ascii="Arial" w:hAnsi="Arial" w:cs="Arial"/>
        </w:rPr>
      </w:pPr>
    </w:p>
    <w:p w:rsidR="000D3A4B" w:rsidRPr="004E24FE" w:rsidRDefault="004E24FE" w:rsidP="004E24FE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</w:rPr>
      </w:pPr>
      <w:r w:rsidRPr="001C241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ento Dodatek </w:t>
      </w:r>
      <w:r w:rsidRPr="001C241D">
        <w:rPr>
          <w:rFonts w:ascii="Arial" w:hAnsi="Arial" w:cs="Arial"/>
        </w:rPr>
        <w:t>nabývá platnosti dnem podpisu ob</w:t>
      </w:r>
      <w:r>
        <w:rPr>
          <w:rFonts w:ascii="Arial" w:hAnsi="Arial" w:cs="Arial"/>
        </w:rPr>
        <w:t>ěma</w:t>
      </w:r>
      <w:r w:rsidRPr="001C241D">
        <w:rPr>
          <w:rFonts w:ascii="Arial" w:hAnsi="Arial" w:cs="Arial"/>
        </w:rPr>
        <w:t xml:space="preserve"> Smluvní</w:t>
      </w:r>
      <w:r>
        <w:rPr>
          <w:rFonts w:ascii="Arial" w:hAnsi="Arial" w:cs="Arial"/>
        </w:rPr>
        <w:t>mi</w:t>
      </w:r>
      <w:r w:rsidRPr="001C241D">
        <w:rPr>
          <w:rFonts w:ascii="Arial" w:hAnsi="Arial" w:cs="Arial"/>
        </w:rPr>
        <w:t xml:space="preserve"> stra</w:t>
      </w:r>
      <w:r>
        <w:rPr>
          <w:rFonts w:ascii="Arial" w:hAnsi="Arial" w:cs="Arial"/>
        </w:rPr>
        <w:t>nami</w:t>
      </w:r>
      <w:r w:rsidRPr="001C241D">
        <w:rPr>
          <w:rFonts w:ascii="Arial" w:hAnsi="Arial" w:cs="Arial"/>
        </w:rPr>
        <w:t xml:space="preserve"> a účinnosti dne</w:t>
      </w:r>
      <w:r>
        <w:rPr>
          <w:rFonts w:ascii="Arial" w:hAnsi="Arial" w:cs="Arial"/>
        </w:rPr>
        <w:t xml:space="preserve"> </w:t>
      </w:r>
      <w:r w:rsidR="009D404B">
        <w:rPr>
          <w:rFonts w:ascii="Arial" w:hAnsi="Arial" w:cs="Arial"/>
        </w:rPr>
        <w:t>30.9.2019</w:t>
      </w:r>
      <w:r>
        <w:rPr>
          <w:rFonts w:ascii="Arial" w:hAnsi="Arial" w:cs="Arial"/>
        </w:rPr>
        <w:t>, nejdříve však jeho</w:t>
      </w:r>
      <w:r w:rsidRPr="001C241D">
        <w:rPr>
          <w:rFonts w:ascii="Arial" w:hAnsi="Arial" w:cs="Arial"/>
        </w:rPr>
        <w:t xml:space="preserve"> uveřejnění</w:t>
      </w:r>
      <w:r>
        <w:rPr>
          <w:rFonts w:ascii="Arial" w:hAnsi="Arial" w:cs="Arial"/>
        </w:rPr>
        <w:t>m</w:t>
      </w:r>
      <w:r w:rsidRPr="001C241D">
        <w:rPr>
          <w:rFonts w:ascii="Arial" w:hAnsi="Arial" w:cs="Arial"/>
        </w:rPr>
        <w:t xml:space="preserve"> v registru smluv.</w:t>
      </w:r>
    </w:p>
    <w:p w:rsidR="00FB40A8" w:rsidRPr="000D3A4B" w:rsidRDefault="00FB40A8" w:rsidP="003B7654">
      <w:pPr>
        <w:rPr>
          <w:rFonts w:ascii="Arial" w:hAnsi="Arial" w:cs="Arial"/>
        </w:rPr>
      </w:pPr>
    </w:p>
    <w:p w:rsidR="00703A91" w:rsidRPr="000D3A4B" w:rsidRDefault="00703A91" w:rsidP="003B7654">
      <w:pPr>
        <w:rPr>
          <w:rFonts w:ascii="Arial" w:hAnsi="Arial" w:cs="Arial"/>
        </w:rPr>
      </w:pPr>
      <w:r w:rsidRPr="000D3A4B">
        <w:rPr>
          <w:rFonts w:ascii="Arial" w:hAnsi="Arial" w:cs="Arial"/>
        </w:rPr>
        <w:t>Ve Slaném dne</w:t>
      </w:r>
      <w:r w:rsidR="009D404B">
        <w:rPr>
          <w:rFonts w:ascii="Arial" w:hAnsi="Arial" w:cs="Arial"/>
        </w:rPr>
        <w:t xml:space="preserve"> 30.9.2019</w:t>
      </w:r>
    </w:p>
    <w:p w:rsidR="00703A91" w:rsidRPr="000D3A4B" w:rsidRDefault="00703A91" w:rsidP="0038329D">
      <w:pPr>
        <w:spacing w:after="120"/>
        <w:jc w:val="both"/>
        <w:rPr>
          <w:rFonts w:ascii="Arial" w:hAnsi="Arial" w:cs="Arial"/>
        </w:rPr>
      </w:pPr>
    </w:p>
    <w:tbl>
      <w:tblPr>
        <w:tblStyle w:val="Mkatabulky"/>
        <w:tblW w:w="499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1887"/>
        <w:gridCol w:w="3590"/>
      </w:tblGrid>
      <w:tr w:rsidR="00703A91" w:rsidRPr="000D3A4B" w:rsidTr="007B1A83">
        <w:trPr>
          <w:jc w:val="center"/>
        </w:trPr>
        <w:tc>
          <w:tcPr>
            <w:tcW w:w="1979" w:type="pct"/>
            <w:hideMark/>
          </w:tcPr>
          <w:p w:rsidR="00703A91" w:rsidRPr="000D3A4B" w:rsidRDefault="00703A91" w:rsidP="007B1A83">
            <w:pPr>
              <w:rPr>
                <w:rFonts w:ascii="Arial" w:hAnsi="Arial" w:cs="Arial"/>
                <w:b/>
              </w:rPr>
            </w:pPr>
            <w:r w:rsidRPr="000D3A4B">
              <w:rPr>
                <w:rFonts w:ascii="Arial" w:hAnsi="Arial" w:cs="Arial"/>
                <w:b/>
              </w:rPr>
              <w:t>Nájemce:</w:t>
            </w:r>
          </w:p>
        </w:tc>
        <w:tc>
          <w:tcPr>
            <w:tcW w:w="1041" w:type="pct"/>
          </w:tcPr>
          <w:p w:rsidR="00703A91" w:rsidRPr="000D3A4B" w:rsidRDefault="00703A91" w:rsidP="007B1A83">
            <w:pPr>
              <w:rPr>
                <w:rFonts w:ascii="Arial" w:hAnsi="Arial" w:cs="Arial"/>
              </w:rPr>
            </w:pPr>
          </w:p>
        </w:tc>
        <w:tc>
          <w:tcPr>
            <w:tcW w:w="1980" w:type="pct"/>
            <w:hideMark/>
          </w:tcPr>
          <w:p w:rsidR="00703A91" w:rsidRPr="000D3A4B" w:rsidRDefault="00703A91" w:rsidP="007B1A83">
            <w:pPr>
              <w:rPr>
                <w:rFonts w:ascii="Arial" w:hAnsi="Arial" w:cs="Arial"/>
                <w:b/>
              </w:rPr>
            </w:pPr>
            <w:r w:rsidRPr="000D3A4B">
              <w:rPr>
                <w:rFonts w:ascii="Arial" w:hAnsi="Arial" w:cs="Arial"/>
                <w:b/>
              </w:rPr>
              <w:t>Podnájemce:</w:t>
            </w:r>
          </w:p>
        </w:tc>
      </w:tr>
      <w:tr w:rsidR="00703A91" w:rsidRPr="000D3A4B" w:rsidTr="007B1A83">
        <w:trPr>
          <w:jc w:val="center"/>
        </w:trPr>
        <w:tc>
          <w:tcPr>
            <w:tcW w:w="1979" w:type="pct"/>
            <w:hideMark/>
          </w:tcPr>
          <w:p w:rsidR="00703A91" w:rsidRPr="000D3A4B" w:rsidRDefault="00703A91" w:rsidP="007B1A83">
            <w:pPr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:rsidR="00703A91" w:rsidRPr="000D3A4B" w:rsidRDefault="00703A91" w:rsidP="007B1A83">
            <w:pPr>
              <w:rPr>
                <w:rFonts w:ascii="Arial" w:hAnsi="Arial" w:cs="Arial"/>
              </w:rPr>
            </w:pPr>
          </w:p>
        </w:tc>
        <w:tc>
          <w:tcPr>
            <w:tcW w:w="1980" w:type="pct"/>
            <w:hideMark/>
          </w:tcPr>
          <w:p w:rsidR="00703A91" w:rsidRPr="000D3A4B" w:rsidRDefault="00703A91" w:rsidP="007B1A83">
            <w:pPr>
              <w:rPr>
                <w:rFonts w:ascii="Arial" w:hAnsi="Arial" w:cs="Arial"/>
              </w:rPr>
            </w:pPr>
          </w:p>
        </w:tc>
      </w:tr>
      <w:tr w:rsidR="00703A91" w:rsidRPr="000D3A4B" w:rsidTr="007B1A83">
        <w:trPr>
          <w:jc w:val="center"/>
        </w:trPr>
        <w:tc>
          <w:tcPr>
            <w:tcW w:w="1979" w:type="pct"/>
          </w:tcPr>
          <w:p w:rsidR="00703A91" w:rsidRPr="000D3A4B" w:rsidRDefault="00703A91" w:rsidP="007B1A83">
            <w:pPr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:rsidR="00703A91" w:rsidRPr="000D3A4B" w:rsidRDefault="00703A91" w:rsidP="007B1A83">
            <w:pPr>
              <w:rPr>
                <w:rFonts w:ascii="Arial" w:hAnsi="Arial" w:cs="Arial"/>
              </w:rPr>
            </w:pPr>
          </w:p>
        </w:tc>
        <w:tc>
          <w:tcPr>
            <w:tcW w:w="1980" w:type="pct"/>
          </w:tcPr>
          <w:p w:rsidR="00703A91" w:rsidRPr="000D3A4B" w:rsidRDefault="00703A91" w:rsidP="007B1A83">
            <w:pPr>
              <w:rPr>
                <w:rFonts w:ascii="Arial" w:hAnsi="Arial" w:cs="Arial"/>
              </w:rPr>
            </w:pPr>
          </w:p>
        </w:tc>
      </w:tr>
      <w:tr w:rsidR="00703A91" w:rsidRPr="000D3A4B" w:rsidTr="007B1A83">
        <w:trPr>
          <w:trHeight w:val="1071"/>
          <w:jc w:val="center"/>
        </w:trPr>
        <w:tc>
          <w:tcPr>
            <w:tcW w:w="1979" w:type="pct"/>
            <w:vAlign w:val="bottom"/>
            <w:hideMark/>
          </w:tcPr>
          <w:p w:rsidR="00703A91" w:rsidRPr="000D3A4B" w:rsidRDefault="00703A91" w:rsidP="007B1A83">
            <w:pPr>
              <w:jc w:val="center"/>
              <w:rPr>
                <w:rFonts w:ascii="Arial" w:hAnsi="Arial" w:cs="Arial"/>
              </w:rPr>
            </w:pPr>
            <w:r w:rsidRPr="000D3A4B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1041" w:type="pct"/>
            <w:vAlign w:val="bottom"/>
          </w:tcPr>
          <w:p w:rsidR="00703A91" w:rsidRPr="000D3A4B" w:rsidRDefault="00703A91" w:rsidP="007B1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pct"/>
            <w:vAlign w:val="bottom"/>
            <w:hideMark/>
          </w:tcPr>
          <w:p w:rsidR="00703A91" w:rsidRPr="000D3A4B" w:rsidRDefault="00703A91" w:rsidP="007B1A83">
            <w:pPr>
              <w:jc w:val="center"/>
              <w:rPr>
                <w:rFonts w:ascii="Arial" w:hAnsi="Arial" w:cs="Arial"/>
                <w:b/>
              </w:rPr>
            </w:pPr>
            <w:r w:rsidRPr="000D3A4B">
              <w:rPr>
                <w:rFonts w:ascii="Arial" w:hAnsi="Arial" w:cs="Arial"/>
              </w:rPr>
              <w:t>________________________</w:t>
            </w:r>
          </w:p>
        </w:tc>
      </w:tr>
      <w:tr w:rsidR="00703A91" w:rsidRPr="000D3A4B" w:rsidTr="007B1A83">
        <w:trPr>
          <w:jc w:val="center"/>
        </w:trPr>
        <w:tc>
          <w:tcPr>
            <w:tcW w:w="1979" w:type="pct"/>
            <w:hideMark/>
          </w:tcPr>
          <w:p w:rsidR="00703A91" w:rsidRPr="000D3A4B" w:rsidRDefault="00703A91" w:rsidP="007B1A83">
            <w:pPr>
              <w:jc w:val="center"/>
              <w:rPr>
                <w:rFonts w:ascii="Arial" w:hAnsi="Arial" w:cs="Arial"/>
              </w:rPr>
            </w:pPr>
            <w:r w:rsidRPr="000D3A4B">
              <w:rPr>
                <w:rFonts w:ascii="Arial" w:hAnsi="Arial" w:cs="Arial"/>
                <w:b/>
                <w:shd w:val="clear" w:color="auto" w:fill="FFFFFF"/>
              </w:rPr>
              <w:t>Víceúčelová sportovní hala Slaný spol. s r.o.</w:t>
            </w:r>
          </w:p>
        </w:tc>
        <w:tc>
          <w:tcPr>
            <w:tcW w:w="1041" w:type="pct"/>
          </w:tcPr>
          <w:p w:rsidR="00703A91" w:rsidRPr="000D3A4B" w:rsidRDefault="00703A91" w:rsidP="007B1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pct"/>
            <w:hideMark/>
          </w:tcPr>
          <w:p w:rsidR="00703A91" w:rsidRPr="000D3A4B" w:rsidRDefault="0038329D" w:rsidP="007B1A83">
            <w:pPr>
              <w:jc w:val="center"/>
              <w:rPr>
                <w:rFonts w:ascii="Arial" w:hAnsi="Arial" w:cs="Arial"/>
                <w:b/>
              </w:rPr>
            </w:pPr>
            <w:r w:rsidRPr="000D3A4B">
              <w:rPr>
                <w:rFonts w:ascii="Arial" w:hAnsi="Arial" w:cs="Arial"/>
                <w:b/>
              </w:rPr>
              <w:t>Robert Kurka</w:t>
            </w:r>
          </w:p>
        </w:tc>
      </w:tr>
      <w:tr w:rsidR="00703A91" w:rsidRPr="000D3A4B" w:rsidTr="007B1A83">
        <w:trPr>
          <w:jc w:val="center"/>
        </w:trPr>
        <w:tc>
          <w:tcPr>
            <w:tcW w:w="1979" w:type="pct"/>
            <w:hideMark/>
          </w:tcPr>
          <w:p w:rsidR="00703A91" w:rsidRPr="000D3A4B" w:rsidRDefault="00703A91" w:rsidP="007B1A83">
            <w:pPr>
              <w:jc w:val="center"/>
              <w:rPr>
                <w:rFonts w:ascii="Arial" w:hAnsi="Arial" w:cs="Arial"/>
              </w:rPr>
            </w:pPr>
            <w:r w:rsidRPr="000D3A4B">
              <w:rPr>
                <w:rFonts w:ascii="Arial" w:hAnsi="Arial" w:cs="Arial"/>
              </w:rPr>
              <w:t>Mgr. Radek Hlavatý, jednatel</w:t>
            </w:r>
          </w:p>
        </w:tc>
        <w:tc>
          <w:tcPr>
            <w:tcW w:w="1041" w:type="pct"/>
          </w:tcPr>
          <w:p w:rsidR="00703A91" w:rsidRPr="000D3A4B" w:rsidRDefault="00703A91" w:rsidP="007B1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pct"/>
          </w:tcPr>
          <w:p w:rsidR="00703A91" w:rsidRPr="000D3A4B" w:rsidRDefault="00703A91" w:rsidP="007B1A8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B7654" w:rsidRPr="000D3A4B" w:rsidRDefault="003B7654" w:rsidP="0038329D">
      <w:pPr>
        <w:rPr>
          <w:rFonts w:ascii="Arial" w:hAnsi="Arial" w:cs="Arial"/>
          <w:b/>
          <w:bCs/>
        </w:rPr>
      </w:pPr>
    </w:p>
    <w:sectPr w:rsidR="003B7654" w:rsidRPr="000D3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B9C"/>
    <w:multiLevelType w:val="hybridMultilevel"/>
    <w:tmpl w:val="983CC2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1FA5"/>
    <w:multiLevelType w:val="hybridMultilevel"/>
    <w:tmpl w:val="8D2E8EF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1397"/>
    <w:multiLevelType w:val="hybridMultilevel"/>
    <w:tmpl w:val="6AB899DE"/>
    <w:lvl w:ilvl="0" w:tplc="F79A5D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42ED7"/>
    <w:multiLevelType w:val="hybridMultilevel"/>
    <w:tmpl w:val="6658ACE6"/>
    <w:lvl w:ilvl="0" w:tplc="F79A5D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346EE4"/>
    <w:multiLevelType w:val="hybridMultilevel"/>
    <w:tmpl w:val="0BB0D4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D96FC4"/>
    <w:multiLevelType w:val="hybridMultilevel"/>
    <w:tmpl w:val="EF6203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575090"/>
    <w:multiLevelType w:val="hybridMultilevel"/>
    <w:tmpl w:val="AA4A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06BBC"/>
    <w:multiLevelType w:val="hybridMultilevel"/>
    <w:tmpl w:val="C12EA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54"/>
    <w:rsid w:val="000A502B"/>
    <w:rsid w:val="000D3A4B"/>
    <w:rsid w:val="000F02BB"/>
    <w:rsid w:val="00114A4A"/>
    <w:rsid w:val="001F566F"/>
    <w:rsid w:val="00265A7A"/>
    <w:rsid w:val="002876A2"/>
    <w:rsid w:val="0030496F"/>
    <w:rsid w:val="00333675"/>
    <w:rsid w:val="0038329D"/>
    <w:rsid w:val="003837C5"/>
    <w:rsid w:val="003862B6"/>
    <w:rsid w:val="00395496"/>
    <w:rsid w:val="003B7654"/>
    <w:rsid w:val="003F2268"/>
    <w:rsid w:val="004549FE"/>
    <w:rsid w:val="004668D1"/>
    <w:rsid w:val="00473D16"/>
    <w:rsid w:val="004D3598"/>
    <w:rsid w:val="004E24FE"/>
    <w:rsid w:val="004F41F8"/>
    <w:rsid w:val="00541A4A"/>
    <w:rsid w:val="005B2DEC"/>
    <w:rsid w:val="005D5279"/>
    <w:rsid w:val="006066A1"/>
    <w:rsid w:val="00703A91"/>
    <w:rsid w:val="00703F8F"/>
    <w:rsid w:val="008D306C"/>
    <w:rsid w:val="008F2534"/>
    <w:rsid w:val="008F7392"/>
    <w:rsid w:val="00911062"/>
    <w:rsid w:val="00923B7F"/>
    <w:rsid w:val="00942FA9"/>
    <w:rsid w:val="009438E2"/>
    <w:rsid w:val="00983FF6"/>
    <w:rsid w:val="009D404B"/>
    <w:rsid w:val="009D51AD"/>
    <w:rsid w:val="00A2498C"/>
    <w:rsid w:val="00AE3D08"/>
    <w:rsid w:val="00AF38D0"/>
    <w:rsid w:val="00B15A3E"/>
    <w:rsid w:val="00B56330"/>
    <w:rsid w:val="00B735F5"/>
    <w:rsid w:val="00B85D99"/>
    <w:rsid w:val="00BD4827"/>
    <w:rsid w:val="00C219B9"/>
    <w:rsid w:val="00C37F1B"/>
    <w:rsid w:val="00C4364C"/>
    <w:rsid w:val="00C51003"/>
    <w:rsid w:val="00CB7EF4"/>
    <w:rsid w:val="00CF07A6"/>
    <w:rsid w:val="00D1015A"/>
    <w:rsid w:val="00D75370"/>
    <w:rsid w:val="00D90D67"/>
    <w:rsid w:val="00DC1DF1"/>
    <w:rsid w:val="00DF3D80"/>
    <w:rsid w:val="00E03BC6"/>
    <w:rsid w:val="00EC070A"/>
    <w:rsid w:val="00EE2164"/>
    <w:rsid w:val="00F21D8B"/>
    <w:rsid w:val="00F22967"/>
    <w:rsid w:val="00F9007E"/>
    <w:rsid w:val="00FB40A8"/>
    <w:rsid w:val="00FC0074"/>
    <w:rsid w:val="00FD65E7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B2A1"/>
  <w15:chartTrackingRefBased/>
  <w15:docId w15:val="{2937E4DE-8CB1-4B7E-AC04-93649575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7654"/>
    <w:pPr>
      <w:ind w:left="720"/>
      <w:contextualSpacing/>
    </w:pPr>
  </w:style>
  <w:style w:type="table" w:styleId="Mkatabulky">
    <w:name w:val="Table Grid"/>
    <w:basedOn w:val="Normlntabulka"/>
    <w:uiPriority w:val="39"/>
    <w:rsid w:val="0070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0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Hlavatý</dc:creator>
  <cp:keywords/>
  <dc:description/>
  <cp:lastModifiedBy>Radek Hlavatý</cp:lastModifiedBy>
  <cp:revision>2</cp:revision>
  <cp:lastPrinted>2019-09-30T11:45:00Z</cp:lastPrinted>
  <dcterms:created xsi:type="dcterms:W3CDTF">2019-10-01T06:43:00Z</dcterms:created>
  <dcterms:modified xsi:type="dcterms:W3CDTF">2019-10-01T06:43:00Z</dcterms:modified>
</cp:coreProperties>
</file>